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85" w:lineRule="auto"/>
        <w:framePr w:w="1240" w:h="160" w:wrap="auto" w:vAnchor="page" w:hAnchor="page" w:x="8740" w:y="3152"/>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March 31, 2026</w:t>
      </w:r>
    </w:p>
    <w:p>
      <w:pPr>
        <w:spacing w:after="0" w:line="28"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757555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782955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jc w:val="center"/>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rFonts w:ascii="Times New Roman" w:cs="Times New Roman" w:eastAsia="Times New Roman" w:hAnsi="Times New Roman"/>
          <w:sz w:val="18"/>
          <w:szCs w:val="18"/>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23" w:lineRule="exact"/>
        <w:rPr>
          <w:rFonts w:ascii="Times New Roman" w:cs="Times New Roman" w:eastAsia="Times New Roman" w:hAnsi="Times New Roman"/>
          <w:sz w:val="18"/>
          <w:szCs w:val="18"/>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3" w:lineRule="exact"/>
        <w:rPr>
          <w:rFonts w:ascii="Times New Roman" w:cs="Times New Roman" w:eastAsia="Times New Roman" w:hAnsi="Times New Roman"/>
          <w:sz w:val="18"/>
          <w:szCs w:val="18"/>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10-Q</w:t>
      </w:r>
    </w:p>
    <w:p>
      <w:pPr>
        <w:spacing w:after="0" w:line="247" w:lineRule="exact"/>
        <w:rPr>
          <w:rFonts w:ascii="Times New Roman" w:cs="Times New Roman" w:eastAsia="Times New Roman" w:hAnsi="Times New Roman"/>
          <w:sz w:val="18"/>
          <w:szCs w:val="18"/>
          <w:color w:val="auto"/>
        </w:rPr>
      </w:pPr>
    </w:p>
    <w:p>
      <w:pPr>
        <w:ind w:left="40"/>
        <w:spacing w:after="0"/>
        <w:rPr>
          <w:sz w:val="20"/>
          <w:szCs w:val="20"/>
          <w:color w:val="auto"/>
        </w:rPr>
      </w:pPr>
      <w:r>
        <w:rPr>
          <w:rFonts w:ascii="Times New Roman" w:cs="Times New Roman" w:eastAsia="Times New Roman" w:hAnsi="Times New Roman"/>
          <w:sz w:val="18"/>
          <w:szCs w:val="18"/>
          <w:color w:val="auto"/>
        </w:rPr>
        <w:t>(Mark One)</w:t>
      </w:r>
    </w:p>
    <w:p>
      <w:pPr>
        <w:spacing w:after="0" w:line="50" w:lineRule="exact"/>
        <w:rPr>
          <w:rFonts w:ascii="Times New Roman" w:cs="Times New Roman" w:eastAsia="Times New Roman" w:hAnsi="Times New Roman"/>
          <w:sz w:val="18"/>
          <w:szCs w:val="18"/>
          <w:color w:val="auto"/>
        </w:rPr>
      </w:pPr>
    </w:p>
    <w:p>
      <w:pPr>
        <w:ind w:left="620" w:hanging="396"/>
        <w:spacing w:after="0"/>
        <w:tabs>
          <w:tab w:leader="none" w:pos="620" w:val="left"/>
        </w:tabs>
        <w:numPr>
          <w:ilvl w:val="0"/>
          <w:numId w:val="1"/>
        </w:numPr>
        <w:rPr>
          <w:rFonts w:ascii="MS PGothic" w:cs="MS PGothic" w:eastAsia="MS PGothic" w:hAnsi="MS PGothic"/>
          <w:sz w:val="20"/>
          <w:szCs w:val="20"/>
          <w:color w:val="auto"/>
        </w:rPr>
      </w:pPr>
      <w:r>
        <w:rPr>
          <w:rFonts w:ascii="Times New Roman" w:cs="Times New Roman" w:eastAsia="Times New Roman" w:hAnsi="Times New Roman"/>
          <w:sz w:val="18"/>
          <w:szCs w:val="18"/>
          <w:color w:val="auto"/>
        </w:rPr>
        <w:t>QUARTERLY REPORT PURSUANT TO SECTION 13 OR 15(d) OF THE SECURITIES EXCHANGE ACT OF 1934</w:t>
      </w:r>
    </w:p>
    <w:p>
      <w:pPr>
        <w:spacing w:after="0" w:line="39" w:lineRule="exact"/>
        <w:rPr>
          <w:rFonts w:ascii="Times New Roman" w:cs="Times New Roman" w:eastAsia="Times New Roman" w:hAnsi="Times New Roman"/>
          <w:sz w:val="18"/>
          <w:szCs w:val="18"/>
          <w:color w:val="auto"/>
        </w:rPr>
      </w:pPr>
    </w:p>
    <w:p>
      <w:pPr>
        <w:ind w:left="620"/>
        <w:spacing w:after="0"/>
        <w:rPr>
          <w:sz w:val="20"/>
          <w:szCs w:val="20"/>
          <w:color w:val="auto"/>
        </w:rPr>
      </w:pPr>
      <w:r>
        <w:rPr>
          <w:rFonts w:ascii="Times New Roman" w:cs="Times New Roman" w:eastAsia="Times New Roman" w:hAnsi="Times New Roman"/>
          <w:sz w:val="18"/>
          <w:szCs w:val="18"/>
          <w:color w:val="auto"/>
        </w:rPr>
        <w:t>For the quarterly period ended</w:t>
      </w:r>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column">
              <wp:posOffset>4351020</wp:posOffset>
            </wp:positionH>
            <wp:positionV relativeFrom="paragraph">
              <wp:posOffset>21590</wp:posOffset>
            </wp:positionV>
            <wp:extent cx="277749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777490" cy="8255"/>
                    </a:xfrm>
                    <a:prstGeom prst="rect">
                      <a:avLst/>
                    </a:prstGeom>
                    <a:noFill/>
                  </pic:spPr>
                </pic:pic>
              </a:graphicData>
            </a:graphic>
          </wp:anchor>
        </w:drawing>
      </w:r>
    </w:p>
    <w:p>
      <w:pPr>
        <w:spacing w:after="0" w:line="23" w:lineRule="exact"/>
        <w:rPr>
          <w:rFonts w:ascii="Times New Roman" w:cs="Times New Roman" w:eastAsia="Times New Roman" w:hAnsi="Times New Roman"/>
          <w:sz w:val="18"/>
          <w:szCs w:val="18"/>
          <w:color w:val="auto"/>
        </w:rPr>
      </w:pPr>
    </w:p>
    <w:p>
      <w:pPr>
        <w:jc w:val="center"/>
        <w:ind w:right="320"/>
        <w:spacing w:after="0"/>
        <w:rPr>
          <w:sz w:val="20"/>
          <w:szCs w:val="20"/>
          <w:color w:val="auto"/>
        </w:rPr>
      </w:pPr>
      <w:r>
        <w:rPr>
          <w:rFonts w:ascii="Times New Roman" w:cs="Times New Roman" w:eastAsia="Times New Roman" w:hAnsi="Times New Roman"/>
          <w:sz w:val="18"/>
          <w:szCs w:val="18"/>
          <w:color w:val="auto"/>
        </w:rPr>
        <w:t>or</w:t>
      </w:r>
    </w:p>
    <w:p>
      <w:pPr>
        <w:spacing w:after="0" w:line="63" w:lineRule="exact"/>
        <w:rPr>
          <w:rFonts w:ascii="Times New Roman" w:cs="Times New Roman" w:eastAsia="Times New Roman" w:hAnsi="Times New Roman"/>
          <w:sz w:val="18"/>
          <w:szCs w:val="18"/>
          <w:color w:val="auto"/>
        </w:rPr>
      </w:pPr>
    </w:p>
    <w:p>
      <w:pPr>
        <w:ind w:left="620" w:hanging="396"/>
        <w:spacing w:after="0"/>
        <w:tabs>
          <w:tab w:leader="none" w:pos="620" w:val="left"/>
        </w:tabs>
        <w:numPr>
          <w:ilvl w:val="0"/>
          <w:numId w:val="2"/>
        </w:numPr>
        <w:rPr>
          <w:rFonts w:ascii="MS PGothic" w:cs="MS PGothic" w:eastAsia="MS PGothic" w:hAnsi="MS PGothic"/>
          <w:sz w:val="20"/>
          <w:szCs w:val="20"/>
          <w:color w:val="auto"/>
        </w:rPr>
      </w:pPr>
      <w:r>
        <w:rPr>
          <w:rFonts w:ascii="Times New Roman" w:cs="Times New Roman" w:eastAsia="Times New Roman" w:hAnsi="Times New Roman"/>
          <w:sz w:val="18"/>
          <w:szCs w:val="18"/>
          <w:color w:val="auto"/>
        </w:rPr>
        <w:t>TRANSITION REPORT PURSUANT TO SECTION 13 OR 15(d) OF THE SECURITIES EXCHANGE ACT OF 1934</w:t>
      </w:r>
    </w:p>
    <w:p>
      <w:pPr>
        <w:spacing w:after="0" w:line="39" w:lineRule="exact"/>
        <w:rPr>
          <w:rFonts w:ascii="Times New Roman" w:cs="Times New Roman" w:eastAsia="Times New Roman" w:hAnsi="Times New Roman"/>
          <w:sz w:val="18"/>
          <w:szCs w:val="18"/>
          <w:color w:val="auto"/>
        </w:rPr>
      </w:pPr>
    </w:p>
    <w:tbl>
      <w:tblPr>
        <w:tblLayout w:type="fixed"/>
        <w:tblInd w:w="40" w:type="dxa"/>
        <w:tblCellMar>
          <w:top w:w="0" w:type="dxa"/>
          <w:left w:w="0" w:type="dxa"/>
          <w:bottom w:w="0" w:type="dxa"/>
          <w:right w:w="0" w:type="dxa"/>
        </w:tblCellMar>
      </w:tblPr>
      <w:tr>
        <w:trPr>
          <w:trHeight w:val="214"/>
        </w:trPr>
        <w:tc>
          <w:tcPr>
            <w:tcW w:w="6720" w:type="dxa"/>
            <w:vAlign w:val="bottom"/>
            <w:gridSpan w:val="3"/>
          </w:tcPr>
          <w:p>
            <w:pPr>
              <w:ind w:left="580"/>
              <w:spacing w:after="0"/>
              <w:rPr>
                <w:sz w:val="20"/>
                <w:szCs w:val="20"/>
                <w:color w:val="auto"/>
              </w:rPr>
            </w:pPr>
            <w:r>
              <w:rPr>
                <w:rFonts w:ascii="Times New Roman" w:cs="Times New Roman" w:eastAsia="Times New Roman" w:hAnsi="Times New Roman"/>
                <w:sz w:val="18"/>
                <w:szCs w:val="18"/>
                <w:color w:val="auto"/>
              </w:rPr>
              <w:t>For the transition period from</w:t>
            </w:r>
          </w:p>
        </w:tc>
        <w:tc>
          <w:tcPr>
            <w:tcW w:w="760" w:type="dxa"/>
            <w:vAlign w:val="bottom"/>
          </w:tcPr>
          <w:p>
            <w:pPr>
              <w:spacing w:after="0"/>
              <w:rPr>
                <w:sz w:val="18"/>
                <w:szCs w:val="18"/>
                <w:color w:val="auto"/>
              </w:rPr>
            </w:pPr>
          </w:p>
        </w:tc>
        <w:tc>
          <w:tcPr>
            <w:tcW w:w="90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to</w:t>
            </w:r>
          </w:p>
        </w:tc>
        <w:tc>
          <w:tcPr>
            <w:tcW w:w="14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07"/>
        </w:trPr>
        <w:tc>
          <w:tcPr>
            <w:tcW w:w="96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3440" w:type="dxa"/>
            <w:vAlign w:val="bottom"/>
            <w:tcBorders>
              <w:top w:val="single" w:sz="8" w:color="auto"/>
            </w:tcBorders>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400" w:type="dxa"/>
            <w:vAlign w:val="bottom"/>
            <w:tcBorders>
              <w:top w:val="single" w:sz="8" w:color="auto"/>
            </w:tcBorders>
          </w:tcPr>
          <w:p>
            <w:pPr>
              <w:spacing w:after="0"/>
              <w:rPr>
                <w:sz w:val="24"/>
                <w:szCs w:val="24"/>
                <w:color w:val="auto"/>
              </w:rPr>
            </w:pPr>
          </w:p>
        </w:tc>
        <w:tc>
          <w:tcPr>
            <w:tcW w:w="14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Former name,</w:t>
            </w:r>
          </w:p>
        </w:tc>
        <w:tc>
          <w:tcPr>
            <w:tcW w:w="0" w:type="dxa"/>
            <w:vAlign w:val="bottom"/>
          </w:tcPr>
          <w:p>
            <w:pPr>
              <w:spacing w:after="0"/>
              <w:rPr>
                <w:sz w:val="1"/>
                <w:szCs w:val="1"/>
                <w:color w:val="auto"/>
              </w:rPr>
            </w:pPr>
          </w:p>
        </w:tc>
      </w:tr>
      <w:tr>
        <w:trPr>
          <w:trHeight w:val="162"/>
        </w:trPr>
        <w:tc>
          <w:tcPr>
            <w:tcW w:w="96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3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40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color w:val="auto"/>
              </w:rPr>
              <w:t>former address and</w:t>
            </w:r>
          </w:p>
        </w:tc>
        <w:tc>
          <w:tcPr>
            <w:tcW w:w="0" w:type="dxa"/>
            <w:vAlign w:val="bottom"/>
          </w:tcPr>
          <w:p>
            <w:pPr>
              <w:spacing w:after="0"/>
              <w:rPr>
                <w:sz w:val="1"/>
                <w:szCs w:val="1"/>
                <w:color w:val="auto"/>
              </w:rPr>
            </w:pPr>
          </w:p>
        </w:tc>
      </w:tr>
      <w:tr>
        <w:trPr>
          <w:trHeight w:val="162"/>
        </w:trPr>
        <w:tc>
          <w:tcPr>
            <w:tcW w:w="96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Commission</w:t>
            </w:r>
          </w:p>
        </w:tc>
        <w:tc>
          <w:tcPr>
            <w:tcW w:w="5760" w:type="dxa"/>
            <w:vAlign w:val="bottom"/>
            <w:gridSpan w:val="2"/>
            <w:vMerge w:val="restart"/>
          </w:tcPr>
          <w:p>
            <w:pPr>
              <w:ind w:left="1400"/>
              <w:spacing w:after="0"/>
              <w:rPr>
                <w:sz w:val="20"/>
                <w:szCs w:val="20"/>
                <w:color w:val="auto"/>
              </w:rPr>
            </w:pPr>
            <w:r>
              <w:rPr>
                <w:rFonts w:ascii="Times New Roman" w:cs="Times New Roman" w:eastAsia="Times New Roman" w:hAnsi="Times New Roman"/>
                <w:sz w:val="16"/>
                <w:szCs w:val="16"/>
                <w:color w:val="auto"/>
              </w:rPr>
              <w:t>Exact Name of Registrant as Specified in its Charter,</w:t>
            </w:r>
          </w:p>
        </w:tc>
        <w:tc>
          <w:tcPr>
            <w:tcW w:w="760" w:type="dxa"/>
            <w:vAlign w:val="bottom"/>
          </w:tcPr>
          <w:p>
            <w:pPr>
              <w:spacing w:after="0"/>
              <w:rPr>
                <w:sz w:val="14"/>
                <w:szCs w:val="14"/>
                <w:color w:val="auto"/>
              </w:rPr>
            </w:pPr>
          </w:p>
        </w:tc>
        <w:tc>
          <w:tcPr>
            <w:tcW w:w="90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6"/>
                <w:szCs w:val="16"/>
                <w:color w:val="auto"/>
              </w:rPr>
              <w:t>State of</w:t>
            </w:r>
          </w:p>
        </w:tc>
        <w:tc>
          <w:tcPr>
            <w:tcW w:w="1400" w:type="dxa"/>
            <w:vAlign w:val="bottom"/>
            <w:vMerge w:val="restart"/>
          </w:tcPr>
          <w:p>
            <w:pPr>
              <w:jc w:val="center"/>
              <w:ind w:left="14"/>
              <w:spacing w:after="0"/>
              <w:rPr>
                <w:sz w:val="20"/>
                <w:szCs w:val="20"/>
                <w:color w:val="auto"/>
              </w:rPr>
            </w:pPr>
            <w:r>
              <w:rPr>
                <w:rFonts w:ascii="Times New Roman" w:cs="Times New Roman" w:eastAsia="Times New Roman" w:hAnsi="Times New Roman"/>
                <w:sz w:val="16"/>
                <w:szCs w:val="16"/>
                <w:color w:val="auto"/>
              </w:rPr>
              <w:t>IRS Employer</w:t>
            </w:r>
          </w:p>
        </w:tc>
        <w:tc>
          <w:tcPr>
            <w:tcW w:w="140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color w:val="auto"/>
              </w:rPr>
              <w:t>former fiscal year, if</w:t>
            </w:r>
          </w:p>
        </w:tc>
        <w:tc>
          <w:tcPr>
            <w:tcW w:w="0" w:type="dxa"/>
            <w:vAlign w:val="bottom"/>
          </w:tcPr>
          <w:p>
            <w:pPr>
              <w:spacing w:after="0"/>
              <w:rPr>
                <w:sz w:val="1"/>
                <w:szCs w:val="1"/>
                <w:color w:val="auto"/>
              </w:rPr>
            </w:pPr>
          </w:p>
        </w:tc>
      </w:tr>
      <w:tr>
        <w:trPr>
          <w:trHeight w:val="162"/>
        </w:trPr>
        <w:tc>
          <w:tcPr>
            <w:tcW w:w="960" w:type="dxa"/>
            <w:vAlign w:val="bottom"/>
            <w:vMerge w:val="continue"/>
          </w:tcPr>
          <w:p>
            <w:pPr>
              <w:spacing w:after="0"/>
              <w:rPr>
                <w:sz w:val="14"/>
                <w:szCs w:val="14"/>
                <w:color w:val="auto"/>
              </w:rPr>
            </w:pPr>
          </w:p>
        </w:tc>
        <w:tc>
          <w:tcPr>
            <w:tcW w:w="5760" w:type="dxa"/>
            <w:vAlign w:val="bottom"/>
            <w:gridSpan w:val="2"/>
            <w:vMerge w:val="continue"/>
          </w:tcPr>
          <w:p>
            <w:pPr>
              <w:spacing w:after="0"/>
              <w:rPr>
                <w:sz w:val="14"/>
                <w:szCs w:val="14"/>
                <w:color w:val="auto"/>
              </w:rPr>
            </w:pPr>
          </w:p>
        </w:tc>
        <w:tc>
          <w:tcPr>
            <w:tcW w:w="760" w:type="dxa"/>
            <w:vAlign w:val="bottom"/>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1400" w:type="dxa"/>
            <w:vAlign w:val="bottom"/>
            <w:vMerge w:val="continue"/>
          </w:tcPr>
          <w:p>
            <w:pPr>
              <w:spacing w:after="0"/>
              <w:rPr>
                <w:sz w:val="14"/>
                <w:szCs w:val="14"/>
                <w:color w:val="auto"/>
              </w:rPr>
            </w:pPr>
          </w:p>
        </w:tc>
        <w:tc>
          <w:tcPr>
            <w:tcW w:w="140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color w:val="auto"/>
              </w:rPr>
              <w:t>changed since last</w:t>
            </w:r>
          </w:p>
        </w:tc>
        <w:tc>
          <w:tcPr>
            <w:tcW w:w="0" w:type="dxa"/>
            <w:vAlign w:val="bottom"/>
          </w:tcPr>
          <w:p>
            <w:pPr>
              <w:spacing w:after="0"/>
              <w:rPr>
                <w:sz w:val="1"/>
                <w:szCs w:val="1"/>
                <w:color w:val="auto"/>
              </w:rPr>
            </w:pPr>
          </w:p>
        </w:tc>
      </w:tr>
      <w:tr>
        <w:trPr>
          <w:trHeight w:val="213"/>
        </w:trPr>
        <w:tc>
          <w:tcPr>
            <w:tcW w:w="9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File No.</w:t>
            </w:r>
          </w:p>
        </w:tc>
        <w:tc>
          <w:tcPr>
            <w:tcW w:w="5760" w:type="dxa"/>
            <w:vAlign w:val="bottom"/>
            <w:tcBorders>
              <w:bottom w:val="single" w:sz="8" w:color="auto"/>
            </w:tcBorders>
            <w:gridSpan w:val="2"/>
          </w:tcPr>
          <w:p>
            <w:pPr>
              <w:ind w:left="1120"/>
              <w:spacing w:after="0"/>
              <w:rPr>
                <w:sz w:val="20"/>
                <w:szCs w:val="20"/>
                <w:color w:val="auto"/>
              </w:rPr>
            </w:pPr>
            <w:r>
              <w:rPr>
                <w:rFonts w:ascii="Times New Roman" w:cs="Times New Roman" w:eastAsia="Times New Roman" w:hAnsi="Times New Roman"/>
                <w:sz w:val="16"/>
                <w:szCs w:val="16"/>
                <w:color w:val="auto"/>
              </w:rPr>
              <w:t>Address of Principal Executive Office and Telephone Number</w:t>
            </w:r>
          </w:p>
        </w:tc>
        <w:tc>
          <w:tcPr>
            <w:tcW w:w="1660" w:type="dxa"/>
            <w:vAlign w:val="bottom"/>
            <w:tcBorders>
              <w:bottom w:val="single" w:sz="8" w:color="auto"/>
            </w:tcBorders>
            <w:gridSpan w:val="3"/>
          </w:tcPr>
          <w:p>
            <w:pPr>
              <w:jc w:val="center"/>
              <w:ind w:left="372"/>
              <w:spacing w:after="0"/>
              <w:rPr>
                <w:sz w:val="20"/>
                <w:szCs w:val="20"/>
                <w:color w:val="auto"/>
              </w:rPr>
            </w:pPr>
            <w:r>
              <w:rPr>
                <w:rFonts w:ascii="Times New Roman" w:cs="Times New Roman" w:eastAsia="Times New Roman" w:hAnsi="Times New Roman"/>
                <w:sz w:val="16"/>
                <w:szCs w:val="16"/>
                <w:color w:val="auto"/>
              </w:rPr>
              <w:t>Incorporation</w:t>
            </w:r>
          </w:p>
        </w:tc>
        <w:tc>
          <w:tcPr>
            <w:tcW w:w="1400" w:type="dxa"/>
            <w:vAlign w:val="bottom"/>
            <w:tcBorders>
              <w:bottom w:val="single" w:sz="8" w:color="auto"/>
            </w:tcBorders>
          </w:tcPr>
          <w:p>
            <w:pPr>
              <w:jc w:val="center"/>
              <w:ind w:left="34"/>
              <w:spacing w:after="0"/>
              <w:rPr>
                <w:sz w:val="20"/>
                <w:szCs w:val="20"/>
                <w:color w:val="auto"/>
              </w:rPr>
            </w:pPr>
            <w:r>
              <w:rPr>
                <w:rFonts w:ascii="Times New Roman" w:cs="Times New Roman" w:eastAsia="Times New Roman" w:hAnsi="Times New Roman"/>
                <w:sz w:val="16"/>
                <w:szCs w:val="16"/>
                <w:color w:val="auto"/>
              </w:rPr>
              <w:t>Identification No.</w:t>
            </w:r>
          </w:p>
        </w:tc>
        <w:tc>
          <w:tcPr>
            <w:tcW w:w="14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report</w:t>
            </w:r>
          </w:p>
        </w:tc>
        <w:tc>
          <w:tcPr>
            <w:tcW w:w="0" w:type="dxa"/>
            <w:vAlign w:val="bottom"/>
          </w:tcPr>
          <w:p>
            <w:pPr>
              <w:spacing w:after="0"/>
              <w:rPr>
                <w:sz w:val="1"/>
                <w:szCs w:val="1"/>
                <w:color w:val="auto"/>
              </w:rPr>
            </w:pPr>
          </w:p>
        </w:tc>
      </w:tr>
      <w:tr>
        <w:trPr>
          <w:trHeight w:val="235"/>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1-14201</w:t>
            </w:r>
          </w:p>
        </w:tc>
        <w:tc>
          <w:tcPr>
            <w:tcW w:w="576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Sempra</w:t>
            </w:r>
          </w:p>
        </w:tc>
        <w:tc>
          <w:tcPr>
            <w:tcW w:w="1660" w:type="dxa"/>
            <w:vAlign w:val="bottom"/>
            <w:gridSpan w:val="3"/>
          </w:tcPr>
          <w:p>
            <w:pPr>
              <w:jc w:val="center"/>
              <w:ind w:left="352"/>
              <w:spacing w:after="0"/>
              <w:rPr>
                <w:sz w:val="20"/>
                <w:szCs w:val="20"/>
                <w:color w:val="auto"/>
              </w:rPr>
            </w:pPr>
            <w:r>
              <w:rPr>
                <w:rFonts w:ascii="Times New Roman" w:cs="Times New Roman" w:eastAsia="Times New Roman" w:hAnsi="Times New Roman"/>
                <w:sz w:val="18"/>
                <w:szCs w:val="18"/>
                <w:color w:val="auto"/>
              </w:rPr>
              <w:t>California</w:t>
            </w:r>
          </w:p>
        </w:tc>
        <w:tc>
          <w:tcPr>
            <w:tcW w:w="1400" w:type="dxa"/>
            <w:vAlign w:val="bottom"/>
          </w:tcPr>
          <w:p>
            <w:pPr>
              <w:jc w:val="center"/>
              <w:ind w:left="14"/>
              <w:spacing w:after="0"/>
              <w:rPr>
                <w:sz w:val="20"/>
                <w:szCs w:val="20"/>
                <w:color w:val="auto"/>
              </w:rPr>
            </w:pPr>
            <w:r>
              <w:rPr>
                <w:rFonts w:ascii="Times New Roman" w:cs="Times New Roman" w:eastAsia="Times New Roman" w:hAnsi="Times New Roman"/>
                <w:sz w:val="18"/>
                <w:szCs w:val="18"/>
                <w:color w:val="auto"/>
                <w:w w:val="98"/>
              </w:rPr>
              <w:t>33-0732627</w:t>
            </w:r>
          </w:p>
        </w:tc>
        <w:tc>
          <w:tcPr>
            <w:tcW w:w="1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No change</w:t>
            </w:r>
          </w:p>
        </w:tc>
        <w:tc>
          <w:tcPr>
            <w:tcW w:w="0" w:type="dxa"/>
            <w:vAlign w:val="bottom"/>
          </w:tcPr>
          <w:p>
            <w:pPr>
              <w:spacing w:after="0"/>
              <w:rPr>
                <w:sz w:val="1"/>
                <w:szCs w:val="1"/>
                <w:color w:val="auto"/>
              </w:rPr>
            </w:pPr>
          </w:p>
        </w:tc>
      </w:tr>
      <w:tr>
        <w:trPr>
          <w:trHeight w:val="261"/>
        </w:trPr>
        <w:tc>
          <w:tcPr>
            <w:tcW w:w="960" w:type="dxa"/>
            <w:vAlign w:val="bottom"/>
          </w:tcPr>
          <w:p>
            <w:pPr>
              <w:spacing w:after="0"/>
              <w:rPr>
                <w:sz w:val="22"/>
                <w:szCs w:val="22"/>
                <w:color w:val="auto"/>
              </w:rPr>
            </w:pPr>
          </w:p>
        </w:tc>
        <w:tc>
          <w:tcPr>
            <w:tcW w:w="57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488 8th Avenue</w:t>
            </w:r>
          </w:p>
        </w:tc>
        <w:tc>
          <w:tcPr>
            <w:tcW w:w="76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960" w:type="dxa"/>
            <w:vAlign w:val="bottom"/>
          </w:tcPr>
          <w:p>
            <w:pPr>
              <w:spacing w:after="0"/>
              <w:rPr>
                <w:sz w:val="23"/>
                <w:szCs w:val="23"/>
                <w:color w:val="auto"/>
              </w:rPr>
            </w:pPr>
          </w:p>
        </w:tc>
        <w:tc>
          <w:tcPr>
            <w:tcW w:w="57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San Diego, California 92101</w:t>
            </w:r>
          </w:p>
        </w:tc>
        <w:tc>
          <w:tcPr>
            <w:tcW w:w="76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960" w:type="dxa"/>
            <w:vAlign w:val="bottom"/>
          </w:tcPr>
          <w:p>
            <w:pPr>
              <w:spacing w:after="0"/>
              <w:rPr>
                <w:sz w:val="23"/>
                <w:szCs w:val="23"/>
                <w:color w:val="auto"/>
              </w:rPr>
            </w:pPr>
          </w:p>
        </w:tc>
        <w:tc>
          <w:tcPr>
            <w:tcW w:w="23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(619) 696-2000</w:t>
            </w:r>
          </w:p>
        </w:tc>
        <w:tc>
          <w:tcPr>
            <w:tcW w:w="34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78"/>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1-03779</w:t>
            </w:r>
          </w:p>
        </w:tc>
        <w:tc>
          <w:tcPr>
            <w:tcW w:w="576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San Diego Gas &amp; Electric Company</w:t>
            </w:r>
          </w:p>
        </w:tc>
        <w:tc>
          <w:tcPr>
            <w:tcW w:w="1660" w:type="dxa"/>
            <w:vAlign w:val="bottom"/>
            <w:gridSpan w:val="3"/>
          </w:tcPr>
          <w:p>
            <w:pPr>
              <w:jc w:val="center"/>
              <w:ind w:left="352"/>
              <w:spacing w:after="0"/>
              <w:rPr>
                <w:sz w:val="20"/>
                <w:szCs w:val="20"/>
                <w:color w:val="auto"/>
              </w:rPr>
            </w:pPr>
            <w:r>
              <w:rPr>
                <w:rFonts w:ascii="Times New Roman" w:cs="Times New Roman" w:eastAsia="Times New Roman" w:hAnsi="Times New Roman"/>
                <w:sz w:val="18"/>
                <w:szCs w:val="18"/>
                <w:color w:val="auto"/>
              </w:rPr>
              <w:t>California</w:t>
            </w:r>
          </w:p>
        </w:tc>
        <w:tc>
          <w:tcPr>
            <w:tcW w:w="1400" w:type="dxa"/>
            <w:vAlign w:val="bottom"/>
          </w:tcPr>
          <w:p>
            <w:pPr>
              <w:jc w:val="center"/>
              <w:ind w:left="14"/>
              <w:spacing w:after="0"/>
              <w:rPr>
                <w:sz w:val="20"/>
                <w:szCs w:val="20"/>
                <w:color w:val="auto"/>
              </w:rPr>
            </w:pPr>
            <w:r>
              <w:rPr>
                <w:rFonts w:ascii="Times New Roman" w:cs="Times New Roman" w:eastAsia="Times New Roman" w:hAnsi="Times New Roman"/>
                <w:sz w:val="18"/>
                <w:szCs w:val="18"/>
                <w:color w:val="auto"/>
                <w:w w:val="98"/>
              </w:rPr>
              <w:t>95-1184800</w:t>
            </w:r>
          </w:p>
        </w:tc>
        <w:tc>
          <w:tcPr>
            <w:tcW w:w="1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No change</w:t>
            </w:r>
          </w:p>
        </w:tc>
        <w:tc>
          <w:tcPr>
            <w:tcW w:w="0" w:type="dxa"/>
            <w:vAlign w:val="bottom"/>
          </w:tcPr>
          <w:p>
            <w:pPr>
              <w:spacing w:after="0"/>
              <w:rPr>
                <w:sz w:val="1"/>
                <w:szCs w:val="1"/>
                <w:color w:val="auto"/>
              </w:rPr>
            </w:pPr>
          </w:p>
        </w:tc>
      </w:tr>
      <w:tr>
        <w:trPr>
          <w:trHeight w:val="270"/>
        </w:trPr>
        <w:tc>
          <w:tcPr>
            <w:tcW w:w="960" w:type="dxa"/>
            <w:vAlign w:val="bottom"/>
          </w:tcPr>
          <w:p>
            <w:pPr>
              <w:spacing w:after="0"/>
              <w:rPr>
                <w:sz w:val="23"/>
                <w:szCs w:val="23"/>
                <w:color w:val="auto"/>
              </w:rPr>
            </w:pPr>
          </w:p>
        </w:tc>
        <w:tc>
          <w:tcPr>
            <w:tcW w:w="57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8330 Century Park Court</w:t>
            </w:r>
          </w:p>
        </w:tc>
        <w:tc>
          <w:tcPr>
            <w:tcW w:w="76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960" w:type="dxa"/>
            <w:vAlign w:val="bottom"/>
          </w:tcPr>
          <w:p>
            <w:pPr>
              <w:spacing w:after="0"/>
              <w:rPr>
                <w:sz w:val="23"/>
                <w:szCs w:val="23"/>
                <w:color w:val="auto"/>
              </w:rPr>
            </w:pPr>
          </w:p>
        </w:tc>
        <w:tc>
          <w:tcPr>
            <w:tcW w:w="57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San Diego, California 92123</w:t>
            </w:r>
          </w:p>
        </w:tc>
        <w:tc>
          <w:tcPr>
            <w:tcW w:w="76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960" w:type="dxa"/>
            <w:vAlign w:val="bottom"/>
          </w:tcPr>
          <w:p>
            <w:pPr>
              <w:spacing w:after="0"/>
              <w:rPr>
                <w:sz w:val="23"/>
                <w:szCs w:val="23"/>
                <w:color w:val="auto"/>
              </w:rPr>
            </w:pPr>
          </w:p>
        </w:tc>
        <w:tc>
          <w:tcPr>
            <w:tcW w:w="23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(619) 696-2000</w:t>
            </w:r>
          </w:p>
        </w:tc>
        <w:tc>
          <w:tcPr>
            <w:tcW w:w="34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78"/>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1-01402</w:t>
            </w:r>
          </w:p>
        </w:tc>
        <w:tc>
          <w:tcPr>
            <w:tcW w:w="576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Southern California Gas Company</w:t>
            </w:r>
          </w:p>
        </w:tc>
        <w:tc>
          <w:tcPr>
            <w:tcW w:w="1660" w:type="dxa"/>
            <w:vAlign w:val="bottom"/>
            <w:gridSpan w:val="3"/>
          </w:tcPr>
          <w:p>
            <w:pPr>
              <w:jc w:val="center"/>
              <w:ind w:left="352"/>
              <w:spacing w:after="0"/>
              <w:rPr>
                <w:sz w:val="20"/>
                <w:szCs w:val="20"/>
                <w:color w:val="auto"/>
              </w:rPr>
            </w:pPr>
            <w:r>
              <w:rPr>
                <w:rFonts w:ascii="Times New Roman" w:cs="Times New Roman" w:eastAsia="Times New Roman" w:hAnsi="Times New Roman"/>
                <w:sz w:val="18"/>
                <w:szCs w:val="18"/>
                <w:color w:val="auto"/>
              </w:rPr>
              <w:t>California</w:t>
            </w:r>
          </w:p>
        </w:tc>
        <w:tc>
          <w:tcPr>
            <w:tcW w:w="1400" w:type="dxa"/>
            <w:vAlign w:val="bottom"/>
          </w:tcPr>
          <w:p>
            <w:pPr>
              <w:jc w:val="center"/>
              <w:ind w:left="14"/>
              <w:spacing w:after="0"/>
              <w:rPr>
                <w:sz w:val="20"/>
                <w:szCs w:val="20"/>
                <w:color w:val="auto"/>
              </w:rPr>
            </w:pPr>
            <w:r>
              <w:rPr>
                <w:rFonts w:ascii="Times New Roman" w:cs="Times New Roman" w:eastAsia="Times New Roman" w:hAnsi="Times New Roman"/>
                <w:sz w:val="18"/>
                <w:szCs w:val="18"/>
                <w:color w:val="auto"/>
                <w:w w:val="98"/>
              </w:rPr>
              <w:t>95-1240705</w:t>
            </w:r>
          </w:p>
        </w:tc>
        <w:tc>
          <w:tcPr>
            <w:tcW w:w="1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No change</w:t>
            </w:r>
          </w:p>
        </w:tc>
        <w:tc>
          <w:tcPr>
            <w:tcW w:w="0" w:type="dxa"/>
            <w:vAlign w:val="bottom"/>
          </w:tcPr>
          <w:p>
            <w:pPr>
              <w:spacing w:after="0"/>
              <w:rPr>
                <w:sz w:val="1"/>
                <w:szCs w:val="1"/>
                <w:color w:val="auto"/>
              </w:rPr>
            </w:pPr>
          </w:p>
        </w:tc>
      </w:tr>
      <w:tr>
        <w:trPr>
          <w:trHeight w:val="270"/>
        </w:trPr>
        <w:tc>
          <w:tcPr>
            <w:tcW w:w="960" w:type="dxa"/>
            <w:vAlign w:val="bottom"/>
          </w:tcPr>
          <w:p>
            <w:pPr>
              <w:spacing w:after="0"/>
              <w:rPr>
                <w:sz w:val="23"/>
                <w:szCs w:val="23"/>
                <w:color w:val="auto"/>
              </w:rPr>
            </w:pPr>
          </w:p>
        </w:tc>
        <w:tc>
          <w:tcPr>
            <w:tcW w:w="57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555 West 5th Street</w:t>
            </w:r>
          </w:p>
        </w:tc>
        <w:tc>
          <w:tcPr>
            <w:tcW w:w="76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960" w:type="dxa"/>
            <w:vAlign w:val="bottom"/>
          </w:tcPr>
          <w:p>
            <w:pPr>
              <w:spacing w:after="0"/>
              <w:rPr>
                <w:sz w:val="23"/>
                <w:szCs w:val="23"/>
                <w:color w:val="auto"/>
              </w:rPr>
            </w:pPr>
          </w:p>
        </w:tc>
        <w:tc>
          <w:tcPr>
            <w:tcW w:w="57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Los Angeles, California 90013</w:t>
            </w:r>
          </w:p>
        </w:tc>
        <w:tc>
          <w:tcPr>
            <w:tcW w:w="76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960" w:type="dxa"/>
            <w:vAlign w:val="bottom"/>
            <w:tcBorders>
              <w:bottom w:val="single" w:sz="8" w:color="auto"/>
            </w:tcBorders>
          </w:tcPr>
          <w:p>
            <w:pPr>
              <w:spacing w:after="0"/>
              <w:rPr>
                <w:sz w:val="23"/>
                <w:szCs w:val="23"/>
                <w:color w:val="auto"/>
              </w:rPr>
            </w:pPr>
          </w:p>
        </w:tc>
        <w:tc>
          <w:tcPr>
            <w:tcW w:w="232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(213) 244-1200</w:t>
            </w:r>
          </w:p>
        </w:tc>
        <w:tc>
          <w:tcPr>
            <w:tcW w:w="3440" w:type="dxa"/>
            <w:vAlign w:val="bottom"/>
            <w:tcBorders>
              <w:bottom w:val="single" w:sz="8" w:color="auto"/>
            </w:tcBorders>
          </w:tcPr>
          <w:p>
            <w:pPr>
              <w:spacing w:after="0"/>
              <w:rPr>
                <w:sz w:val="23"/>
                <w:szCs w:val="23"/>
                <w:color w:val="auto"/>
              </w:rPr>
            </w:pPr>
          </w:p>
        </w:tc>
        <w:tc>
          <w:tcPr>
            <w:tcW w:w="760" w:type="dxa"/>
            <w:vAlign w:val="bottom"/>
            <w:tcBorders>
              <w:bottom w:val="single" w:sz="8" w:color="auto"/>
            </w:tcBorders>
          </w:tcPr>
          <w:p>
            <w:pPr>
              <w:spacing w:after="0"/>
              <w:rPr>
                <w:sz w:val="23"/>
                <w:szCs w:val="23"/>
                <w:color w:val="auto"/>
              </w:rPr>
            </w:pPr>
          </w:p>
        </w:tc>
        <w:tc>
          <w:tcPr>
            <w:tcW w:w="720" w:type="dxa"/>
            <w:vAlign w:val="bottom"/>
            <w:tcBorders>
              <w:bottom w:val="single" w:sz="8" w:color="auto"/>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400" w:type="dxa"/>
            <w:vAlign w:val="bottom"/>
            <w:tcBorders>
              <w:bottom w:val="single" w:sz="8" w:color="auto"/>
            </w:tcBorders>
          </w:tcPr>
          <w:p>
            <w:pPr>
              <w:spacing w:after="0"/>
              <w:rPr>
                <w:sz w:val="23"/>
                <w:szCs w:val="23"/>
                <w:color w:val="auto"/>
              </w:rPr>
            </w:pPr>
          </w:p>
        </w:tc>
        <w:tc>
          <w:tcPr>
            <w:tcW w:w="140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column">
              <wp:posOffset>3039745</wp:posOffset>
            </wp:positionH>
            <wp:positionV relativeFrom="paragraph">
              <wp:posOffset>-1936750</wp:posOffset>
            </wp:positionV>
            <wp:extent cx="1071245" cy="2654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071245" cy="265430"/>
                    </a:xfrm>
                    <a:prstGeom prst="rect">
                      <a:avLst/>
                    </a:prstGeom>
                    <a:noFill/>
                  </pic:spPr>
                </pic:pic>
              </a:graphicData>
            </a:graphic>
          </wp:anchor>
        </w:drawing>
        <w:drawing>
          <wp:anchor simplePos="0" relativeHeight="251657728" behindDoc="1" locked="0" layoutInCell="0" allowOverlap="1">
            <wp:simplePos x="0" y="0"/>
            <wp:positionH relativeFrom="column">
              <wp:posOffset>3005455</wp:posOffset>
            </wp:positionH>
            <wp:positionV relativeFrom="paragraph">
              <wp:posOffset>-1216660</wp:posOffset>
            </wp:positionV>
            <wp:extent cx="1131570" cy="3257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131570" cy="325755"/>
                    </a:xfrm>
                    <a:prstGeom prst="rect">
                      <a:avLst/>
                    </a:prstGeom>
                    <a:noFill/>
                  </pic:spPr>
                </pic:pic>
              </a:graphicData>
            </a:graphic>
          </wp:anchor>
        </w:drawing>
        <w:drawing>
          <wp:anchor simplePos="0" relativeHeight="251657728" behindDoc="1" locked="0" layoutInCell="0" allowOverlap="1">
            <wp:simplePos x="0" y="0"/>
            <wp:positionH relativeFrom="column">
              <wp:posOffset>3056890</wp:posOffset>
            </wp:positionH>
            <wp:positionV relativeFrom="paragraph">
              <wp:posOffset>-513715</wp:posOffset>
            </wp:positionV>
            <wp:extent cx="1028700" cy="4375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028700" cy="437515"/>
                    </a:xfrm>
                    <a:prstGeom prst="rect">
                      <a:avLst/>
                    </a:prstGeom>
                    <a:noFill/>
                  </pic:spPr>
                </pic:pic>
              </a:graphicData>
            </a:graphic>
          </wp:anchor>
        </w:drawing>
      </w:r>
    </w:p>
    <w:p>
      <w:pPr>
        <w:spacing w:after="0" w:line="205" w:lineRule="exact"/>
        <w:rPr>
          <w:rFonts w:ascii="Times New Roman" w:cs="Times New Roman" w:eastAsia="Times New Roman" w:hAnsi="Times New Roman"/>
          <w:sz w:val="18"/>
          <w:szCs w:val="18"/>
          <w:color w:val="auto"/>
        </w:rPr>
      </w:pPr>
    </w:p>
    <w:p>
      <w:pPr>
        <w:ind w:left="40"/>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7" w:lineRule="exact"/>
        <w:rPr>
          <w:rFonts w:ascii="Times New Roman" w:cs="Times New Roman" w:eastAsia="Times New Roman" w:hAnsi="Times New Roman"/>
          <w:sz w:val="18"/>
          <w:szCs w:val="18"/>
          <w:color w:val="auto"/>
        </w:rPr>
      </w:pPr>
    </w:p>
    <w:tbl>
      <w:tblPr>
        <w:tblLayout w:type="fixed"/>
        <w:tblInd w:w="0" w:type="dxa"/>
        <w:tblCellMar>
          <w:top w:w="0" w:type="dxa"/>
          <w:left w:w="0" w:type="dxa"/>
          <w:bottom w:w="0" w:type="dxa"/>
          <w:right w:w="0" w:type="dxa"/>
        </w:tblCellMar>
      </w:tblPr>
      <w:tr>
        <w:trPr>
          <w:trHeight w:val="213"/>
        </w:trPr>
        <w:tc>
          <w:tcPr>
            <w:tcW w:w="20" w:type="dxa"/>
            <w:vAlign w:val="bottom"/>
          </w:tcPr>
          <w:p>
            <w:pPr>
              <w:spacing w:after="0"/>
              <w:rPr>
                <w:sz w:val="18"/>
                <w:szCs w:val="18"/>
                <w:color w:val="auto"/>
              </w:rPr>
            </w:pPr>
          </w:p>
        </w:tc>
        <w:tc>
          <w:tcPr>
            <w:tcW w:w="53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Title of Each Class</w:t>
            </w:r>
          </w:p>
        </w:tc>
        <w:tc>
          <w:tcPr>
            <w:tcW w:w="2140" w:type="dxa"/>
            <w:vAlign w:val="bottom"/>
          </w:tcPr>
          <w:p>
            <w:pPr>
              <w:jc w:val="center"/>
              <w:ind w:left="433"/>
              <w:spacing w:after="0"/>
              <w:rPr>
                <w:sz w:val="20"/>
                <w:szCs w:val="20"/>
                <w:color w:val="auto"/>
              </w:rPr>
            </w:pPr>
            <w:r>
              <w:rPr>
                <w:rFonts w:ascii="Times New Roman" w:cs="Times New Roman" w:eastAsia="Times New Roman" w:hAnsi="Times New Roman"/>
                <w:sz w:val="16"/>
                <w:szCs w:val="16"/>
                <w:color w:val="auto"/>
              </w:rPr>
              <w:t>Trading Symbol</w:t>
            </w:r>
          </w:p>
        </w:tc>
        <w:tc>
          <w:tcPr>
            <w:tcW w:w="370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color w:val="auto"/>
              </w:rPr>
              <w:t>Name of Each Exchange on Which Registered</w:t>
            </w:r>
          </w:p>
        </w:tc>
      </w:tr>
      <w:tr>
        <w:trPr>
          <w:trHeight w:val="226"/>
        </w:trPr>
        <w:tc>
          <w:tcPr>
            <w:tcW w:w="20" w:type="dxa"/>
            <w:vAlign w:val="bottom"/>
          </w:tcPr>
          <w:p>
            <w:pPr>
              <w:spacing w:after="0"/>
              <w:rPr>
                <w:sz w:val="19"/>
                <w:szCs w:val="19"/>
                <w:color w:val="auto"/>
              </w:rPr>
            </w:pPr>
          </w:p>
        </w:tc>
        <w:tc>
          <w:tcPr>
            <w:tcW w:w="5380" w:type="dxa"/>
            <w:vAlign w:val="bottom"/>
            <w:tcBorders>
              <w:top w:val="single" w:sz="8" w:color="auto"/>
            </w:tcBorders>
            <w:shd w:val="clear" w:color="auto" w:fill="D4F1F5"/>
          </w:tcPr>
          <w:p>
            <w:pPr>
              <w:ind w:left="20"/>
              <w:spacing w:after="0"/>
              <w:rPr>
                <w:sz w:val="20"/>
                <w:szCs w:val="20"/>
                <w:color w:val="auto"/>
              </w:rPr>
            </w:pPr>
            <w:r>
              <w:rPr>
                <w:rFonts w:ascii="Times New Roman" w:cs="Times New Roman" w:eastAsia="Times New Roman" w:hAnsi="Times New Roman"/>
                <w:sz w:val="18"/>
                <w:szCs w:val="18"/>
                <w:b w:val="1"/>
                <w:bCs w:val="1"/>
                <w:color w:val="auto"/>
              </w:rPr>
              <w:t>Sempra:</w:t>
            </w:r>
          </w:p>
        </w:tc>
        <w:tc>
          <w:tcPr>
            <w:tcW w:w="2140" w:type="dxa"/>
            <w:vAlign w:val="bottom"/>
            <w:tcBorders>
              <w:top w:val="single" w:sz="8" w:color="auto"/>
            </w:tcBorders>
            <w:shd w:val="clear" w:color="auto" w:fill="D4F1F5"/>
          </w:tcPr>
          <w:p>
            <w:pPr>
              <w:spacing w:after="0"/>
              <w:rPr>
                <w:sz w:val="19"/>
                <w:szCs w:val="19"/>
                <w:color w:val="auto"/>
              </w:rPr>
            </w:pPr>
          </w:p>
        </w:tc>
        <w:tc>
          <w:tcPr>
            <w:tcW w:w="3680" w:type="dxa"/>
            <w:vAlign w:val="bottom"/>
            <w:tcBorders>
              <w:top w:val="single" w:sz="8" w:color="auto"/>
            </w:tcBorders>
            <w:shd w:val="clear" w:color="auto" w:fill="D4F1F5"/>
          </w:tcPr>
          <w:p>
            <w:pPr>
              <w:spacing w:after="0"/>
              <w:rPr>
                <w:sz w:val="19"/>
                <w:szCs w:val="19"/>
                <w:color w:val="auto"/>
              </w:rPr>
            </w:pPr>
          </w:p>
        </w:tc>
        <w:tc>
          <w:tcPr>
            <w:tcW w:w="20" w:type="dxa"/>
            <w:vAlign w:val="bottom"/>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53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Common Stock, without par value</w:t>
            </w:r>
          </w:p>
        </w:tc>
        <w:tc>
          <w:tcPr>
            <w:tcW w:w="2140" w:type="dxa"/>
            <w:vAlign w:val="bottom"/>
          </w:tcPr>
          <w:p>
            <w:pPr>
              <w:jc w:val="center"/>
              <w:ind w:left="413"/>
              <w:spacing w:after="0"/>
              <w:rPr>
                <w:sz w:val="20"/>
                <w:szCs w:val="20"/>
                <w:color w:val="auto"/>
              </w:rPr>
            </w:pPr>
            <w:r>
              <w:rPr>
                <w:rFonts w:ascii="Times New Roman" w:cs="Times New Roman" w:eastAsia="Times New Roman" w:hAnsi="Times New Roman"/>
                <w:sz w:val="18"/>
                <w:szCs w:val="18"/>
                <w:color w:val="auto"/>
                <w:w w:val="96"/>
              </w:rPr>
              <w:t>SRE</w:t>
            </w:r>
          </w:p>
        </w:tc>
        <w:tc>
          <w:tcPr>
            <w:tcW w:w="3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New York Stock Exchange</w:t>
            </w:r>
          </w:p>
        </w:tc>
        <w:tc>
          <w:tcPr>
            <w:tcW w:w="2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5380" w:type="dxa"/>
            <w:vAlign w:val="bottom"/>
            <w:shd w:val="clear" w:color="auto" w:fill="D4F1F5"/>
          </w:tcPr>
          <w:p>
            <w:pPr>
              <w:ind w:left="340"/>
              <w:spacing w:after="0"/>
              <w:rPr>
                <w:sz w:val="20"/>
                <w:szCs w:val="20"/>
                <w:color w:val="auto"/>
              </w:rPr>
            </w:pPr>
            <w:r>
              <w:rPr>
                <w:rFonts w:ascii="Times New Roman" w:cs="Times New Roman" w:eastAsia="Times New Roman" w:hAnsi="Times New Roman"/>
                <w:sz w:val="18"/>
                <w:szCs w:val="18"/>
                <w:color w:val="auto"/>
              </w:rPr>
              <w:t>5.75% Junior Subordinated Notes Due 2079, $25 par value</w:t>
            </w:r>
          </w:p>
        </w:tc>
        <w:tc>
          <w:tcPr>
            <w:tcW w:w="2140" w:type="dxa"/>
            <w:vAlign w:val="bottom"/>
            <w:shd w:val="clear" w:color="auto" w:fill="D4F1F5"/>
          </w:tcPr>
          <w:p>
            <w:pPr>
              <w:jc w:val="center"/>
              <w:ind w:left="433"/>
              <w:spacing w:after="0"/>
              <w:rPr>
                <w:sz w:val="20"/>
                <w:szCs w:val="20"/>
                <w:color w:val="auto"/>
              </w:rPr>
            </w:pPr>
            <w:r>
              <w:rPr>
                <w:rFonts w:ascii="Times New Roman" w:cs="Times New Roman" w:eastAsia="Times New Roman" w:hAnsi="Times New Roman"/>
                <w:sz w:val="18"/>
                <w:szCs w:val="18"/>
                <w:color w:val="auto"/>
                <w:w w:val="99"/>
              </w:rPr>
              <w:t>SREA</w:t>
            </w:r>
          </w:p>
        </w:tc>
        <w:tc>
          <w:tcPr>
            <w:tcW w:w="3680" w:type="dxa"/>
            <w:vAlign w:val="bottom"/>
            <w:shd w:val="clear" w:color="auto" w:fill="D4F1F5"/>
          </w:tcPr>
          <w:p>
            <w:pPr>
              <w:jc w:val="center"/>
              <w:spacing w:after="0"/>
              <w:rPr>
                <w:sz w:val="20"/>
                <w:szCs w:val="20"/>
                <w:color w:val="auto"/>
              </w:rPr>
            </w:pPr>
            <w:r>
              <w:rPr>
                <w:rFonts w:ascii="Times New Roman" w:cs="Times New Roman" w:eastAsia="Times New Roman" w:hAnsi="Times New Roman"/>
                <w:sz w:val="18"/>
                <w:szCs w:val="18"/>
                <w:color w:val="auto"/>
                <w:w w:val="98"/>
              </w:rPr>
              <w:t>New York Stock Exchange</w:t>
            </w:r>
          </w:p>
        </w:tc>
        <w:tc>
          <w:tcPr>
            <w:tcW w:w="2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53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San Diego Gas &amp; Electric Company:</w:t>
            </w:r>
          </w:p>
        </w:tc>
        <w:tc>
          <w:tcPr>
            <w:tcW w:w="2140" w:type="dxa"/>
            <w:vAlign w:val="bottom"/>
          </w:tcPr>
          <w:p>
            <w:pPr>
              <w:spacing w:after="0"/>
              <w:rPr>
                <w:sz w:val="19"/>
                <w:szCs w:val="19"/>
                <w:color w:val="auto"/>
              </w:rPr>
            </w:pPr>
          </w:p>
        </w:tc>
        <w:tc>
          <w:tcPr>
            <w:tcW w:w="36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5380" w:type="dxa"/>
            <w:vAlign w:val="bottom"/>
            <w:shd w:val="clear" w:color="auto" w:fill="D4F1F5"/>
          </w:tcPr>
          <w:p>
            <w:pPr>
              <w:ind w:left="340"/>
              <w:spacing w:after="0"/>
              <w:rPr>
                <w:sz w:val="20"/>
                <w:szCs w:val="20"/>
                <w:color w:val="auto"/>
              </w:rPr>
            </w:pPr>
            <w:r>
              <w:rPr>
                <w:rFonts w:ascii="Times New Roman" w:cs="Times New Roman" w:eastAsia="Times New Roman" w:hAnsi="Times New Roman"/>
                <w:sz w:val="18"/>
                <w:szCs w:val="18"/>
                <w:color w:val="auto"/>
              </w:rPr>
              <w:t>None</w:t>
            </w:r>
          </w:p>
        </w:tc>
        <w:tc>
          <w:tcPr>
            <w:tcW w:w="2140" w:type="dxa"/>
            <w:vAlign w:val="bottom"/>
            <w:shd w:val="clear" w:color="auto" w:fill="D4F1F5"/>
          </w:tcPr>
          <w:p>
            <w:pPr>
              <w:spacing w:after="0"/>
              <w:rPr>
                <w:sz w:val="19"/>
                <w:szCs w:val="19"/>
                <w:color w:val="auto"/>
              </w:rPr>
            </w:pPr>
          </w:p>
        </w:tc>
        <w:tc>
          <w:tcPr>
            <w:tcW w:w="3680" w:type="dxa"/>
            <w:vAlign w:val="bottom"/>
            <w:shd w:val="clear" w:color="auto" w:fill="D4F1F5"/>
          </w:tcPr>
          <w:p>
            <w:pPr>
              <w:spacing w:after="0"/>
              <w:rPr>
                <w:sz w:val="19"/>
                <w:szCs w:val="19"/>
                <w:color w:val="auto"/>
              </w:rPr>
            </w:pPr>
          </w:p>
        </w:tc>
        <w:tc>
          <w:tcPr>
            <w:tcW w:w="20" w:type="dxa"/>
            <w:vAlign w:val="bottom"/>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53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Southern California Gas Company:</w:t>
            </w:r>
          </w:p>
        </w:tc>
        <w:tc>
          <w:tcPr>
            <w:tcW w:w="2140" w:type="dxa"/>
            <w:vAlign w:val="bottom"/>
          </w:tcPr>
          <w:p>
            <w:pPr>
              <w:spacing w:after="0"/>
              <w:rPr>
                <w:sz w:val="19"/>
                <w:szCs w:val="19"/>
                <w:color w:val="auto"/>
              </w:rPr>
            </w:pPr>
          </w:p>
        </w:tc>
        <w:tc>
          <w:tcPr>
            <w:tcW w:w="36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7"/>
        </w:trPr>
        <w:tc>
          <w:tcPr>
            <w:tcW w:w="20" w:type="dxa"/>
            <w:vAlign w:val="bottom"/>
          </w:tcPr>
          <w:p>
            <w:pPr>
              <w:spacing w:after="0"/>
              <w:rPr>
                <w:sz w:val="20"/>
                <w:szCs w:val="20"/>
                <w:color w:val="auto"/>
              </w:rPr>
            </w:pPr>
          </w:p>
        </w:tc>
        <w:tc>
          <w:tcPr>
            <w:tcW w:w="5380" w:type="dxa"/>
            <w:vAlign w:val="bottom"/>
            <w:tcBorders>
              <w:bottom w:val="single" w:sz="8" w:color="B6B6B6"/>
            </w:tcBorders>
            <w:shd w:val="clear" w:color="auto" w:fill="D4F1F5"/>
          </w:tcPr>
          <w:p>
            <w:pPr>
              <w:ind w:left="340"/>
              <w:spacing w:after="0"/>
              <w:rPr>
                <w:sz w:val="20"/>
                <w:szCs w:val="20"/>
                <w:color w:val="auto"/>
              </w:rPr>
            </w:pPr>
            <w:r>
              <w:rPr>
                <w:rFonts w:ascii="Times New Roman" w:cs="Times New Roman" w:eastAsia="Times New Roman" w:hAnsi="Times New Roman"/>
                <w:sz w:val="18"/>
                <w:szCs w:val="18"/>
                <w:color w:val="auto"/>
              </w:rPr>
              <w:t>None</w:t>
            </w:r>
          </w:p>
        </w:tc>
        <w:tc>
          <w:tcPr>
            <w:tcW w:w="2140" w:type="dxa"/>
            <w:vAlign w:val="bottom"/>
            <w:tcBorders>
              <w:bottom w:val="single" w:sz="8" w:color="B6B6B6"/>
            </w:tcBorders>
            <w:shd w:val="clear" w:color="auto" w:fill="D4F1F5"/>
          </w:tcPr>
          <w:p>
            <w:pPr>
              <w:spacing w:after="0"/>
              <w:rPr>
                <w:sz w:val="20"/>
                <w:szCs w:val="20"/>
                <w:color w:val="auto"/>
              </w:rPr>
            </w:pPr>
          </w:p>
        </w:tc>
        <w:tc>
          <w:tcPr>
            <w:tcW w:w="3680" w:type="dxa"/>
            <w:vAlign w:val="bottom"/>
            <w:tcBorders>
              <w:bottom w:val="single" w:sz="8" w:color="B6B6B6"/>
            </w:tcBorders>
            <w:shd w:val="clear" w:color="auto" w:fill="D4F1F5"/>
          </w:tcPr>
          <w:p>
            <w:pPr>
              <w:spacing w:after="0"/>
              <w:rPr>
                <w:sz w:val="20"/>
                <w:szCs w:val="20"/>
                <w:color w:val="auto"/>
              </w:rPr>
            </w:pPr>
          </w:p>
        </w:tc>
        <w:tc>
          <w:tcPr>
            <w:tcW w:w="20" w:type="dxa"/>
            <w:vAlign w:val="bottom"/>
          </w:tcPr>
          <w:p>
            <w:pPr>
              <w:spacing w:after="0"/>
              <w:rPr>
                <w:sz w:val="20"/>
                <w:szCs w:val="20"/>
                <w:color w:val="auto"/>
              </w:rPr>
            </w:pPr>
          </w:p>
        </w:tc>
      </w:tr>
      <w:tr>
        <w:trPr>
          <w:trHeight w:val="2099"/>
        </w:trPr>
        <w:tc>
          <w:tcPr>
            <w:tcW w:w="20" w:type="dxa"/>
            <w:vAlign w:val="bottom"/>
            <w:tcBorders>
              <w:bottom w:val="single" w:sz="8" w:color="9A9A9A"/>
            </w:tcBorders>
          </w:tcPr>
          <w:p>
            <w:pPr>
              <w:spacing w:after="0"/>
              <w:rPr>
                <w:sz w:val="24"/>
                <w:szCs w:val="24"/>
                <w:color w:val="auto"/>
              </w:rPr>
            </w:pPr>
          </w:p>
        </w:tc>
        <w:tc>
          <w:tcPr>
            <w:tcW w:w="5380" w:type="dxa"/>
            <w:vAlign w:val="bottom"/>
            <w:tcBorders>
              <w:bottom w:val="single" w:sz="8" w:color="9A9A9A"/>
            </w:tcBorders>
          </w:tcPr>
          <w:p>
            <w:pPr>
              <w:spacing w:after="0"/>
              <w:rPr>
                <w:sz w:val="24"/>
                <w:szCs w:val="24"/>
                <w:color w:val="auto"/>
              </w:rPr>
            </w:pPr>
          </w:p>
        </w:tc>
        <w:tc>
          <w:tcPr>
            <w:tcW w:w="2140" w:type="dxa"/>
            <w:vAlign w:val="bottom"/>
            <w:tcBorders>
              <w:bottom w:val="single" w:sz="8" w:color="9A9A9A"/>
            </w:tcBorders>
          </w:tcPr>
          <w:p>
            <w:pPr>
              <w:spacing w:after="0"/>
              <w:rPr>
                <w:sz w:val="24"/>
                <w:szCs w:val="24"/>
                <w:color w:val="auto"/>
              </w:rPr>
            </w:pPr>
          </w:p>
        </w:tc>
        <w:tc>
          <w:tcPr>
            <w:tcW w:w="36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 w:name="page2"/>
    <w:bookmarkEnd w:id="1"/>
    <w:p>
      <w:pPr>
        <w:ind w:left="20" w:right="40"/>
        <w:spacing w:after="0" w:line="24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Registrants (1) have filed all reports required to be filed by Section 13 or 15(d) of the Securities Exchange Act of 1934 during the preceding 12 months (or for such shorter period that the Registrants were required to file such reports), and (2) have been subject to such filing requirements for the past 90 days. Yes </w:t>
      </w:r>
      <w:r>
        <w:rPr>
          <w:rFonts w:ascii="MS PGothic" w:cs="MS PGothic" w:eastAsia="MS PGothic" w:hAnsi="MS PGothic"/>
          <w:sz w:val="19"/>
          <w:szCs w:val="19"/>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9"/>
          <w:szCs w:val="19"/>
          <w:color w:val="auto"/>
        </w:rPr>
        <w:t>☐</w:t>
      </w:r>
    </w:p>
    <w:p>
      <w:pPr>
        <w:spacing w:after="0" w:line="178" w:lineRule="exact"/>
        <w:rPr>
          <w:sz w:val="20"/>
          <w:szCs w:val="20"/>
          <w:color w:val="auto"/>
        </w:rPr>
      </w:pPr>
    </w:p>
    <w:p>
      <w:pPr>
        <w:ind w:left="20" w:right="120"/>
        <w:spacing w:after="0" w:line="264"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Registrants have submitted electronically every Interactive Data File required to be submitted pursuant to Rule 405 of Regulation S-T during the preceding 12 months (or for such shorter period that the Registrants were required to submit such files). Yes </w:t>
      </w:r>
      <w:r>
        <w:rPr>
          <w:rFonts w:ascii="MS PGothic" w:cs="MS PGothic" w:eastAsia="MS PGothic" w:hAnsi="MS PGothic"/>
          <w:sz w:val="19"/>
          <w:szCs w:val="19"/>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9"/>
          <w:szCs w:val="19"/>
          <w:color w:val="auto"/>
        </w:rPr>
        <w:t>☐</w:t>
      </w:r>
    </w:p>
    <w:p>
      <w:pPr>
        <w:spacing w:after="0" w:line="162" w:lineRule="exact"/>
        <w:rPr>
          <w:sz w:val="20"/>
          <w:szCs w:val="20"/>
          <w:color w:val="auto"/>
        </w:rPr>
      </w:pPr>
    </w:p>
    <w:p>
      <w:pPr>
        <w:ind w:left="20" w:right="240"/>
        <w:spacing w:after="0" w:line="274"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320" w:type="dxa"/>
            <w:vAlign w:val="bottom"/>
          </w:tcPr>
          <w:p>
            <w:pPr>
              <w:spacing w:after="0"/>
              <w:rPr>
                <w:sz w:val="16"/>
                <w:szCs w:val="16"/>
                <w:color w:val="auto"/>
              </w:rPr>
            </w:pPr>
          </w:p>
        </w:tc>
        <w:tc>
          <w:tcPr>
            <w:tcW w:w="1980" w:type="dxa"/>
            <w:vAlign w:val="bottom"/>
          </w:tcPr>
          <w:p>
            <w:pPr>
              <w:jc w:val="center"/>
              <w:ind w:left="168"/>
              <w:spacing w:after="0"/>
              <w:rPr>
                <w:sz w:val="20"/>
                <w:szCs w:val="20"/>
                <w:color w:val="auto"/>
              </w:rPr>
            </w:pPr>
            <w:r>
              <w:rPr>
                <w:rFonts w:ascii="Times New Roman" w:cs="Times New Roman" w:eastAsia="Times New Roman" w:hAnsi="Times New Roman"/>
                <w:sz w:val="16"/>
                <w:szCs w:val="16"/>
                <w:color w:val="auto"/>
              </w:rPr>
              <w:t>Large Accelerated</w:t>
            </w:r>
          </w:p>
        </w:tc>
        <w:tc>
          <w:tcPr>
            <w:tcW w:w="12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Accelerated</w:t>
            </w:r>
          </w:p>
        </w:tc>
        <w:tc>
          <w:tcPr>
            <w:tcW w:w="1720" w:type="dxa"/>
            <w:vAlign w:val="bottom"/>
            <w:vMerge w:val="restart"/>
          </w:tcPr>
          <w:p>
            <w:pPr>
              <w:jc w:val="center"/>
              <w:ind w:left="26"/>
              <w:spacing w:after="0"/>
              <w:rPr>
                <w:sz w:val="20"/>
                <w:szCs w:val="20"/>
                <w:color w:val="auto"/>
              </w:rPr>
            </w:pPr>
            <w:r>
              <w:rPr>
                <w:rFonts w:ascii="Times New Roman" w:cs="Times New Roman" w:eastAsia="Times New Roman" w:hAnsi="Times New Roman"/>
                <w:sz w:val="16"/>
                <w:szCs w:val="16"/>
                <w:color w:val="auto"/>
              </w:rPr>
              <w:t>Non-accelerated Filer</w:t>
            </w:r>
          </w:p>
        </w:tc>
        <w:tc>
          <w:tcPr>
            <w:tcW w:w="14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Smaller Reporting</w:t>
            </w:r>
          </w:p>
        </w:tc>
        <w:tc>
          <w:tcPr>
            <w:tcW w:w="15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Emerging Growth</w:t>
            </w:r>
          </w:p>
        </w:tc>
        <w:tc>
          <w:tcPr>
            <w:tcW w:w="0" w:type="dxa"/>
            <w:vAlign w:val="bottom"/>
          </w:tcPr>
          <w:p>
            <w:pPr>
              <w:spacing w:after="0"/>
              <w:rPr>
                <w:sz w:val="1"/>
                <w:szCs w:val="1"/>
                <w:color w:val="auto"/>
              </w:rPr>
            </w:pPr>
          </w:p>
        </w:tc>
      </w:tr>
      <w:tr>
        <w:trPr>
          <w:trHeight w:val="213"/>
        </w:trPr>
        <w:tc>
          <w:tcPr>
            <w:tcW w:w="3320" w:type="dxa"/>
            <w:vAlign w:val="bottom"/>
            <w:tcBorders>
              <w:bottom w:val="single" w:sz="8" w:color="auto"/>
            </w:tcBorders>
          </w:tcPr>
          <w:p>
            <w:pPr>
              <w:spacing w:after="0"/>
              <w:rPr>
                <w:sz w:val="18"/>
                <w:szCs w:val="18"/>
                <w:color w:val="auto"/>
              </w:rPr>
            </w:pPr>
          </w:p>
        </w:tc>
        <w:tc>
          <w:tcPr>
            <w:tcW w:w="1980" w:type="dxa"/>
            <w:vAlign w:val="bottom"/>
            <w:tcBorders>
              <w:bottom w:val="single" w:sz="8" w:color="auto"/>
            </w:tcBorders>
          </w:tcPr>
          <w:p>
            <w:pPr>
              <w:jc w:val="center"/>
              <w:ind w:left="148"/>
              <w:spacing w:after="0"/>
              <w:rPr>
                <w:sz w:val="20"/>
                <w:szCs w:val="20"/>
                <w:color w:val="auto"/>
              </w:rPr>
            </w:pPr>
            <w:r>
              <w:rPr>
                <w:rFonts w:ascii="Times New Roman" w:cs="Times New Roman" w:eastAsia="Times New Roman" w:hAnsi="Times New Roman"/>
                <w:sz w:val="16"/>
                <w:szCs w:val="16"/>
                <w:color w:val="auto"/>
                <w:w w:val="99"/>
              </w:rPr>
              <w:t>Filer</w:t>
            </w:r>
          </w:p>
        </w:tc>
        <w:tc>
          <w:tcPr>
            <w:tcW w:w="1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Filer</w:t>
            </w:r>
          </w:p>
        </w:tc>
        <w:tc>
          <w:tcPr>
            <w:tcW w:w="1720" w:type="dxa"/>
            <w:vAlign w:val="bottom"/>
            <w:tcBorders>
              <w:bottom w:val="single" w:sz="8" w:color="auto"/>
            </w:tcBorders>
            <w:vMerge w:val="continue"/>
          </w:tcPr>
          <w:p>
            <w:pPr>
              <w:spacing w:after="0"/>
              <w:rPr>
                <w:sz w:val="18"/>
                <w:szCs w:val="18"/>
                <w:color w:val="auto"/>
              </w:rPr>
            </w:pPr>
          </w:p>
        </w:tc>
        <w:tc>
          <w:tcPr>
            <w:tcW w:w="1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Company</w:t>
            </w:r>
          </w:p>
        </w:tc>
        <w:tc>
          <w:tcPr>
            <w:tcW w:w="1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Company</w:t>
            </w:r>
          </w:p>
        </w:tc>
        <w:tc>
          <w:tcPr>
            <w:tcW w:w="0" w:type="dxa"/>
            <w:vAlign w:val="bottom"/>
          </w:tcPr>
          <w:p>
            <w:pPr>
              <w:spacing w:after="0"/>
              <w:rPr>
                <w:sz w:val="1"/>
                <w:szCs w:val="1"/>
                <w:color w:val="auto"/>
              </w:rPr>
            </w:pPr>
          </w:p>
        </w:tc>
      </w:tr>
      <w:tr>
        <w:trPr>
          <w:trHeight w:val="253"/>
        </w:trPr>
        <w:tc>
          <w:tcPr>
            <w:tcW w:w="3320" w:type="dxa"/>
            <w:vAlign w:val="bottom"/>
            <w:shd w:val="clear" w:color="auto" w:fill="D4F1F5"/>
          </w:tcPr>
          <w:p>
            <w:pPr>
              <w:ind w:left="20"/>
              <w:spacing w:after="0"/>
              <w:rPr>
                <w:sz w:val="20"/>
                <w:szCs w:val="20"/>
                <w:color w:val="auto"/>
              </w:rPr>
            </w:pPr>
            <w:r>
              <w:rPr>
                <w:rFonts w:ascii="Times New Roman" w:cs="Times New Roman" w:eastAsia="Times New Roman" w:hAnsi="Times New Roman"/>
                <w:sz w:val="18"/>
                <w:szCs w:val="18"/>
                <w:b w:val="1"/>
                <w:bCs w:val="1"/>
                <w:color w:val="auto"/>
              </w:rPr>
              <w:t>Sempra</w:t>
            </w:r>
          </w:p>
        </w:tc>
        <w:tc>
          <w:tcPr>
            <w:tcW w:w="1980" w:type="dxa"/>
            <w:vAlign w:val="bottom"/>
            <w:shd w:val="clear" w:color="auto" w:fill="D4F1F5"/>
          </w:tcPr>
          <w:p>
            <w:pPr>
              <w:jc w:val="center"/>
              <w:ind w:left="148"/>
              <w:spacing w:after="0" w:line="201" w:lineRule="exact"/>
              <w:rPr>
                <w:sz w:val="20"/>
                <w:szCs w:val="20"/>
                <w:color w:val="auto"/>
              </w:rPr>
            </w:pPr>
            <w:r>
              <w:rPr>
                <w:rFonts w:ascii="MS PGothic" w:cs="MS PGothic" w:eastAsia="MS PGothic" w:hAnsi="MS PGothic"/>
                <w:sz w:val="20"/>
                <w:szCs w:val="20"/>
                <w:color w:val="auto"/>
                <w:w w:val="89"/>
              </w:rPr>
              <w:t>☒</w:t>
            </w:r>
          </w:p>
        </w:tc>
        <w:tc>
          <w:tcPr>
            <w:tcW w:w="1240" w:type="dxa"/>
            <w:vAlign w:val="bottom"/>
            <w:shd w:val="clear" w:color="auto" w:fill="D4F1F5"/>
          </w:tcPr>
          <w:p>
            <w:pPr>
              <w:jc w:val="center"/>
              <w:spacing w:after="0" w:line="201" w:lineRule="exact"/>
              <w:rPr>
                <w:sz w:val="20"/>
                <w:szCs w:val="20"/>
                <w:color w:val="auto"/>
              </w:rPr>
            </w:pPr>
            <w:r>
              <w:rPr>
                <w:rFonts w:ascii="MS PGothic" w:cs="MS PGothic" w:eastAsia="MS PGothic" w:hAnsi="MS PGothic"/>
                <w:sz w:val="20"/>
                <w:szCs w:val="20"/>
                <w:color w:val="auto"/>
                <w:w w:val="89"/>
              </w:rPr>
              <w:t>☐</w:t>
            </w:r>
          </w:p>
        </w:tc>
        <w:tc>
          <w:tcPr>
            <w:tcW w:w="1720" w:type="dxa"/>
            <w:vAlign w:val="bottom"/>
            <w:shd w:val="clear" w:color="auto" w:fill="D4F1F5"/>
          </w:tcPr>
          <w:p>
            <w:pPr>
              <w:jc w:val="center"/>
              <w:ind w:left="26"/>
              <w:spacing w:after="0" w:line="201" w:lineRule="exact"/>
              <w:rPr>
                <w:sz w:val="20"/>
                <w:szCs w:val="20"/>
                <w:color w:val="auto"/>
              </w:rPr>
            </w:pPr>
            <w:r>
              <w:rPr>
                <w:rFonts w:ascii="MS PGothic" w:cs="MS PGothic" w:eastAsia="MS PGothic" w:hAnsi="MS PGothic"/>
                <w:sz w:val="20"/>
                <w:szCs w:val="20"/>
                <w:color w:val="auto"/>
                <w:w w:val="79"/>
              </w:rPr>
              <w:t>☐</w:t>
            </w:r>
          </w:p>
        </w:tc>
        <w:tc>
          <w:tcPr>
            <w:tcW w:w="1480" w:type="dxa"/>
            <w:vAlign w:val="bottom"/>
            <w:shd w:val="clear" w:color="auto" w:fill="D4F1F5"/>
          </w:tcPr>
          <w:p>
            <w:pPr>
              <w:jc w:val="center"/>
              <w:spacing w:after="0" w:line="201" w:lineRule="exact"/>
              <w:rPr>
                <w:sz w:val="20"/>
                <w:szCs w:val="20"/>
                <w:color w:val="auto"/>
              </w:rPr>
            </w:pPr>
            <w:r>
              <w:rPr>
                <w:rFonts w:ascii="MS PGothic" w:cs="MS PGothic" w:eastAsia="MS PGothic" w:hAnsi="MS PGothic"/>
                <w:sz w:val="20"/>
                <w:szCs w:val="20"/>
                <w:color w:val="auto"/>
                <w:w w:val="89"/>
              </w:rPr>
              <w:t>☐</w:t>
            </w:r>
          </w:p>
        </w:tc>
        <w:tc>
          <w:tcPr>
            <w:tcW w:w="1500" w:type="dxa"/>
            <w:vAlign w:val="bottom"/>
            <w:shd w:val="clear" w:color="auto" w:fill="D4F1F5"/>
          </w:tcPr>
          <w:p>
            <w:pPr>
              <w:jc w:val="center"/>
              <w:spacing w:after="0" w:line="201" w:lineRule="exact"/>
              <w:rPr>
                <w:sz w:val="20"/>
                <w:szCs w:val="20"/>
                <w:color w:val="auto"/>
              </w:rPr>
            </w:pPr>
            <w:r>
              <w:rPr>
                <w:rFonts w:ascii="MS PGothic" w:cs="MS PGothic" w:eastAsia="MS PGothic" w:hAnsi="MS PGothic"/>
                <w:sz w:val="20"/>
                <w:szCs w:val="20"/>
                <w:color w:val="auto"/>
                <w:w w:val="89"/>
              </w:rPr>
              <w:t>☐</w:t>
            </w:r>
          </w:p>
        </w:tc>
        <w:tc>
          <w:tcPr>
            <w:tcW w:w="0" w:type="dxa"/>
            <w:vAlign w:val="bottom"/>
          </w:tcPr>
          <w:p>
            <w:pPr>
              <w:spacing w:after="0"/>
              <w:rPr>
                <w:sz w:val="1"/>
                <w:szCs w:val="1"/>
                <w:color w:val="auto"/>
              </w:rPr>
            </w:pPr>
          </w:p>
        </w:tc>
      </w:tr>
      <w:tr>
        <w:trPr>
          <w:trHeight w:val="256"/>
        </w:trPr>
        <w:tc>
          <w:tcPr>
            <w:tcW w:w="33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San Diego Gas &amp; Electric Company</w:t>
            </w:r>
          </w:p>
        </w:tc>
        <w:tc>
          <w:tcPr>
            <w:tcW w:w="1980" w:type="dxa"/>
            <w:vAlign w:val="bottom"/>
          </w:tcPr>
          <w:p>
            <w:pPr>
              <w:jc w:val="center"/>
              <w:ind w:left="148"/>
              <w:spacing w:after="0" w:line="201" w:lineRule="exact"/>
              <w:rPr>
                <w:sz w:val="20"/>
                <w:szCs w:val="20"/>
                <w:color w:val="auto"/>
              </w:rPr>
            </w:pPr>
            <w:r>
              <w:rPr>
                <w:rFonts w:ascii="MS PGothic" w:cs="MS PGothic" w:eastAsia="MS PGothic" w:hAnsi="MS PGothic"/>
                <w:sz w:val="20"/>
                <w:szCs w:val="20"/>
                <w:color w:val="auto"/>
                <w:w w:val="89"/>
              </w:rPr>
              <w:t>☐</w:t>
            </w:r>
          </w:p>
        </w:tc>
        <w:tc>
          <w:tcPr>
            <w:tcW w:w="1240" w:type="dxa"/>
            <w:vAlign w:val="bottom"/>
          </w:tcPr>
          <w:p>
            <w:pPr>
              <w:jc w:val="center"/>
              <w:spacing w:after="0" w:line="201" w:lineRule="exact"/>
              <w:rPr>
                <w:sz w:val="20"/>
                <w:szCs w:val="20"/>
                <w:color w:val="auto"/>
              </w:rPr>
            </w:pPr>
            <w:r>
              <w:rPr>
                <w:rFonts w:ascii="MS PGothic" w:cs="MS PGothic" w:eastAsia="MS PGothic" w:hAnsi="MS PGothic"/>
                <w:sz w:val="20"/>
                <w:szCs w:val="20"/>
                <w:color w:val="auto"/>
                <w:w w:val="89"/>
              </w:rPr>
              <w:t>☐</w:t>
            </w:r>
          </w:p>
        </w:tc>
        <w:tc>
          <w:tcPr>
            <w:tcW w:w="1720" w:type="dxa"/>
            <w:vAlign w:val="bottom"/>
          </w:tcPr>
          <w:p>
            <w:pPr>
              <w:jc w:val="center"/>
              <w:ind w:left="26"/>
              <w:spacing w:after="0" w:line="201" w:lineRule="exact"/>
              <w:rPr>
                <w:sz w:val="20"/>
                <w:szCs w:val="20"/>
                <w:color w:val="auto"/>
              </w:rPr>
            </w:pPr>
            <w:r>
              <w:rPr>
                <w:rFonts w:ascii="MS PGothic" w:cs="MS PGothic" w:eastAsia="MS PGothic" w:hAnsi="MS PGothic"/>
                <w:sz w:val="20"/>
                <w:szCs w:val="20"/>
                <w:color w:val="auto"/>
                <w:w w:val="79"/>
              </w:rPr>
              <w:t>☒</w:t>
            </w:r>
          </w:p>
        </w:tc>
        <w:tc>
          <w:tcPr>
            <w:tcW w:w="1480" w:type="dxa"/>
            <w:vAlign w:val="bottom"/>
          </w:tcPr>
          <w:p>
            <w:pPr>
              <w:jc w:val="center"/>
              <w:spacing w:after="0" w:line="201" w:lineRule="exact"/>
              <w:rPr>
                <w:sz w:val="20"/>
                <w:szCs w:val="20"/>
                <w:color w:val="auto"/>
              </w:rPr>
            </w:pPr>
            <w:r>
              <w:rPr>
                <w:rFonts w:ascii="MS PGothic" w:cs="MS PGothic" w:eastAsia="MS PGothic" w:hAnsi="MS PGothic"/>
                <w:sz w:val="20"/>
                <w:szCs w:val="20"/>
                <w:color w:val="auto"/>
                <w:w w:val="89"/>
              </w:rPr>
              <w:t>☐</w:t>
            </w:r>
          </w:p>
        </w:tc>
        <w:tc>
          <w:tcPr>
            <w:tcW w:w="1500" w:type="dxa"/>
            <w:vAlign w:val="bottom"/>
          </w:tcPr>
          <w:p>
            <w:pPr>
              <w:jc w:val="center"/>
              <w:spacing w:after="0" w:line="201" w:lineRule="exact"/>
              <w:rPr>
                <w:sz w:val="20"/>
                <w:szCs w:val="20"/>
                <w:color w:val="auto"/>
              </w:rPr>
            </w:pPr>
            <w:r>
              <w:rPr>
                <w:rFonts w:ascii="MS PGothic" w:cs="MS PGothic" w:eastAsia="MS PGothic" w:hAnsi="MS PGothic"/>
                <w:sz w:val="20"/>
                <w:szCs w:val="20"/>
                <w:color w:val="auto"/>
                <w:w w:val="89"/>
              </w:rPr>
              <w:t>☐</w:t>
            </w:r>
          </w:p>
        </w:tc>
        <w:tc>
          <w:tcPr>
            <w:tcW w:w="0" w:type="dxa"/>
            <w:vAlign w:val="bottom"/>
          </w:tcPr>
          <w:p>
            <w:pPr>
              <w:spacing w:after="0"/>
              <w:rPr>
                <w:sz w:val="1"/>
                <w:szCs w:val="1"/>
                <w:color w:val="auto"/>
              </w:rPr>
            </w:pPr>
          </w:p>
        </w:tc>
      </w:tr>
      <w:tr>
        <w:trPr>
          <w:trHeight w:val="264"/>
        </w:trPr>
        <w:tc>
          <w:tcPr>
            <w:tcW w:w="3320" w:type="dxa"/>
            <w:vAlign w:val="bottom"/>
            <w:tcBorders>
              <w:bottom w:val="single" w:sz="8" w:color="B6B6B6"/>
            </w:tcBorders>
            <w:shd w:val="clear" w:color="auto" w:fill="D4F1F5"/>
          </w:tcPr>
          <w:p>
            <w:pPr>
              <w:ind w:left="20"/>
              <w:spacing w:after="0"/>
              <w:rPr>
                <w:sz w:val="20"/>
                <w:szCs w:val="20"/>
                <w:color w:val="auto"/>
              </w:rPr>
            </w:pPr>
            <w:r>
              <w:rPr>
                <w:rFonts w:ascii="Times New Roman" w:cs="Times New Roman" w:eastAsia="Times New Roman" w:hAnsi="Times New Roman"/>
                <w:sz w:val="18"/>
                <w:szCs w:val="18"/>
                <w:b w:val="1"/>
                <w:bCs w:val="1"/>
                <w:color w:val="auto"/>
              </w:rPr>
              <w:t>Southern California Gas Company</w:t>
            </w:r>
          </w:p>
        </w:tc>
        <w:tc>
          <w:tcPr>
            <w:tcW w:w="1980" w:type="dxa"/>
            <w:vAlign w:val="bottom"/>
            <w:tcBorders>
              <w:bottom w:val="single" w:sz="8" w:color="B6B6B6"/>
            </w:tcBorders>
            <w:shd w:val="clear" w:color="auto" w:fill="D4F1F5"/>
          </w:tcPr>
          <w:p>
            <w:pPr>
              <w:jc w:val="center"/>
              <w:ind w:left="148"/>
              <w:spacing w:after="0" w:line="201" w:lineRule="exact"/>
              <w:rPr>
                <w:sz w:val="20"/>
                <w:szCs w:val="20"/>
                <w:color w:val="auto"/>
              </w:rPr>
            </w:pPr>
            <w:r>
              <w:rPr>
                <w:rFonts w:ascii="MS PGothic" w:cs="MS PGothic" w:eastAsia="MS PGothic" w:hAnsi="MS PGothic"/>
                <w:sz w:val="20"/>
                <w:szCs w:val="20"/>
                <w:color w:val="auto"/>
                <w:w w:val="89"/>
              </w:rPr>
              <w:t>☐</w:t>
            </w:r>
          </w:p>
        </w:tc>
        <w:tc>
          <w:tcPr>
            <w:tcW w:w="1240" w:type="dxa"/>
            <w:vAlign w:val="bottom"/>
            <w:tcBorders>
              <w:bottom w:val="single" w:sz="8" w:color="B6B6B6"/>
            </w:tcBorders>
            <w:shd w:val="clear" w:color="auto" w:fill="D4F1F5"/>
          </w:tcPr>
          <w:p>
            <w:pPr>
              <w:jc w:val="center"/>
              <w:spacing w:after="0" w:line="201" w:lineRule="exact"/>
              <w:rPr>
                <w:sz w:val="20"/>
                <w:szCs w:val="20"/>
                <w:color w:val="auto"/>
              </w:rPr>
            </w:pPr>
            <w:r>
              <w:rPr>
                <w:rFonts w:ascii="MS PGothic" w:cs="MS PGothic" w:eastAsia="MS PGothic" w:hAnsi="MS PGothic"/>
                <w:sz w:val="20"/>
                <w:szCs w:val="20"/>
                <w:color w:val="auto"/>
                <w:w w:val="89"/>
              </w:rPr>
              <w:t>☐</w:t>
            </w:r>
          </w:p>
        </w:tc>
        <w:tc>
          <w:tcPr>
            <w:tcW w:w="1720" w:type="dxa"/>
            <w:vAlign w:val="bottom"/>
            <w:tcBorders>
              <w:bottom w:val="single" w:sz="8" w:color="B6B6B6"/>
            </w:tcBorders>
            <w:shd w:val="clear" w:color="auto" w:fill="D4F1F5"/>
          </w:tcPr>
          <w:p>
            <w:pPr>
              <w:jc w:val="center"/>
              <w:ind w:left="26"/>
              <w:spacing w:after="0" w:line="201" w:lineRule="exact"/>
              <w:rPr>
                <w:sz w:val="20"/>
                <w:szCs w:val="20"/>
                <w:color w:val="auto"/>
              </w:rPr>
            </w:pPr>
            <w:r>
              <w:rPr>
                <w:rFonts w:ascii="MS PGothic" w:cs="MS PGothic" w:eastAsia="MS PGothic" w:hAnsi="MS PGothic"/>
                <w:sz w:val="20"/>
                <w:szCs w:val="20"/>
                <w:color w:val="auto"/>
                <w:w w:val="79"/>
              </w:rPr>
              <w:t>☒</w:t>
            </w:r>
          </w:p>
        </w:tc>
        <w:tc>
          <w:tcPr>
            <w:tcW w:w="1480" w:type="dxa"/>
            <w:vAlign w:val="bottom"/>
            <w:tcBorders>
              <w:bottom w:val="single" w:sz="8" w:color="B6B6B6"/>
            </w:tcBorders>
            <w:shd w:val="clear" w:color="auto" w:fill="D4F1F5"/>
          </w:tcPr>
          <w:p>
            <w:pPr>
              <w:jc w:val="center"/>
              <w:spacing w:after="0" w:line="201" w:lineRule="exact"/>
              <w:rPr>
                <w:sz w:val="20"/>
                <w:szCs w:val="20"/>
                <w:color w:val="auto"/>
              </w:rPr>
            </w:pPr>
            <w:r>
              <w:rPr>
                <w:rFonts w:ascii="MS PGothic" w:cs="MS PGothic" w:eastAsia="MS PGothic" w:hAnsi="MS PGothic"/>
                <w:sz w:val="20"/>
                <w:szCs w:val="20"/>
                <w:color w:val="auto"/>
                <w:w w:val="89"/>
              </w:rPr>
              <w:t>☐</w:t>
            </w:r>
          </w:p>
        </w:tc>
        <w:tc>
          <w:tcPr>
            <w:tcW w:w="1500" w:type="dxa"/>
            <w:vAlign w:val="bottom"/>
            <w:tcBorders>
              <w:bottom w:val="single" w:sz="8" w:color="B6B6B6"/>
            </w:tcBorders>
            <w:shd w:val="clear" w:color="auto" w:fill="D4F1F5"/>
          </w:tcPr>
          <w:p>
            <w:pPr>
              <w:jc w:val="center"/>
              <w:spacing w:after="0" w:line="201" w:lineRule="exact"/>
              <w:rPr>
                <w:sz w:val="20"/>
                <w:szCs w:val="20"/>
                <w:color w:val="auto"/>
              </w:rPr>
            </w:pPr>
            <w:r>
              <w:rPr>
                <w:rFonts w:ascii="MS PGothic" w:cs="MS PGothic" w:eastAsia="MS PGothic" w:hAnsi="MS PGothic"/>
                <w:sz w:val="20"/>
                <w:szCs w:val="20"/>
                <w:color w:val="auto"/>
                <w:w w:val="89"/>
              </w:rPr>
              <w:t>☐</w:t>
            </w:r>
          </w:p>
        </w:tc>
        <w:tc>
          <w:tcPr>
            <w:tcW w:w="0" w:type="dxa"/>
            <w:vAlign w:val="bottom"/>
          </w:tcPr>
          <w:p>
            <w:pPr>
              <w:spacing w:after="0"/>
              <w:rPr>
                <w:sz w:val="1"/>
                <w:szCs w:val="1"/>
                <w:color w:val="auto"/>
              </w:rPr>
            </w:pPr>
          </w:p>
        </w:tc>
      </w:tr>
    </w:tbl>
    <w:p>
      <w:pPr>
        <w:spacing w:after="0" w:line="225" w:lineRule="exact"/>
        <w:rPr>
          <w:sz w:val="20"/>
          <w:szCs w:val="20"/>
          <w:color w:val="auto"/>
        </w:rPr>
      </w:pPr>
    </w:p>
    <w:p>
      <w:pPr>
        <w:ind w:left="20" w:right="260"/>
        <w:spacing w:after="0" w:line="264"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Registrants have elected not to use the extended transition period for complying with any new or revised financial accounting standards provided pursuant to Section 13(a) of the Exchange Act. </w:t>
      </w:r>
      <w:r>
        <w:rPr>
          <w:rFonts w:ascii="MS PGothic" w:cs="MS PGothic" w:eastAsia="MS PGothic" w:hAnsi="MS PGothic"/>
          <w:sz w:val="19"/>
          <w:szCs w:val="19"/>
          <w:color w:val="auto"/>
        </w:rPr>
        <w:t>☐</w:t>
      </w:r>
    </w:p>
    <w:p>
      <w:pPr>
        <w:spacing w:after="0" w:line="126" w:lineRule="exact"/>
        <w:rPr>
          <w:sz w:val="20"/>
          <w:szCs w:val="20"/>
          <w:color w:val="auto"/>
        </w:rPr>
      </w:pPr>
    </w:p>
    <w:p>
      <w:pPr>
        <w:ind w:left="20" w:right="1800"/>
        <w:spacing w:after="0" w:line="37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Registrants are a shell company (as defined in Rule 12b-2 of the Exchange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9"/>
          <w:szCs w:val="19"/>
          <w:color w:val="auto"/>
        </w:rPr>
        <w:t>☒</w:t>
      </w:r>
      <w:r>
        <w:rPr>
          <w:rFonts w:ascii="Times New Roman" w:cs="Times New Roman" w:eastAsia="Times New Roman" w:hAnsi="Times New Roman"/>
          <w:sz w:val="18"/>
          <w:szCs w:val="18"/>
          <w:color w:val="auto"/>
        </w:rPr>
        <w:t xml:space="preserve"> Indicate the number of shares outstanding of each of the issuers’ classes of common stock, as of the latest practicable date.</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2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9"/>
              </w:rPr>
              <w:t>Common stock outstanding as of May 4, 2026:</w:t>
            </w:r>
          </w:p>
        </w:tc>
        <w:tc>
          <w:tcPr>
            <w:tcW w:w="7820" w:type="dxa"/>
            <w:vAlign w:val="bottom"/>
          </w:tcPr>
          <w:p>
            <w:pPr>
              <w:spacing w:after="0"/>
              <w:rPr>
                <w:sz w:val="20"/>
                <w:szCs w:val="20"/>
                <w:color w:val="auto"/>
              </w:rPr>
            </w:pPr>
          </w:p>
        </w:tc>
      </w:tr>
      <w:tr>
        <w:trPr>
          <w:trHeight w:val="284"/>
        </w:trPr>
        <w:tc>
          <w:tcPr>
            <w:tcW w:w="34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Sempra</w:t>
            </w:r>
          </w:p>
        </w:tc>
        <w:tc>
          <w:tcPr>
            <w:tcW w:w="7820" w:type="dxa"/>
            <w:vAlign w:val="bottom"/>
          </w:tcPr>
          <w:p>
            <w:pPr>
              <w:spacing w:after="0"/>
              <w:rPr>
                <w:sz w:val="20"/>
                <w:szCs w:val="20"/>
                <w:color w:val="auto"/>
              </w:rPr>
            </w:pPr>
            <w:r>
              <w:rPr>
                <w:rFonts w:ascii="Times New Roman" w:cs="Times New Roman" w:eastAsia="Times New Roman" w:hAnsi="Times New Roman"/>
                <w:sz w:val="18"/>
                <w:szCs w:val="18"/>
                <w:color w:val="auto"/>
              </w:rPr>
              <w:t>653,690,046 shares</w:t>
            </w:r>
          </w:p>
        </w:tc>
      </w:tr>
      <w:tr>
        <w:trPr>
          <w:trHeight w:val="283"/>
        </w:trPr>
        <w:tc>
          <w:tcPr>
            <w:tcW w:w="34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San Diego Gas &amp; Electric Company</w:t>
            </w:r>
          </w:p>
        </w:tc>
        <w:tc>
          <w:tcPr>
            <w:tcW w:w="7820" w:type="dxa"/>
            <w:vAlign w:val="bottom"/>
          </w:tcPr>
          <w:p>
            <w:pPr>
              <w:spacing w:after="0"/>
              <w:rPr>
                <w:sz w:val="20"/>
                <w:szCs w:val="20"/>
                <w:color w:val="auto"/>
              </w:rPr>
            </w:pPr>
            <w:r>
              <w:rPr>
                <w:rFonts w:ascii="Times New Roman" w:cs="Times New Roman" w:eastAsia="Times New Roman" w:hAnsi="Times New Roman"/>
                <w:sz w:val="18"/>
                <w:szCs w:val="18"/>
                <w:color w:val="auto"/>
              </w:rPr>
              <w:t>Wholly owned by Enova Corporation, which is wholly owned by Sempra</w:t>
            </w:r>
          </w:p>
        </w:tc>
      </w:tr>
      <w:tr>
        <w:trPr>
          <w:trHeight w:val="283"/>
        </w:trPr>
        <w:tc>
          <w:tcPr>
            <w:tcW w:w="34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Southern California Gas Company</w:t>
            </w:r>
          </w:p>
        </w:tc>
        <w:tc>
          <w:tcPr>
            <w:tcW w:w="7820" w:type="dxa"/>
            <w:vAlign w:val="bottom"/>
          </w:tcPr>
          <w:p>
            <w:pPr>
              <w:spacing w:after="0"/>
              <w:rPr>
                <w:sz w:val="20"/>
                <w:szCs w:val="20"/>
                <w:color w:val="auto"/>
              </w:rPr>
            </w:pPr>
            <w:r>
              <w:rPr>
                <w:rFonts w:ascii="Times New Roman" w:cs="Times New Roman" w:eastAsia="Times New Roman" w:hAnsi="Times New Roman"/>
                <w:sz w:val="18"/>
                <w:szCs w:val="18"/>
                <w:color w:val="auto"/>
              </w:rPr>
              <w:t>Wholly owned by Pacific Enterprises, which is wholly owned by Sempra</w:t>
            </w:r>
          </w:p>
        </w:tc>
      </w:tr>
      <w:tr>
        <w:trPr>
          <w:trHeight w:val="40"/>
        </w:trPr>
        <w:tc>
          <w:tcPr>
            <w:tcW w:w="3420" w:type="dxa"/>
            <w:vAlign w:val="bottom"/>
            <w:tcBorders>
              <w:bottom w:val="single" w:sz="8" w:color="auto"/>
            </w:tcBorders>
          </w:tcPr>
          <w:p>
            <w:pPr>
              <w:spacing w:after="0"/>
              <w:rPr>
                <w:sz w:val="3"/>
                <w:szCs w:val="3"/>
                <w:color w:val="auto"/>
              </w:rPr>
            </w:pPr>
          </w:p>
        </w:tc>
        <w:tc>
          <w:tcPr>
            <w:tcW w:w="7820" w:type="dxa"/>
            <w:vAlign w:val="bottom"/>
            <w:tcBorders>
              <w:bottom w:val="single" w:sz="8" w:color="auto"/>
            </w:tcBorders>
          </w:tcPr>
          <w:p>
            <w:pPr>
              <w:spacing w:after="0"/>
              <w:rPr>
                <w:sz w:val="3"/>
                <w:szCs w:val="3"/>
                <w:color w:val="auto"/>
              </w:rPr>
            </w:pPr>
          </w:p>
        </w:tc>
      </w:tr>
      <w:tr>
        <w:trPr>
          <w:trHeight w:val="20"/>
        </w:trPr>
        <w:tc>
          <w:tcPr>
            <w:tcW w:w="3420" w:type="dxa"/>
            <w:vAlign w:val="bottom"/>
            <w:tcBorders>
              <w:bottom w:val="single" w:sz="8" w:color="auto"/>
            </w:tcBorders>
          </w:tcPr>
          <w:p>
            <w:pPr>
              <w:spacing w:after="0" w:line="20" w:lineRule="exact"/>
              <w:rPr>
                <w:sz w:val="1"/>
                <w:szCs w:val="1"/>
                <w:color w:val="auto"/>
              </w:rPr>
            </w:pPr>
          </w:p>
        </w:tc>
        <w:tc>
          <w:tcPr>
            <w:tcW w:w="78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150495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20"/>
        <w:spacing w:after="0"/>
        <w:rPr>
          <w:sz w:val="20"/>
          <w:szCs w:val="20"/>
          <w:color w:val="auto"/>
        </w:rPr>
      </w:pPr>
      <w:r>
        <w:rPr>
          <w:rFonts w:ascii="Arial" w:cs="Arial" w:eastAsia="Arial" w:hAnsi="Arial"/>
          <w:sz w:val="23"/>
          <w:szCs w:val="23"/>
          <w:color w:val="auto"/>
        </w:rPr>
        <w:t>TABLE OF CONTENTS</w:t>
      </w:r>
    </w:p>
    <w:p>
      <w:pPr>
        <w:spacing w:after="0" w:line="322"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1040" w:type="dxa"/>
            <w:vAlign w:val="bottom"/>
            <w:tcBorders>
              <w:bottom w:val="single" w:sz="8" w:color="auto"/>
            </w:tcBorders>
          </w:tcPr>
          <w:p>
            <w:pPr>
              <w:spacing w:after="0"/>
              <w:rPr>
                <w:sz w:val="18"/>
                <w:szCs w:val="18"/>
                <w:color w:val="auto"/>
              </w:rPr>
            </w:pPr>
          </w:p>
        </w:tc>
        <w:tc>
          <w:tcPr>
            <w:tcW w:w="7960" w:type="dxa"/>
            <w:vAlign w:val="bottom"/>
            <w:tcBorders>
              <w:bottom w:val="single" w:sz="8" w:color="auto"/>
            </w:tcBorders>
          </w:tcPr>
          <w:p>
            <w:pPr>
              <w:spacing w:after="0"/>
              <w:rPr>
                <w:sz w:val="18"/>
                <w:szCs w:val="18"/>
                <w:color w:val="auto"/>
              </w:rPr>
            </w:pPr>
          </w:p>
        </w:tc>
        <w:tc>
          <w:tcPr>
            <w:tcW w:w="2220" w:type="dxa"/>
            <w:vAlign w:val="bottom"/>
            <w:tcBorders>
              <w:bottom w:val="single" w:sz="8" w:color="auto"/>
            </w:tcBorders>
          </w:tcPr>
          <w:p>
            <w:pPr>
              <w:ind w:left="1420"/>
              <w:spacing w:after="0"/>
              <w:rPr>
                <w:sz w:val="20"/>
                <w:szCs w:val="20"/>
                <w:color w:val="auto"/>
              </w:rPr>
            </w:pPr>
            <w:r>
              <w:rPr>
                <w:rFonts w:ascii="Arial" w:cs="Arial" w:eastAsia="Arial" w:hAnsi="Arial"/>
                <w:sz w:val="16"/>
                <w:szCs w:val="16"/>
                <w:i w:val="1"/>
                <w:iCs w:val="1"/>
                <w:color w:val="auto"/>
              </w:rPr>
              <w:t>Page</w:t>
            </w:r>
          </w:p>
        </w:tc>
      </w:tr>
      <w:tr>
        <w:trPr>
          <w:trHeight w:val="210"/>
        </w:trPr>
        <w:tc>
          <w:tcPr>
            <w:tcW w:w="1040" w:type="dxa"/>
            <w:vAlign w:val="bottom"/>
            <w:shd w:val="clear" w:color="auto" w:fill="D4F1F5"/>
          </w:tcPr>
          <w:p>
            <w:pPr>
              <w:ind w:left="20"/>
              <w:spacing w:after="0"/>
              <w:rPr>
                <w:sz w:val="20"/>
                <w:szCs w:val="20"/>
                <w:color w:val="auto"/>
              </w:rPr>
            </w:pPr>
            <w:r>
              <w:rPr>
                <w:rFonts w:ascii="Arial" w:cs="Arial" w:eastAsia="Arial" w:hAnsi="Arial"/>
                <w:sz w:val="16"/>
                <w:szCs w:val="16"/>
                <w:b w:val="1"/>
                <w:bCs w:val="1"/>
                <w:color w:val="0000FF"/>
              </w:rPr>
              <w:t>Glossary</w:t>
            </w:r>
          </w:p>
        </w:tc>
        <w:tc>
          <w:tcPr>
            <w:tcW w:w="7960" w:type="dxa"/>
            <w:vAlign w:val="bottom"/>
            <w:shd w:val="clear" w:color="auto" w:fill="D4F1F5"/>
          </w:tcPr>
          <w:p>
            <w:pPr>
              <w:spacing w:after="0"/>
              <w:rPr>
                <w:sz w:val="18"/>
                <w:szCs w:val="18"/>
                <w:color w:val="auto"/>
              </w:rPr>
            </w:pPr>
          </w:p>
        </w:tc>
        <w:tc>
          <w:tcPr>
            <w:tcW w:w="2220" w:type="dxa"/>
            <w:vAlign w:val="bottom"/>
            <w:shd w:val="clear" w:color="auto" w:fill="D4F1F5"/>
          </w:tcPr>
          <w:p>
            <w:pPr>
              <w:jc w:val="center"/>
              <w:ind w:left="939"/>
              <w:spacing w:after="0"/>
              <w:rPr>
                <w:sz w:val="20"/>
                <w:szCs w:val="20"/>
                <w:color w:val="auto"/>
              </w:rPr>
            </w:pPr>
            <w:r>
              <w:rPr>
                <w:rFonts w:ascii="Arial" w:cs="Arial" w:eastAsia="Arial" w:hAnsi="Arial"/>
                <w:sz w:val="16"/>
                <w:szCs w:val="16"/>
                <w:color w:val="0000FF"/>
                <w:w w:val="89"/>
              </w:rPr>
              <w:t>4</w:t>
            </w:r>
          </w:p>
        </w:tc>
      </w:tr>
      <w:tr>
        <w:trPr>
          <w:trHeight w:val="216"/>
        </w:trPr>
        <w:tc>
          <w:tcPr>
            <w:tcW w:w="9000" w:type="dxa"/>
            <w:vAlign w:val="bottom"/>
            <w:gridSpan w:val="2"/>
          </w:tcPr>
          <w:p>
            <w:pPr>
              <w:ind w:left="20"/>
              <w:spacing w:after="0"/>
              <w:rPr>
                <w:sz w:val="20"/>
                <w:szCs w:val="20"/>
                <w:color w:val="auto"/>
              </w:rPr>
            </w:pPr>
            <w:r>
              <w:rPr>
                <w:rFonts w:ascii="Arial" w:cs="Arial" w:eastAsia="Arial" w:hAnsi="Arial"/>
                <w:sz w:val="16"/>
                <w:szCs w:val="16"/>
                <w:b w:val="1"/>
                <w:bCs w:val="1"/>
                <w:color w:val="0000FF"/>
              </w:rPr>
              <w:t>Information Regarding Forward-Looking Statements</w:t>
            </w:r>
          </w:p>
        </w:tc>
        <w:tc>
          <w:tcPr>
            <w:tcW w:w="2220" w:type="dxa"/>
            <w:vAlign w:val="bottom"/>
          </w:tcPr>
          <w:p>
            <w:pPr>
              <w:jc w:val="center"/>
              <w:ind w:left="939"/>
              <w:spacing w:after="0"/>
              <w:rPr>
                <w:sz w:val="20"/>
                <w:szCs w:val="20"/>
                <w:color w:val="auto"/>
              </w:rPr>
            </w:pPr>
            <w:r>
              <w:rPr>
                <w:rFonts w:ascii="Arial" w:cs="Arial" w:eastAsia="Arial" w:hAnsi="Arial"/>
                <w:sz w:val="16"/>
                <w:szCs w:val="16"/>
                <w:color w:val="0000FF"/>
                <w:w w:val="89"/>
              </w:rPr>
              <w:t>7</w:t>
            </w:r>
          </w:p>
        </w:tc>
      </w:tr>
      <w:tr>
        <w:trPr>
          <w:trHeight w:val="216"/>
        </w:trPr>
        <w:tc>
          <w:tcPr>
            <w:tcW w:w="9000" w:type="dxa"/>
            <w:vAlign w:val="bottom"/>
            <w:tcBorders>
              <w:bottom w:val="single" w:sz="8" w:color="auto"/>
            </w:tcBorders>
            <w:gridSpan w:val="2"/>
            <w:shd w:val="clear" w:color="auto" w:fill="D4F1F5"/>
          </w:tcPr>
          <w:p>
            <w:pPr>
              <w:spacing w:after="0"/>
              <w:rPr>
                <w:sz w:val="18"/>
                <w:szCs w:val="18"/>
                <w:color w:val="auto"/>
              </w:rPr>
            </w:pPr>
          </w:p>
        </w:tc>
        <w:tc>
          <w:tcPr>
            <w:tcW w:w="2220" w:type="dxa"/>
            <w:vAlign w:val="bottom"/>
            <w:tcBorders>
              <w:bottom w:val="single" w:sz="8" w:color="auto"/>
            </w:tcBorders>
            <w:shd w:val="clear" w:color="auto" w:fill="D4F1F5"/>
          </w:tcPr>
          <w:p>
            <w:pPr>
              <w:spacing w:after="0"/>
              <w:rPr>
                <w:sz w:val="18"/>
                <w:szCs w:val="18"/>
                <w:color w:val="auto"/>
              </w:rPr>
            </w:pPr>
          </w:p>
        </w:tc>
      </w:tr>
      <w:tr>
        <w:trPr>
          <w:trHeight w:val="209"/>
        </w:trPr>
        <w:tc>
          <w:tcPr>
            <w:tcW w:w="9000" w:type="dxa"/>
            <w:vAlign w:val="bottom"/>
            <w:gridSpan w:val="2"/>
          </w:tcPr>
          <w:p>
            <w:pPr>
              <w:ind w:left="20"/>
              <w:spacing w:after="0"/>
              <w:rPr>
                <w:sz w:val="20"/>
                <w:szCs w:val="20"/>
                <w:color w:val="auto"/>
              </w:rPr>
            </w:pPr>
            <w:r>
              <w:rPr>
                <w:rFonts w:ascii="Arial" w:cs="Arial" w:eastAsia="Arial" w:hAnsi="Arial"/>
                <w:sz w:val="16"/>
                <w:szCs w:val="16"/>
                <w:b w:val="1"/>
                <w:bCs w:val="1"/>
                <w:color w:val="auto"/>
              </w:rPr>
              <w:t>PART I – FINANCIAL INFORMATION</w:t>
            </w:r>
          </w:p>
        </w:tc>
        <w:tc>
          <w:tcPr>
            <w:tcW w:w="2220" w:type="dxa"/>
            <w:vAlign w:val="bottom"/>
          </w:tcPr>
          <w:p>
            <w:pPr>
              <w:spacing w:after="0"/>
              <w:rPr>
                <w:sz w:val="18"/>
                <w:szCs w:val="18"/>
                <w:color w:val="auto"/>
              </w:rPr>
            </w:pPr>
          </w:p>
        </w:tc>
      </w:tr>
      <w:tr>
        <w:trPr>
          <w:trHeight w:val="216"/>
        </w:trPr>
        <w:tc>
          <w:tcPr>
            <w:tcW w:w="1040" w:type="dxa"/>
            <w:vAlign w:val="bottom"/>
            <w:shd w:val="clear" w:color="auto" w:fill="D4F1F5"/>
          </w:tcPr>
          <w:p>
            <w:pPr>
              <w:ind w:left="20"/>
              <w:spacing w:after="0"/>
              <w:rPr>
                <w:sz w:val="20"/>
                <w:szCs w:val="20"/>
                <w:color w:val="auto"/>
              </w:rPr>
            </w:pPr>
            <w:r>
              <w:rPr>
                <w:rFonts w:ascii="Arial" w:cs="Arial" w:eastAsia="Arial" w:hAnsi="Arial"/>
                <w:sz w:val="16"/>
                <w:szCs w:val="16"/>
                <w:color w:val="auto"/>
              </w:rPr>
              <w:t>Item 1.</w:t>
            </w:r>
          </w:p>
        </w:tc>
        <w:tc>
          <w:tcPr>
            <w:tcW w:w="7960" w:type="dxa"/>
            <w:vAlign w:val="bottom"/>
            <w:shd w:val="clear" w:color="auto" w:fill="D4F1F5"/>
          </w:tcPr>
          <w:p>
            <w:pPr>
              <w:ind w:left="160"/>
              <w:spacing w:after="0"/>
              <w:rPr>
                <w:sz w:val="20"/>
                <w:szCs w:val="20"/>
                <w:color w:val="auto"/>
              </w:rPr>
            </w:pPr>
            <w:r>
              <w:rPr>
                <w:rFonts w:ascii="Arial" w:cs="Arial" w:eastAsia="Arial" w:hAnsi="Arial"/>
                <w:sz w:val="16"/>
                <w:szCs w:val="16"/>
                <w:color w:val="0000FF"/>
              </w:rPr>
              <w:t>Financial Statements</w:t>
            </w:r>
          </w:p>
        </w:tc>
        <w:tc>
          <w:tcPr>
            <w:tcW w:w="2220" w:type="dxa"/>
            <w:vAlign w:val="bottom"/>
            <w:shd w:val="clear" w:color="auto" w:fill="D4F1F5"/>
          </w:tcPr>
          <w:p>
            <w:pPr>
              <w:jc w:val="center"/>
              <w:ind w:left="939"/>
              <w:spacing w:after="0"/>
              <w:rPr>
                <w:sz w:val="20"/>
                <w:szCs w:val="20"/>
                <w:color w:val="auto"/>
              </w:rPr>
            </w:pPr>
            <w:r>
              <w:rPr>
                <w:rFonts w:ascii="Arial" w:cs="Arial" w:eastAsia="Arial" w:hAnsi="Arial"/>
                <w:sz w:val="16"/>
                <w:szCs w:val="16"/>
                <w:color w:val="0000FF"/>
                <w:w w:val="89"/>
              </w:rPr>
              <w:t>9</w:t>
            </w:r>
          </w:p>
        </w:tc>
      </w:tr>
      <w:tr>
        <w:trPr>
          <w:trHeight w:val="215"/>
        </w:trPr>
        <w:tc>
          <w:tcPr>
            <w:tcW w:w="1040" w:type="dxa"/>
            <w:vAlign w:val="bottom"/>
          </w:tcPr>
          <w:p>
            <w:pPr>
              <w:spacing w:after="0"/>
              <w:rPr>
                <w:sz w:val="18"/>
                <w:szCs w:val="18"/>
                <w:color w:val="auto"/>
              </w:rPr>
            </w:pPr>
          </w:p>
        </w:tc>
        <w:tc>
          <w:tcPr>
            <w:tcW w:w="7960" w:type="dxa"/>
            <w:vAlign w:val="bottom"/>
          </w:tcPr>
          <w:p>
            <w:pPr>
              <w:ind w:left="360"/>
              <w:spacing w:after="0"/>
              <w:rPr>
                <w:sz w:val="20"/>
                <w:szCs w:val="20"/>
                <w:color w:val="auto"/>
              </w:rPr>
            </w:pPr>
            <w:r>
              <w:rPr>
                <w:rFonts w:ascii="Arial" w:cs="Arial" w:eastAsia="Arial" w:hAnsi="Arial"/>
                <w:sz w:val="16"/>
                <w:szCs w:val="16"/>
                <w:color w:val="0000FF"/>
              </w:rPr>
              <w:t>Notes to Condensed Consolidated Financial Statements</w:t>
            </w:r>
          </w:p>
        </w:tc>
        <w:tc>
          <w:tcPr>
            <w:tcW w:w="2220" w:type="dxa"/>
            <w:vAlign w:val="bottom"/>
          </w:tcPr>
          <w:p>
            <w:pPr>
              <w:spacing w:after="0"/>
              <w:rPr>
                <w:sz w:val="18"/>
                <w:szCs w:val="18"/>
                <w:color w:val="auto"/>
              </w:rPr>
            </w:pPr>
          </w:p>
        </w:tc>
      </w:tr>
      <w:tr>
        <w:trPr>
          <w:trHeight w:val="217"/>
        </w:trPr>
        <w:tc>
          <w:tcPr>
            <w:tcW w:w="1040" w:type="dxa"/>
            <w:vAlign w:val="bottom"/>
            <w:shd w:val="clear" w:color="auto" w:fill="D4F1F5"/>
          </w:tcPr>
          <w:p>
            <w:pPr>
              <w:spacing w:after="0"/>
              <w:rPr>
                <w:sz w:val="18"/>
                <w:szCs w:val="18"/>
                <w:color w:val="auto"/>
              </w:rPr>
            </w:pPr>
          </w:p>
        </w:tc>
        <w:tc>
          <w:tcPr>
            <w:tcW w:w="7960" w:type="dxa"/>
            <w:vAlign w:val="bottom"/>
            <w:shd w:val="clear" w:color="auto" w:fill="D4F1F5"/>
          </w:tcPr>
          <w:p>
            <w:pPr>
              <w:ind w:left="600"/>
              <w:spacing w:after="0"/>
              <w:rPr>
                <w:sz w:val="20"/>
                <w:szCs w:val="20"/>
                <w:color w:val="auto"/>
              </w:rPr>
            </w:pPr>
            <w:r>
              <w:rPr>
                <w:rFonts w:ascii="Arial" w:cs="Arial" w:eastAsia="Arial" w:hAnsi="Arial"/>
                <w:sz w:val="16"/>
                <w:szCs w:val="16"/>
                <w:color w:val="0000FF"/>
              </w:rPr>
              <w:t>Note 1. General Information and Other Financial Data</w:t>
            </w:r>
          </w:p>
        </w:tc>
        <w:tc>
          <w:tcPr>
            <w:tcW w:w="2220" w:type="dxa"/>
            <w:vAlign w:val="bottom"/>
            <w:shd w:val="clear" w:color="auto" w:fill="D4F1F5"/>
          </w:tcPr>
          <w:p>
            <w:pPr>
              <w:jc w:val="center"/>
              <w:ind w:left="919"/>
              <w:spacing w:after="0"/>
              <w:rPr>
                <w:sz w:val="20"/>
                <w:szCs w:val="20"/>
                <w:color w:val="auto"/>
              </w:rPr>
            </w:pPr>
            <w:r>
              <w:rPr>
                <w:rFonts w:ascii="Arial" w:cs="Arial" w:eastAsia="Arial" w:hAnsi="Arial"/>
                <w:sz w:val="16"/>
                <w:szCs w:val="16"/>
                <w:color w:val="0000FF"/>
              </w:rPr>
              <w:t>28</w:t>
            </w:r>
          </w:p>
        </w:tc>
      </w:tr>
      <w:tr>
        <w:trPr>
          <w:trHeight w:val="215"/>
        </w:trPr>
        <w:tc>
          <w:tcPr>
            <w:tcW w:w="1040" w:type="dxa"/>
            <w:vAlign w:val="bottom"/>
          </w:tcPr>
          <w:p>
            <w:pPr>
              <w:spacing w:after="0"/>
              <w:rPr>
                <w:sz w:val="18"/>
                <w:szCs w:val="18"/>
                <w:color w:val="auto"/>
              </w:rPr>
            </w:pPr>
          </w:p>
        </w:tc>
        <w:tc>
          <w:tcPr>
            <w:tcW w:w="7960" w:type="dxa"/>
            <w:vAlign w:val="bottom"/>
          </w:tcPr>
          <w:p>
            <w:pPr>
              <w:ind w:left="600"/>
              <w:spacing w:after="0"/>
              <w:rPr>
                <w:sz w:val="20"/>
                <w:szCs w:val="20"/>
                <w:color w:val="auto"/>
              </w:rPr>
            </w:pPr>
            <w:r>
              <w:rPr>
                <w:rFonts w:ascii="Arial" w:cs="Arial" w:eastAsia="Arial" w:hAnsi="Arial"/>
                <w:sz w:val="16"/>
                <w:szCs w:val="16"/>
                <w:color w:val="0000FF"/>
              </w:rPr>
              <w:t>Note 2. New Accounting Standards</w:t>
            </w:r>
          </w:p>
        </w:tc>
        <w:tc>
          <w:tcPr>
            <w:tcW w:w="2220" w:type="dxa"/>
            <w:vAlign w:val="bottom"/>
          </w:tcPr>
          <w:p>
            <w:pPr>
              <w:jc w:val="center"/>
              <w:ind w:left="919"/>
              <w:spacing w:after="0"/>
              <w:rPr>
                <w:sz w:val="20"/>
                <w:szCs w:val="20"/>
                <w:color w:val="auto"/>
              </w:rPr>
            </w:pPr>
            <w:r>
              <w:rPr>
                <w:rFonts w:ascii="Arial" w:cs="Arial" w:eastAsia="Arial" w:hAnsi="Arial"/>
                <w:sz w:val="16"/>
                <w:szCs w:val="16"/>
                <w:color w:val="0000FF"/>
              </w:rPr>
              <w:t>42</w:t>
            </w:r>
          </w:p>
        </w:tc>
      </w:tr>
      <w:tr>
        <w:trPr>
          <w:trHeight w:val="217"/>
        </w:trPr>
        <w:tc>
          <w:tcPr>
            <w:tcW w:w="1040" w:type="dxa"/>
            <w:vAlign w:val="bottom"/>
            <w:shd w:val="clear" w:color="auto" w:fill="D4F1F5"/>
          </w:tcPr>
          <w:p>
            <w:pPr>
              <w:spacing w:after="0"/>
              <w:rPr>
                <w:sz w:val="18"/>
                <w:szCs w:val="18"/>
                <w:color w:val="auto"/>
              </w:rPr>
            </w:pPr>
          </w:p>
        </w:tc>
        <w:tc>
          <w:tcPr>
            <w:tcW w:w="7960" w:type="dxa"/>
            <w:vAlign w:val="bottom"/>
            <w:shd w:val="clear" w:color="auto" w:fill="D4F1F5"/>
          </w:tcPr>
          <w:p>
            <w:pPr>
              <w:ind w:left="600"/>
              <w:spacing w:after="0"/>
              <w:rPr>
                <w:sz w:val="20"/>
                <w:szCs w:val="20"/>
                <w:color w:val="auto"/>
              </w:rPr>
            </w:pPr>
            <w:r>
              <w:rPr>
                <w:rFonts w:ascii="Arial" w:cs="Arial" w:eastAsia="Arial" w:hAnsi="Arial"/>
                <w:sz w:val="16"/>
                <w:szCs w:val="16"/>
                <w:color w:val="0000FF"/>
              </w:rPr>
              <w:t>Note 3. Revenues</w:t>
            </w:r>
          </w:p>
        </w:tc>
        <w:tc>
          <w:tcPr>
            <w:tcW w:w="2220" w:type="dxa"/>
            <w:vAlign w:val="bottom"/>
            <w:shd w:val="clear" w:color="auto" w:fill="D4F1F5"/>
          </w:tcPr>
          <w:p>
            <w:pPr>
              <w:jc w:val="center"/>
              <w:ind w:left="919"/>
              <w:spacing w:after="0"/>
              <w:rPr>
                <w:sz w:val="20"/>
                <w:szCs w:val="20"/>
                <w:color w:val="auto"/>
              </w:rPr>
            </w:pPr>
            <w:r>
              <w:rPr>
                <w:rFonts w:ascii="Arial" w:cs="Arial" w:eastAsia="Arial" w:hAnsi="Arial"/>
                <w:sz w:val="16"/>
                <w:szCs w:val="16"/>
                <w:color w:val="0000FF"/>
              </w:rPr>
              <w:t>43</w:t>
            </w:r>
          </w:p>
        </w:tc>
      </w:tr>
      <w:tr>
        <w:trPr>
          <w:trHeight w:val="215"/>
        </w:trPr>
        <w:tc>
          <w:tcPr>
            <w:tcW w:w="1040" w:type="dxa"/>
            <w:vAlign w:val="bottom"/>
          </w:tcPr>
          <w:p>
            <w:pPr>
              <w:spacing w:after="0"/>
              <w:rPr>
                <w:sz w:val="18"/>
                <w:szCs w:val="18"/>
                <w:color w:val="auto"/>
              </w:rPr>
            </w:pPr>
          </w:p>
        </w:tc>
        <w:tc>
          <w:tcPr>
            <w:tcW w:w="7960" w:type="dxa"/>
            <w:vAlign w:val="bottom"/>
          </w:tcPr>
          <w:p>
            <w:pPr>
              <w:ind w:left="600"/>
              <w:spacing w:after="0"/>
              <w:rPr>
                <w:sz w:val="20"/>
                <w:szCs w:val="20"/>
                <w:color w:val="auto"/>
              </w:rPr>
            </w:pPr>
            <w:r>
              <w:rPr>
                <w:rFonts w:ascii="Arial" w:cs="Arial" w:eastAsia="Arial" w:hAnsi="Arial"/>
                <w:sz w:val="16"/>
                <w:szCs w:val="16"/>
                <w:color w:val="0000FF"/>
              </w:rPr>
              <w:t>Note 4. Regulatory Matters</w:t>
            </w:r>
          </w:p>
        </w:tc>
        <w:tc>
          <w:tcPr>
            <w:tcW w:w="2220" w:type="dxa"/>
            <w:vAlign w:val="bottom"/>
          </w:tcPr>
          <w:p>
            <w:pPr>
              <w:jc w:val="center"/>
              <w:ind w:left="919"/>
              <w:spacing w:after="0"/>
              <w:rPr>
                <w:sz w:val="20"/>
                <w:szCs w:val="20"/>
                <w:color w:val="auto"/>
              </w:rPr>
            </w:pPr>
            <w:r>
              <w:rPr>
                <w:rFonts w:ascii="Arial" w:cs="Arial" w:eastAsia="Arial" w:hAnsi="Arial"/>
                <w:sz w:val="16"/>
                <w:szCs w:val="16"/>
                <w:color w:val="0000FF"/>
              </w:rPr>
              <w:t>46</w:t>
            </w:r>
          </w:p>
        </w:tc>
      </w:tr>
      <w:tr>
        <w:trPr>
          <w:trHeight w:val="217"/>
        </w:trPr>
        <w:tc>
          <w:tcPr>
            <w:tcW w:w="1040" w:type="dxa"/>
            <w:vAlign w:val="bottom"/>
            <w:shd w:val="clear" w:color="auto" w:fill="D4F1F5"/>
          </w:tcPr>
          <w:p>
            <w:pPr>
              <w:spacing w:after="0"/>
              <w:rPr>
                <w:sz w:val="18"/>
                <w:szCs w:val="18"/>
                <w:color w:val="auto"/>
              </w:rPr>
            </w:pPr>
          </w:p>
        </w:tc>
        <w:tc>
          <w:tcPr>
            <w:tcW w:w="7960" w:type="dxa"/>
            <w:vAlign w:val="bottom"/>
            <w:shd w:val="clear" w:color="auto" w:fill="D4F1F5"/>
          </w:tcPr>
          <w:p>
            <w:pPr>
              <w:ind w:left="600"/>
              <w:spacing w:after="0"/>
              <w:rPr>
                <w:sz w:val="20"/>
                <w:szCs w:val="20"/>
                <w:color w:val="auto"/>
              </w:rPr>
            </w:pPr>
            <w:r>
              <w:rPr>
                <w:rFonts w:ascii="Arial" w:cs="Arial" w:eastAsia="Arial" w:hAnsi="Arial"/>
                <w:sz w:val="16"/>
                <w:szCs w:val="16"/>
                <w:color w:val="0000FF"/>
              </w:rPr>
              <w:t>Note 5. Sempra – Investments in Unconsolidated Entities</w:t>
            </w:r>
          </w:p>
        </w:tc>
        <w:tc>
          <w:tcPr>
            <w:tcW w:w="2220" w:type="dxa"/>
            <w:vAlign w:val="bottom"/>
            <w:shd w:val="clear" w:color="auto" w:fill="D4F1F5"/>
          </w:tcPr>
          <w:p>
            <w:pPr>
              <w:jc w:val="center"/>
              <w:ind w:left="919"/>
              <w:spacing w:after="0"/>
              <w:rPr>
                <w:sz w:val="20"/>
                <w:szCs w:val="20"/>
                <w:color w:val="auto"/>
              </w:rPr>
            </w:pPr>
            <w:r>
              <w:rPr>
                <w:rFonts w:ascii="Arial" w:cs="Arial" w:eastAsia="Arial" w:hAnsi="Arial"/>
                <w:sz w:val="16"/>
                <w:szCs w:val="16"/>
                <w:color w:val="0000FF"/>
              </w:rPr>
              <w:t>48</w:t>
            </w:r>
          </w:p>
        </w:tc>
      </w:tr>
      <w:tr>
        <w:trPr>
          <w:trHeight w:val="215"/>
        </w:trPr>
        <w:tc>
          <w:tcPr>
            <w:tcW w:w="1040" w:type="dxa"/>
            <w:vAlign w:val="bottom"/>
          </w:tcPr>
          <w:p>
            <w:pPr>
              <w:spacing w:after="0"/>
              <w:rPr>
                <w:sz w:val="18"/>
                <w:szCs w:val="18"/>
                <w:color w:val="auto"/>
              </w:rPr>
            </w:pPr>
          </w:p>
        </w:tc>
        <w:tc>
          <w:tcPr>
            <w:tcW w:w="7960" w:type="dxa"/>
            <w:vAlign w:val="bottom"/>
          </w:tcPr>
          <w:p>
            <w:pPr>
              <w:ind w:left="600"/>
              <w:spacing w:after="0"/>
              <w:rPr>
                <w:sz w:val="20"/>
                <w:szCs w:val="20"/>
                <w:color w:val="auto"/>
              </w:rPr>
            </w:pPr>
            <w:r>
              <w:rPr>
                <w:rFonts w:ascii="Arial" w:cs="Arial" w:eastAsia="Arial" w:hAnsi="Arial"/>
                <w:sz w:val="16"/>
                <w:szCs w:val="16"/>
                <w:color w:val="0000FF"/>
              </w:rPr>
              <w:t>Note 6. Sempra – Divestitures</w:t>
            </w:r>
          </w:p>
        </w:tc>
        <w:tc>
          <w:tcPr>
            <w:tcW w:w="2220" w:type="dxa"/>
            <w:vAlign w:val="bottom"/>
          </w:tcPr>
          <w:p>
            <w:pPr>
              <w:jc w:val="center"/>
              <w:ind w:left="919"/>
              <w:spacing w:after="0"/>
              <w:rPr>
                <w:sz w:val="20"/>
                <w:szCs w:val="20"/>
                <w:color w:val="auto"/>
              </w:rPr>
            </w:pPr>
            <w:r>
              <w:rPr>
                <w:rFonts w:ascii="Arial" w:cs="Arial" w:eastAsia="Arial" w:hAnsi="Arial"/>
                <w:sz w:val="16"/>
                <w:szCs w:val="16"/>
                <w:color w:val="0000FF"/>
              </w:rPr>
              <w:t>50</w:t>
            </w:r>
          </w:p>
        </w:tc>
      </w:tr>
      <w:tr>
        <w:trPr>
          <w:trHeight w:val="217"/>
        </w:trPr>
        <w:tc>
          <w:tcPr>
            <w:tcW w:w="1040" w:type="dxa"/>
            <w:vAlign w:val="bottom"/>
            <w:shd w:val="clear" w:color="auto" w:fill="D4F1F5"/>
          </w:tcPr>
          <w:p>
            <w:pPr>
              <w:spacing w:after="0"/>
              <w:rPr>
                <w:sz w:val="18"/>
                <w:szCs w:val="18"/>
                <w:color w:val="auto"/>
              </w:rPr>
            </w:pPr>
          </w:p>
        </w:tc>
        <w:tc>
          <w:tcPr>
            <w:tcW w:w="7960" w:type="dxa"/>
            <w:vAlign w:val="bottom"/>
            <w:shd w:val="clear" w:color="auto" w:fill="D4F1F5"/>
          </w:tcPr>
          <w:p>
            <w:pPr>
              <w:ind w:left="600"/>
              <w:spacing w:after="0"/>
              <w:rPr>
                <w:sz w:val="20"/>
                <w:szCs w:val="20"/>
                <w:color w:val="auto"/>
              </w:rPr>
            </w:pPr>
            <w:r>
              <w:rPr>
                <w:rFonts w:ascii="Arial" w:cs="Arial" w:eastAsia="Arial" w:hAnsi="Arial"/>
                <w:sz w:val="16"/>
                <w:szCs w:val="16"/>
                <w:color w:val="0000FF"/>
              </w:rPr>
              <w:t>Note 7. Debt and Credit Facilities</w:t>
            </w:r>
          </w:p>
        </w:tc>
        <w:tc>
          <w:tcPr>
            <w:tcW w:w="2220" w:type="dxa"/>
            <w:vAlign w:val="bottom"/>
            <w:shd w:val="clear" w:color="auto" w:fill="D4F1F5"/>
          </w:tcPr>
          <w:p>
            <w:pPr>
              <w:jc w:val="center"/>
              <w:ind w:left="919"/>
              <w:spacing w:after="0"/>
              <w:rPr>
                <w:sz w:val="20"/>
                <w:szCs w:val="20"/>
                <w:color w:val="auto"/>
              </w:rPr>
            </w:pPr>
            <w:r>
              <w:rPr>
                <w:rFonts w:ascii="Arial" w:cs="Arial" w:eastAsia="Arial" w:hAnsi="Arial"/>
                <w:sz w:val="16"/>
                <w:szCs w:val="16"/>
                <w:color w:val="0000FF"/>
              </w:rPr>
              <w:t>53</w:t>
            </w:r>
          </w:p>
        </w:tc>
      </w:tr>
      <w:tr>
        <w:trPr>
          <w:trHeight w:val="215"/>
        </w:trPr>
        <w:tc>
          <w:tcPr>
            <w:tcW w:w="1040" w:type="dxa"/>
            <w:vAlign w:val="bottom"/>
          </w:tcPr>
          <w:p>
            <w:pPr>
              <w:spacing w:after="0"/>
              <w:rPr>
                <w:sz w:val="18"/>
                <w:szCs w:val="18"/>
                <w:color w:val="auto"/>
              </w:rPr>
            </w:pPr>
          </w:p>
        </w:tc>
        <w:tc>
          <w:tcPr>
            <w:tcW w:w="7960" w:type="dxa"/>
            <w:vAlign w:val="bottom"/>
          </w:tcPr>
          <w:p>
            <w:pPr>
              <w:ind w:left="600"/>
              <w:spacing w:after="0"/>
              <w:rPr>
                <w:sz w:val="20"/>
                <w:szCs w:val="20"/>
                <w:color w:val="auto"/>
              </w:rPr>
            </w:pPr>
            <w:r>
              <w:rPr>
                <w:rFonts w:ascii="Arial" w:cs="Arial" w:eastAsia="Arial" w:hAnsi="Arial"/>
                <w:sz w:val="16"/>
                <w:szCs w:val="16"/>
                <w:color w:val="0000FF"/>
              </w:rPr>
              <w:t>Note 8. Derivative Financial Instruments</w:t>
            </w:r>
          </w:p>
        </w:tc>
        <w:tc>
          <w:tcPr>
            <w:tcW w:w="2220" w:type="dxa"/>
            <w:vAlign w:val="bottom"/>
          </w:tcPr>
          <w:p>
            <w:pPr>
              <w:jc w:val="center"/>
              <w:ind w:left="919"/>
              <w:spacing w:after="0"/>
              <w:rPr>
                <w:sz w:val="20"/>
                <w:szCs w:val="20"/>
                <w:color w:val="auto"/>
              </w:rPr>
            </w:pPr>
            <w:r>
              <w:rPr>
                <w:rFonts w:ascii="Arial" w:cs="Arial" w:eastAsia="Arial" w:hAnsi="Arial"/>
                <w:sz w:val="16"/>
                <w:szCs w:val="16"/>
                <w:color w:val="0000FF"/>
              </w:rPr>
              <w:t>55</w:t>
            </w:r>
          </w:p>
        </w:tc>
      </w:tr>
      <w:tr>
        <w:trPr>
          <w:trHeight w:val="217"/>
        </w:trPr>
        <w:tc>
          <w:tcPr>
            <w:tcW w:w="1040" w:type="dxa"/>
            <w:vAlign w:val="bottom"/>
            <w:shd w:val="clear" w:color="auto" w:fill="D4F1F5"/>
          </w:tcPr>
          <w:p>
            <w:pPr>
              <w:spacing w:after="0"/>
              <w:rPr>
                <w:sz w:val="18"/>
                <w:szCs w:val="18"/>
                <w:color w:val="auto"/>
              </w:rPr>
            </w:pPr>
          </w:p>
        </w:tc>
        <w:tc>
          <w:tcPr>
            <w:tcW w:w="7960" w:type="dxa"/>
            <w:vAlign w:val="bottom"/>
            <w:shd w:val="clear" w:color="auto" w:fill="D4F1F5"/>
          </w:tcPr>
          <w:p>
            <w:pPr>
              <w:ind w:left="600"/>
              <w:spacing w:after="0"/>
              <w:rPr>
                <w:sz w:val="20"/>
                <w:szCs w:val="20"/>
                <w:color w:val="auto"/>
              </w:rPr>
            </w:pPr>
            <w:r>
              <w:rPr>
                <w:rFonts w:ascii="Arial" w:cs="Arial" w:eastAsia="Arial" w:hAnsi="Arial"/>
                <w:sz w:val="16"/>
                <w:szCs w:val="16"/>
                <w:color w:val="0000FF"/>
              </w:rPr>
              <w:t>Note 9. Fair Value Measurements</w:t>
            </w:r>
          </w:p>
        </w:tc>
        <w:tc>
          <w:tcPr>
            <w:tcW w:w="2220" w:type="dxa"/>
            <w:vAlign w:val="bottom"/>
            <w:shd w:val="clear" w:color="auto" w:fill="D4F1F5"/>
          </w:tcPr>
          <w:p>
            <w:pPr>
              <w:jc w:val="center"/>
              <w:ind w:left="919"/>
              <w:spacing w:after="0"/>
              <w:rPr>
                <w:sz w:val="20"/>
                <w:szCs w:val="20"/>
                <w:color w:val="auto"/>
              </w:rPr>
            </w:pPr>
            <w:r>
              <w:rPr>
                <w:rFonts w:ascii="Arial" w:cs="Arial" w:eastAsia="Arial" w:hAnsi="Arial"/>
                <w:sz w:val="16"/>
                <w:szCs w:val="16"/>
                <w:color w:val="0000FF"/>
              </w:rPr>
              <w:t>62</w:t>
            </w:r>
          </w:p>
        </w:tc>
      </w:tr>
      <w:tr>
        <w:trPr>
          <w:trHeight w:val="215"/>
        </w:trPr>
        <w:tc>
          <w:tcPr>
            <w:tcW w:w="1040" w:type="dxa"/>
            <w:vAlign w:val="bottom"/>
          </w:tcPr>
          <w:p>
            <w:pPr>
              <w:spacing w:after="0"/>
              <w:rPr>
                <w:sz w:val="18"/>
                <w:szCs w:val="18"/>
                <w:color w:val="auto"/>
              </w:rPr>
            </w:pPr>
          </w:p>
        </w:tc>
        <w:tc>
          <w:tcPr>
            <w:tcW w:w="7960" w:type="dxa"/>
            <w:vAlign w:val="bottom"/>
          </w:tcPr>
          <w:p>
            <w:pPr>
              <w:ind w:left="600"/>
              <w:spacing w:after="0"/>
              <w:rPr>
                <w:sz w:val="20"/>
                <w:szCs w:val="20"/>
                <w:color w:val="auto"/>
              </w:rPr>
            </w:pPr>
            <w:r>
              <w:rPr>
                <w:rFonts w:ascii="Arial" w:cs="Arial" w:eastAsia="Arial" w:hAnsi="Arial"/>
                <w:sz w:val="16"/>
                <w:szCs w:val="16"/>
                <w:color w:val="0000FF"/>
              </w:rPr>
              <w:t>Note 10. Sempra – Contingently Redeemable Noncontrolling Interest</w:t>
            </w:r>
          </w:p>
        </w:tc>
        <w:tc>
          <w:tcPr>
            <w:tcW w:w="2220" w:type="dxa"/>
            <w:vAlign w:val="bottom"/>
          </w:tcPr>
          <w:p>
            <w:pPr>
              <w:jc w:val="center"/>
              <w:ind w:left="919"/>
              <w:spacing w:after="0"/>
              <w:rPr>
                <w:sz w:val="20"/>
                <w:szCs w:val="20"/>
                <w:color w:val="auto"/>
              </w:rPr>
            </w:pPr>
            <w:r>
              <w:rPr>
                <w:rFonts w:ascii="Arial" w:cs="Arial" w:eastAsia="Arial" w:hAnsi="Arial"/>
                <w:sz w:val="16"/>
                <w:szCs w:val="16"/>
                <w:color w:val="0000FF"/>
              </w:rPr>
              <w:t>70</w:t>
            </w:r>
          </w:p>
        </w:tc>
      </w:tr>
      <w:tr>
        <w:trPr>
          <w:trHeight w:val="217"/>
        </w:trPr>
        <w:tc>
          <w:tcPr>
            <w:tcW w:w="1040" w:type="dxa"/>
            <w:vAlign w:val="bottom"/>
            <w:shd w:val="clear" w:color="auto" w:fill="D4F1F5"/>
          </w:tcPr>
          <w:p>
            <w:pPr>
              <w:spacing w:after="0"/>
              <w:rPr>
                <w:sz w:val="18"/>
                <w:szCs w:val="18"/>
                <w:color w:val="auto"/>
              </w:rPr>
            </w:pPr>
          </w:p>
        </w:tc>
        <w:tc>
          <w:tcPr>
            <w:tcW w:w="7960" w:type="dxa"/>
            <w:vAlign w:val="bottom"/>
            <w:shd w:val="clear" w:color="auto" w:fill="D4F1F5"/>
          </w:tcPr>
          <w:p>
            <w:pPr>
              <w:ind w:left="600"/>
              <w:spacing w:after="0"/>
              <w:rPr>
                <w:sz w:val="20"/>
                <w:szCs w:val="20"/>
                <w:color w:val="auto"/>
              </w:rPr>
            </w:pPr>
            <w:r>
              <w:rPr>
                <w:rFonts w:ascii="Arial" w:cs="Arial" w:eastAsia="Arial" w:hAnsi="Arial"/>
                <w:sz w:val="16"/>
                <w:szCs w:val="16"/>
                <w:color w:val="0000FF"/>
              </w:rPr>
              <w:t>Note 11. Sempra – Equity and Earnings Per Common Share</w:t>
            </w:r>
          </w:p>
        </w:tc>
        <w:tc>
          <w:tcPr>
            <w:tcW w:w="2220" w:type="dxa"/>
            <w:vAlign w:val="bottom"/>
            <w:shd w:val="clear" w:color="auto" w:fill="D4F1F5"/>
          </w:tcPr>
          <w:p>
            <w:pPr>
              <w:jc w:val="center"/>
              <w:ind w:left="919"/>
              <w:spacing w:after="0"/>
              <w:rPr>
                <w:sz w:val="20"/>
                <w:szCs w:val="20"/>
                <w:color w:val="auto"/>
              </w:rPr>
            </w:pPr>
            <w:r>
              <w:rPr>
                <w:rFonts w:ascii="Arial" w:cs="Arial" w:eastAsia="Arial" w:hAnsi="Arial"/>
                <w:sz w:val="16"/>
                <w:szCs w:val="16"/>
                <w:color w:val="0000FF"/>
              </w:rPr>
              <w:t>70</w:t>
            </w:r>
          </w:p>
        </w:tc>
      </w:tr>
      <w:tr>
        <w:trPr>
          <w:trHeight w:val="215"/>
        </w:trPr>
        <w:tc>
          <w:tcPr>
            <w:tcW w:w="1040" w:type="dxa"/>
            <w:vAlign w:val="bottom"/>
          </w:tcPr>
          <w:p>
            <w:pPr>
              <w:spacing w:after="0"/>
              <w:rPr>
                <w:sz w:val="18"/>
                <w:szCs w:val="18"/>
                <w:color w:val="auto"/>
              </w:rPr>
            </w:pPr>
          </w:p>
        </w:tc>
        <w:tc>
          <w:tcPr>
            <w:tcW w:w="7960" w:type="dxa"/>
            <w:vAlign w:val="bottom"/>
          </w:tcPr>
          <w:p>
            <w:pPr>
              <w:ind w:left="600"/>
              <w:spacing w:after="0"/>
              <w:rPr>
                <w:sz w:val="20"/>
                <w:szCs w:val="20"/>
                <w:color w:val="auto"/>
              </w:rPr>
            </w:pPr>
            <w:r>
              <w:rPr>
                <w:rFonts w:ascii="Arial" w:cs="Arial" w:eastAsia="Arial" w:hAnsi="Arial"/>
                <w:sz w:val="16"/>
                <w:szCs w:val="16"/>
                <w:color w:val="0000FF"/>
              </w:rPr>
              <w:t>Note 12. San Onofre Nuclear Generating Station</w:t>
            </w:r>
          </w:p>
        </w:tc>
        <w:tc>
          <w:tcPr>
            <w:tcW w:w="2220" w:type="dxa"/>
            <w:vAlign w:val="bottom"/>
          </w:tcPr>
          <w:p>
            <w:pPr>
              <w:jc w:val="center"/>
              <w:ind w:left="919"/>
              <w:spacing w:after="0"/>
              <w:rPr>
                <w:sz w:val="20"/>
                <w:szCs w:val="20"/>
                <w:color w:val="auto"/>
              </w:rPr>
            </w:pPr>
            <w:r>
              <w:rPr>
                <w:rFonts w:ascii="Arial" w:cs="Arial" w:eastAsia="Arial" w:hAnsi="Arial"/>
                <w:sz w:val="16"/>
                <w:szCs w:val="16"/>
                <w:color w:val="0000FF"/>
              </w:rPr>
              <w:t>73</w:t>
            </w:r>
          </w:p>
        </w:tc>
      </w:tr>
      <w:tr>
        <w:trPr>
          <w:trHeight w:val="217"/>
        </w:trPr>
        <w:tc>
          <w:tcPr>
            <w:tcW w:w="1040" w:type="dxa"/>
            <w:vAlign w:val="bottom"/>
            <w:shd w:val="clear" w:color="auto" w:fill="D4F1F5"/>
          </w:tcPr>
          <w:p>
            <w:pPr>
              <w:spacing w:after="0"/>
              <w:rPr>
                <w:sz w:val="18"/>
                <w:szCs w:val="18"/>
                <w:color w:val="auto"/>
              </w:rPr>
            </w:pPr>
          </w:p>
        </w:tc>
        <w:tc>
          <w:tcPr>
            <w:tcW w:w="7960" w:type="dxa"/>
            <w:vAlign w:val="bottom"/>
            <w:shd w:val="clear" w:color="auto" w:fill="D4F1F5"/>
          </w:tcPr>
          <w:p>
            <w:pPr>
              <w:ind w:left="600"/>
              <w:spacing w:after="0"/>
              <w:rPr>
                <w:sz w:val="20"/>
                <w:szCs w:val="20"/>
                <w:color w:val="auto"/>
              </w:rPr>
            </w:pPr>
            <w:r>
              <w:rPr>
                <w:rFonts w:ascii="Arial" w:cs="Arial" w:eastAsia="Arial" w:hAnsi="Arial"/>
                <w:sz w:val="16"/>
                <w:szCs w:val="16"/>
                <w:color w:val="0000FF"/>
              </w:rPr>
              <w:t>Note 13. Commitments, Contingencies and Guarantees</w:t>
            </w:r>
          </w:p>
        </w:tc>
        <w:tc>
          <w:tcPr>
            <w:tcW w:w="2220" w:type="dxa"/>
            <w:vAlign w:val="bottom"/>
            <w:shd w:val="clear" w:color="auto" w:fill="D4F1F5"/>
          </w:tcPr>
          <w:p>
            <w:pPr>
              <w:jc w:val="center"/>
              <w:ind w:left="919"/>
              <w:spacing w:after="0"/>
              <w:rPr>
                <w:sz w:val="20"/>
                <w:szCs w:val="20"/>
                <w:color w:val="auto"/>
              </w:rPr>
            </w:pPr>
            <w:r>
              <w:rPr>
                <w:rFonts w:ascii="Arial" w:cs="Arial" w:eastAsia="Arial" w:hAnsi="Arial"/>
                <w:sz w:val="16"/>
                <w:szCs w:val="16"/>
                <w:color w:val="0000FF"/>
              </w:rPr>
              <w:t>75</w:t>
            </w:r>
          </w:p>
        </w:tc>
      </w:tr>
      <w:tr>
        <w:trPr>
          <w:trHeight w:val="215"/>
        </w:trPr>
        <w:tc>
          <w:tcPr>
            <w:tcW w:w="1040" w:type="dxa"/>
            <w:vAlign w:val="bottom"/>
          </w:tcPr>
          <w:p>
            <w:pPr>
              <w:spacing w:after="0"/>
              <w:rPr>
                <w:sz w:val="18"/>
                <w:szCs w:val="18"/>
                <w:color w:val="auto"/>
              </w:rPr>
            </w:pPr>
          </w:p>
        </w:tc>
        <w:tc>
          <w:tcPr>
            <w:tcW w:w="7960" w:type="dxa"/>
            <w:vAlign w:val="bottom"/>
          </w:tcPr>
          <w:p>
            <w:pPr>
              <w:ind w:left="600"/>
              <w:spacing w:after="0"/>
              <w:rPr>
                <w:sz w:val="20"/>
                <w:szCs w:val="20"/>
                <w:color w:val="auto"/>
              </w:rPr>
            </w:pPr>
            <w:r>
              <w:rPr>
                <w:rFonts w:ascii="Arial" w:cs="Arial" w:eastAsia="Arial" w:hAnsi="Arial"/>
                <w:sz w:val="16"/>
                <w:szCs w:val="16"/>
                <w:color w:val="0000FF"/>
              </w:rPr>
              <w:t>Note 14. Segment Information</w:t>
            </w:r>
          </w:p>
        </w:tc>
        <w:tc>
          <w:tcPr>
            <w:tcW w:w="2220" w:type="dxa"/>
            <w:vAlign w:val="bottom"/>
          </w:tcPr>
          <w:p>
            <w:pPr>
              <w:jc w:val="center"/>
              <w:ind w:left="919"/>
              <w:spacing w:after="0"/>
              <w:rPr>
                <w:sz w:val="20"/>
                <w:szCs w:val="20"/>
                <w:color w:val="auto"/>
              </w:rPr>
            </w:pPr>
            <w:r>
              <w:rPr>
                <w:rFonts w:ascii="Arial" w:cs="Arial" w:eastAsia="Arial" w:hAnsi="Arial"/>
                <w:sz w:val="16"/>
                <w:szCs w:val="16"/>
                <w:color w:val="0000FF"/>
              </w:rPr>
              <w:t>79</w:t>
            </w:r>
          </w:p>
        </w:tc>
      </w:tr>
      <w:tr>
        <w:trPr>
          <w:trHeight w:val="217"/>
        </w:trPr>
        <w:tc>
          <w:tcPr>
            <w:tcW w:w="1040" w:type="dxa"/>
            <w:vAlign w:val="bottom"/>
            <w:shd w:val="clear" w:color="auto" w:fill="D4F1F5"/>
          </w:tcPr>
          <w:p>
            <w:pPr>
              <w:ind w:left="20"/>
              <w:spacing w:after="0"/>
              <w:rPr>
                <w:sz w:val="20"/>
                <w:szCs w:val="20"/>
                <w:color w:val="auto"/>
              </w:rPr>
            </w:pPr>
            <w:r>
              <w:rPr>
                <w:rFonts w:ascii="Arial" w:cs="Arial" w:eastAsia="Arial" w:hAnsi="Arial"/>
                <w:sz w:val="16"/>
                <w:szCs w:val="16"/>
                <w:color w:val="auto"/>
              </w:rPr>
              <w:t>Item 2.</w:t>
            </w:r>
          </w:p>
        </w:tc>
        <w:tc>
          <w:tcPr>
            <w:tcW w:w="7960" w:type="dxa"/>
            <w:vAlign w:val="bottom"/>
            <w:shd w:val="clear" w:color="auto" w:fill="D4F1F5"/>
          </w:tcPr>
          <w:p>
            <w:pPr>
              <w:ind w:left="160"/>
              <w:spacing w:after="0"/>
              <w:rPr>
                <w:sz w:val="20"/>
                <w:szCs w:val="20"/>
                <w:color w:val="auto"/>
              </w:rPr>
            </w:pPr>
            <w:r>
              <w:rPr>
                <w:rFonts w:ascii="Arial" w:cs="Arial" w:eastAsia="Arial" w:hAnsi="Arial"/>
                <w:sz w:val="16"/>
                <w:szCs w:val="16"/>
                <w:color w:val="0000FF"/>
              </w:rPr>
              <w:t>Management’s Discussion and Analysis of Financial Condition and Results of Operations</w:t>
            </w:r>
          </w:p>
        </w:tc>
        <w:tc>
          <w:tcPr>
            <w:tcW w:w="2220" w:type="dxa"/>
            <w:vAlign w:val="bottom"/>
            <w:shd w:val="clear" w:color="auto" w:fill="D4F1F5"/>
          </w:tcPr>
          <w:p>
            <w:pPr>
              <w:jc w:val="center"/>
              <w:ind w:left="919"/>
              <w:spacing w:after="0"/>
              <w:rPr>
                <w:sz w:val="20"/>
                <w:szCs w:val="20"/>
                <w:color w:val="auto"/>
              </w:rPr>
            </w:pPr>
            <w:r>
              <w:rPr>
                <w:rFonts w:ascii="Arial" w:cs="Arial" w:eastAsia="Arial" w:hAnsi="Arial"/>
                <w:sz w:val="16"/>
                <w:szCs w:val="16"/>
                <w:color w:val="0000FF"/>
              </w:rPr>
              <w:t>85</w:t>
            </w:r>
          </w:p>
        </w:tc>
      </w:tr>
      <w:tr>
        <w:trPr>
          <w:trHeight w:val="215"/>
        </w:trPr>
        <w:tc>
          <w:tcPr>
            <w:tcW w:w="1040" w:type="dxa"/>
            <w:vAlign w:val="bottom"/>
          </w:tcPr>
          <w:p>
            <w:pPr>
              <w:spacing w:after="0"/>
              <w:rPr>
                <w:sz w:val="18"/>
                <w:szCs w:val="18"/>
                <w:color w:val="auto"/>
              </w:rPr>
            </w:pPr>
          </w:p>
        </w:tc>
        <w:tc>
          <w:tcPr>
            <w:tcW w:w="7960" w:type="dxa"/>
            <w:vAlign w:val="bottom"/>
          </w:tcPr>
          <w:p>
            <w:pPr>
              <w:ind w:left="360"/>
              <w:spacing w:after="0"/>
              <w:rPr>
                <w:sz w:val="20"/>
                <w:szCs w:val="20"/>
                <w:color w:val="auto"/>
              </w:rPr>
            </w:pPr>
            <w:r>
              <w:rPr>
                <w:rFonts w:ascii="Arial" w:cs="Arial" w:eastAsia="Arial" w:hAnsi="Arial"/>
                <w:sz w:val="16"/>
                <w:szCs w:val="16"/>
                <w:color w:val="0000FF"/>
              </w:rPr>
              <w:t>Overview</w:t>
            </w:r>
          </w:p>
        </w:tc>
        <w:tc>
          <w:tcPr>
            <w:tcW w:w="2220" w:type="dxa"/>
            <w:vAlign w:val="bottom"/>
          </w:tcPr>
          <w:p>
            <w:pPr>
              <w:jc w:val="center"/>
              <w:ind w:left="919"/>
              <w:spacing w:after="0"/>
              <w:rPr>
                <w:sz w:val="20"/>
                <w:szCs w:val="20"/>
                <w:color w:val="auto"/>
              </w:rPr>
            </w:pPr>
            <w:r>
              <w:rPr>
                <w:rFonts w:ascii="Arial" w:cs="Arial" w:eastAsia="Arial" w:hAnsi="Arial"/>
                <w:sz w:val="16"/>
                <w:szCs w:val="16"/>
                <w:color w:val="0000FF"/>
              </w:rPr>
              <w:t>85</w:t>
            </w:r>
          </w:p>
        </w:tc>
      </w:tr>
      <w:tr>
        <w:trPr>
          <w:trHeight w:val="217"/>
        </w:trPr>
        <w:tc>
          <w:tcPr>
            <w:tcW w:w="1040" w:type="dxa"/>
            <w:vAlign w:val="bottom"/>
            <w:shd w:val="clear" w:color="auto" w:fill="D4F1F5"/>
          </w:tcPr>
          <w:p>
            <w:pPr>
              <w:spacing w:after="0"/>
              <w:rPr>
                <w:sz w:val="18"/>
                <w:szCs w:val="18"/>
                <w:color w:val="auto"/>
              </w:rPr>
            </w:pPr>
          </w:p>
        </w:tc>
        <w:tc>
          <w:tcPr>
            <w:tcW w:w="7960" w:type="dxa"/>
            <w:vAlign w:val="bottom"/>
            <w:shd w:val="clear" w:color="auto" w:fill="D4F1F5"/>
          </w:tcPr>
          <w:p>
            <w:pPr>
              <w:ind w:left="360"/>
              <w:spacing w:after="0"/>
              <w:rPr>
                <w:sz w:val="20"/>
                <w:szCs w:val="20"/>
                <w:color w:val="auto"/>
              </w:rPr>
            </w:pPr>
            <w:r>
              <w:rPr>
                <w:rFonts w:ascii="Arial" w:cs="Arial" w:eastAsia="Arial" w:hAnsi="Arial"/>
                <w:sz w:val="16"/>
                <w:szCs w:val="16"/>
                <w:color w:val="0000FF"/>
              </w:rPr>
              <w:t>Results of Operations by Registrant</w:t>
            </w:r>
          </w:p>
        </w:tc>
        <w:tc>
          <w:tcPr>
            <w:tcW w:w="2220" w:type="dxa"/>
            <w:vAlign w:val="bottom"/>
            <w:shd w:val="clear" w:color="auto" w:fill="D4F1F5"/>
          </w:tcPr>
          <w:p>
            <w:pPr>
              <w:jc w:val="center"/>
              <w:ind w:left="919"/>
              <w:spacing w:after="0"/>
              <w:rPr>
                <w:sz w:val="20"/>
                <w:szCs w:val="20"/>
                <w:color w:val="auto"/>
              </w:rPr>
            </w:pPr>
            <w:r>
              <w:rPr>
                <w:rFonts w:ascii="Arial" w:cs="Arial" w:eastAsia="Arial" w:hAnsi="Arial"/>
                <w:sz w:val="16"/>
                <w:szCs w:val="16"/>
                <w:color w:val="0000FF"/>
              </w:rPr>
              <w:t>86</w:t>
            </w:r>
          </w:p>
        </w:tc>
      </w:tr>
      <w:tr>
        <w:trPr>
          <w:trHeight w:val="215"/>
        </w:trPr>
        <w:tc>
          <w:tcPr>
            <w:tcW w:w="1040" w:type="dxa"/>
            <w:vAlign w:val="bottom"/>
          </w:tcPr>
          <w:p>
            <w:pPr>
              <w:spacing w:after="0"/>
              <w:rPr>
                <w:sz w:val="18"/>
                <w:szCs w:val="18"/>
                <w:color w:val="auto"/>
              </w:rPr>
            </w:pPr>
          </w:p>
        </w:tc>
        <w:tc>
          <w:tcPr>
            <w:tcW w:w="7960" w:type="dxa"/>
            <w:vAlign w:val="bottom"/>
          </w:tcPr>
          <w:p>
            <w:pPr>
              <w:ind w:left="360"/>
              <w:spacing w:after="0"/>
              <w:rPr>
                <w:sz w:val="20"/>
                <w:szCs w:val="20"/>
                <w:color w:val="auto"/>
              </w:rPr>
            </w:pPr>
            <w:r>
              <w:rPr>
                <w:rFonts w:ascii="Arial" w:cs="Arial" w:eastAsia="Arial" w:hAnsi="Arial"/>
                <w:sz w:val="16"/>
                <w:szCs w:val="16"/>
                <w:color w:val="0000FF"/>
              </w:rPr>
              <w:t>Capital Resources and Liquidity</w:t>
            </w:r>
          </w:p>
        </w:tc>
        <w:tc>
          <w:tcPr>
            <w:tcW w:w="2220" w:type="dxa"/>
            <w:vAlign w:val="bottom"/>
          </w:tcPr>
          <w:p>
            <w:pPr>
              <w:jc w:val="center"/>
              <w:ind w:left="919"/>
              <w:spacing w:after="0"/>
              <w:rPr>
                <w:sz w:val="20"/>
                <w:szCs w:val="20"/>
                <w:color w:val="auto"/>
              </w:rPr>
            </w:pPr>
            <w:r>
              <w:rPr>
                <w:rFonts w:ascii="Arial" w:cs="Arial" w:eastAsia="Arial" w:hAnsi="Arial"/>
                <w:sz w:val="16"/>
                <w:szCs w:val="16"/>
                <w:color w:val="0000FF"/>
              </w:rPr>
              <w:t>98</w:t>
            </w:r>
          </w:p>
        </w:tc>
      </w:tr>
      <w:tr>
        <w:trPr>
          <w:trHeight w:val="217"/>
        </w:trPr>
        <w:tc>
          <w:tcPr>
            <w:tcW w:w="1040" w:type="dxa"/>
            <w:vAlign w:val="bottom"/>
            <w:shd w:val="clear" w:color="auto" w:fill="D4F1F5"/>
          </w:tcPr>
          <w:p>
            <w:pPr>
              <w:spacing w:after="0"/>
              <w:rPr>
                <w:sz w:val="18"/>
                <w:szCs w:val="18"/>
                <w:color w:val="auto"/>
              </w:rPr>
            </w:pPr>
          </w:p>
        </w:tc>
        <w:tc>
          <w:tcPr>
            <w:tcW w:w="7960" w:type="dxa"/>
            <w:vAlign w:val="bottom"/>
            <w:shd w:val="clear" w:color="auto" w:fill="D4F1F5"/>
          </w:tcPr>
          <w:p>
            <w:pPr>
              <w:ind w:left="360"/>
              <w:spacing w:after="0"/>
              <w:rPr>
                <w:sz w:val="20"/>
                <w:szCs w:val="20"/>
                <w:color w:val="auto"/>
              </w:rPr>
            </w:pPr>
            <w:r>
              <w:rPr>
                <w:rFonts w:ascii="Arial" w:cs="Arial" w:eastAsia="Arial" w:hAnsi="Arial"/>
                <w:sz w:val="16"/>
                <w:szCs w:val="16"/>
                <w:color w:val="0000FF"/>
              </w:rPr>
              <w:t>Critical Accounting Estimates</w:t>
            </w:r>
          </w:p>
        </w:tc>
        <w:tc>
          <w:tcPr>
            <w:tcW w:w="2220" w:type="dxa"/>
            <w:vAlign w:val="bottom"/>
            <w:shd w:val="clear" w:color="auto" w:fill="D4F1F5"/>
          </w:tcPr>
          <w:p>
            <w:pPr>
              <w:jc w:val="center"/>
              <w:ind w:left="939"/>
              <w:spacing w:after="0"/>
              <w:rPr>
                <w:sz w:val="20"/>
                <w:szCs w:val="20"/>
                <w:color w:val="auto"/>
              </w:rPr>
            </w:pPr>
            <w:r>
              <w:rPr>
                <w:rFonts w:ascii="Arial" w:cs="Arial" w:eastAsia="Arial" w:hAnsi="Arial"/>
                <w:sz w:val="16"/>
                <w:szCs w:val="16"/>
                <w:color w:val="0000FF"/>
                <w:w w:val="89"/>
              </w:rPr>
              <w:t>111</w:t>
            </w:r>
          </w:p>
        </w:tc>
      </w:tr>
      <w:tr>
        <w:trPr>
          <w:trHeight w:val="215"/>
        </w:trPr>
        <w:tc>
          <w:tcPr>
            <w:tcW w:w="1040" w:type="dxa"/>
            <w:vAlign w:val="bottom"/>
          </w:tcPr>
          <w:p>
            <w:pPr>
              <w:spacing w:after="0"/>
              <w:rPr>
                <w:sz w:val="18"/>
                <w:szCs w:val="18"/>
                <w:color w:val="auto"/>
              </w:rPr>
            </w:pPr>
          </w:p>
        </w:tc>
        <w:tc>
          <w:tcPr>
            <w:tcW w:w="7960" w:type="dxa"/>
            <w:vAlign w:val="bottom"/>
          </w:tcPr>
          <w:p>
            <w:pPr>
              <w:ind w:left="360"/>
              <w:spacing w:after="0"/>
              <w:rPr>
                <w:sz w:val="20"/>
                <w:szCs w:val="20"/>
                <w:color w:val="auto"/>
              </w:rPr>
            </w:pPr>
            <w:r>
              <w:rPr>
                <w:rFonts w:ascii="Arial" w:cs="Arial" w:eastAsia="Arial" w:hAnsi="Arial"/>
                <w:sz w:val="16"/>
                <w:szCs w:val="16"/>
                <w:color w:val="0000FF"/>
              </w:rPr>
              <w:t>New Accounting Standards</w:t>
            </w:r>
          </w:p>
        </w:tc>
        <w:tc>
          <w:tcPr>
            <w:tcW w:w="2220" w:type="dxa"/>
            <w:vAlign w:val="bottom"/>
          </w:tcPr>
          <w:p>
            <w:pPr>
              <w:jc w:val="center"/>
              <w:ind w:left="939"/>
              <w:spacing w:after="0"/>
              <w:rPr>
                <w:sz w:val="20"/>
                <w:szCs w:val="20"/>
                <w:color w:val="auto"/>
              </w:rPr>
            </w:pPr>
            <w:r>
              <w:rPr>
                <w:rFonts w:ascii="Arial" w:cs="Arial" w:eastAsia="Arial" w:hAnsi="Arial"/>
                <w:sz w:val="16"/>
                <w:szCs w:val="16"/>
                <w:color w:val="0000FF"/>
                <w:w w:val="89"/>
              </w:rPr>
              <w:t>112</w:t>
            </w:r>
          </w:p>
        </w:tc>
      </w:tr>
      <w:tr>
        <w:trPr>
          <w:trHeight w:val="217"/>
        </w:trPr>
        <w:tc>
          <w:tcPr>
            <w:tcW w:w="1040" w:type="dxa"/>
            <w:vAlign w:val="bottom"/>
            <w:shd w:val="clear" w:color="auto" w:fill="D4F1F5"/>
          </w:tcPr>
          <w:p>
            <w:pPr>
              <w:ind w:left="20"/>
              <w:spacing w:after="0"/>
              <w:rPr>
                <w:sz w:val="20"/>
                <w:szCs w:val="20"/>
                <w:color w:val="auto"/>
              </w:rPr>
            </w:pPr>
            <w:r>
              <w:rPr>
                <w:rFonts w:ascii="Arial" w:cs="Arial" w:eastAsia="Arial" w:hAnsi="Arial"/>
                <w:sz w:val="16"/>
                <w:szCs w:val="16"/>
                <w:color w:val="auto"/>
              </w:rPr>
              <w:t>Item 3.</w:t>
            </w:r>
          </w:p>
        </w:tc>
        <w:tc>
          <w:tcPr>
            <w:tcW w:w="7960" w:type="dxa"/>
            <w:vAlign w:val="bottom"/>
            <w:shd w:val="clear" w:color="auto" w:fill="D4F1F5"/>
          </w:tcPr>
          <w:p>
            <w:pPr>
              <w:ind w:left="160"/>
              <w:spacing w:after="0"/>
              <w:rPr>
                <w:sz w:val="20"/>
                <w:szCs w:val="20"/>
                <w:color w:val="auto"/>
              </w:rPr>
            </w:pPr>
            <w:r>
              <w:rPr>
                <w:rFonts w:ascii="Arial" w:cs="Arial" w:eastAsia="Arial" w:hAnsi="Arial"/>
                <w:sz w:val="16"/>
                <w:szCs w:val="16"/>
                <w:color w:val="0000FF"/>
              </w:rPr>
              <w:t>Quantitative and Qualitative Disclosures About Market Risk</w:t>
            </w:r>
          </w:p>
        </w:tc>
        <w:tc>
          <w:tcPr>
            <w:tcW w:w="2220" w:type="dxa"/>
            <w:vAlign w:val="bottom"/>
            <w:shd w:val="clear" w:color="auto" w:fill="D4F1F5"/>
          </w:tcPr>
          <w:p>
            <w:pPr>
              <w:jc w:val="center"/>
              <w:ind w:left="939"/>
              <w:spacing w:after="0"/>
              <w:rPr>
                <w:sz w:val="20"/>
                <w:szCs w:val="20"/>
                <w:color w:val="auto"/>
              </w:rPr>
            </w:pPr>
            <w:r>
              <w:rPr>
                <w:rFonts w:ascii="Arial" w:cs="Arial" w:eastAsia="Arial" w:hAnsi="Arial"/>
                <w:sz w:val="16"/>
                <w:szCs w:val="16"/>
                <w:color w:val="0000FF"/>
                <w:w w:val="89"/>
              </w:rPr>
              <w:t>112</w:t>
            </w:r>
          </w:p>
        </w:tc>
      </w:tr>
      <w:tr>
        <w:trPr>
          <w:trHeight w:val="215"/>
        </w:trPr>
        <w:tc>
          <w:tcPr>
            <w:tcW w:w="1040" w:type="dxa"/>
            <w:vAlign w:val="bottom"/>
          </w:tcPr>
          <w:p>
            <w:pPr>
              <w:ind w:left="20"/>
              <w:spacing w:after="0"/>
              <w:rPr>
                <w:sz w:val="20"/>
                <w:szCs w:val="20"/>
                <w:color w:val="auto"/>
              </w:rPr>
            </w:pPr>
            <w:r>
              <w:rPr>
                <w:rFonts w:ascii="Arial" w:cs="Arial" w:eastAsia="Arial" w:hAnsi="Arial"/>
                <w:sz w:val="16"/>
                <w:szCs w:val="16"/>
                <w:color w:val="auto"/>
              </w:rPr>
              <w:t>Item 4.</w:t>
            </w:r>
          </w:p>
        </w:tc>
        <w:tc>
          <w:tcPr>
            <w:tcW w:w="7960" w:type="dxa"/>
            <w:vAlign w:val="bottom"/>
          </w:tcPr>
          <w:p>
            <w:pPr>
              <w:ind w:left="160"/>
              <w:spacing w:after="0"/>
              <w:rPr>
                <w:sz w:val="20"/>
                <w:szCs w:val="20"/>
                <w:color w:val="auto"/>
              </w:rPr>
            </w:pPr>
            <w:r>
              <w:rPr>
                <w:rFonts w:ascii="Arial" w:cs="Arial" w:eastAsia="Arial" w:hAnsi="Arial"/>
                <w:sz w:val="16"/>
                <w:szCs w:val="16"/>
                <w:color w:val="0000FF"/>
              </w:rPr>
              <w:t>Controls and Procedures</w:t>
            </w:r>
          </w:p>
        </w:tc>
        <w:tc>
          <w:tcPr>
            <w:tcW w:w="2220" w:type="dxa"/>
            <w:vAlign w:val="bottom"/>
          </w:tcPr>
          <w:p>
            <w:pPr>
              <w:jc w:val="center"/>
              <w:ind w:left="939"/>
              <w:spacing w:after="0"/>
              <w:rPr>
                <w:sz w:val="20"/>
                <w:szCs w:val="20"/>
                <w:color w:val="auto"/>
              </w:rPr>
            </w:pPr>
            <w:r>
              <w:rPr>
                <w:rFonts w:ascii="Arial" w:cs="Arial" w:eastAsia="Arial" w:hAnsi="Arial"/>
                <w:sz w:val="16"/>
                <w:szCs w:val="16"/>
                <w:color w:val="0000FF"/>
                <w:w w:val="89"/>
              </w:rPr>
              <w:t>113</w:t>
            </w:r>
          </w:p>
        </w:tc>
      </w:tr>
      <w:tr>
        <w:trPr>
          <w:trHeight w:val="217"/>
        </w:trPr>
        <w:tc>
          <w:tcPr>
            <w:tcW w:w="9000" w:type="dxa"/>
            <w:vAlign w:val="bottom"/>
            <w:tcBorders>
              <w:bottom w:val="single" w:sz="8" w:color="auto"/>
            </w:tcBorders>
            <w:gridSpan w:val="2"/>
            <w:shd w:val="clear" w:color="auto" w:fill="D4F1F5"/>
          </w:tcPr>
          <w:p>
            <w:pPr>
              <w:spacing w:after="0"/>
              <w:rPr>
                <w:sz w:val="18"/>
                <w:szCs w:val="18"/>
                <w:color w:val="auto"/>
              </w:rPr>
            </w:pPr>
          </w:p>
        </w:tc>
        <w:tc>
          <w:tcPr>
            <w:tcW w:w="2220" w:type="dxa"/>
            <w:vAlign w:val="bottom"/>
            <w:tcBorders>
              <w:bottom w:val="single" w:sz="8" w:color="auto"/>
            </w:tcBorders>
            <w:shd w:val="clear" w:color="auto" w:fill="D4F1F5"/>
          </w:tcPr>
          <w:p>
            <w:pPr>
              <w:spacing w:after="0"/>
              <w:rPr>
                <w:sz w:val="18"/>
                <w:szCs w:val="18"/>
                <w:color w:val="auto"/>
              </w:rPr>
            </w:pPr>
          </w:p>
        </w:tc>
      </w:tr>
      <w:tr>
        <w:trPr>
          <w:trHeight w:val="210"/>
        </w:trPr>
        <w:tc>
          <w:tcPr>
            <w:tcW w:w="9000" w:type="dxa"/>
            <w:vAlign w:val="bottom"/>
            <w:gridSpan w:val="2"/>
          </w:tcPr>
          <w:p>
            <w:pPr>
              <w:ind w:left="20"/>
              <w:spacing w:after="0"/>
              <w:rPr>
                <w:sz w:val="20"/>
                <w:szCs w:val="20"/>
                <w:color w:val="auto"/>
              </w:rPr>
            </w:pPr>
            <w:r>
              <w:rPr>
                <w:rFonts w:ascii="Arial" w:cs="Arial" w:eastAsia="Arial" w:hAnsi="Arial"/>
                <w:sz w:val="16"/>
                <w:szCs w:val="16"/>
                <w:b w:val="1"/>
                <w:bCs w:val="1"/>
                <w:color w:val="auto"/>
              </w:rPr>
              <w:t>PART II – OTHER INFORMATION</w:t>
            </w:r>
          </w:p>
        </w:tc>
        <w:tc>
          <w:tcPr>
            <w:tcW w:w="2220" w:type="dxa"/>
            <w:vAlign w:val="bottom"/>
          </w:tcPr>
          <w:p>
            <w:pPr>
              <w:spacing w:after="0"/>
              <w:rPr>
                <w:sz w:val="18"/>
                <w:szCs w:val="18"/>
                <w:color w:val="auto"/>
              </w:rPr>
            </w:pPr>
          </w:p>
        </w:tc>
      </w:tr>
      <w:tr>
        <w:trPr>
          <w:trHeight w:val="216"/>
        </w:trPr>
        <w:tc>
          <w:tcPr>
            <w:tcW w:w="1040" w:type="dxa"/>
            <w:vAlign w:val="bottom"/>
            <w:shd w:val="clear" w:color="auto" w:fill="D4F1F5"/>
          </w:tcPr>
          <w:p>
            <w:pPr>
              <w:ind w:left="20"/>
              <w:spacing w:after="0"/>
              <w:rPr>
                <w:sz w:val="20"/>
                <w:szCs w:val="20"/>
                <w:color w:val="auto"/>
              </w:rPr>
            </w:pPr>
            <w:r>
              <w:rPr>
                <w:rFonts w:ascii="Arial" w:cs="Arial" w:eastAsia="Arial" w:hAnsi="Arial"/>
                <w:sz w:val="16"/>
                <w:szCs w:val="16"/>
                <w:color w:val="auto"/>
              </w:rPr>
              <w:t>Item 1.</w:t>
            </w:r>
          </w:p>
        </w:tc>
        <w:tc>
          <w:tcPr>
            <w:tcW w:w="7960" w:type="dxa"/>
            <w:vAlign w:val="bottom"/>
            <w:shd w:val="clear" w:color="auto" w:fill="D4F1F5"/>
          </w:tcPr>
          <w:p>
            <w:pPr>
              <w:ind w:left="160"/>
              <w:spacing w:after="0"/>
              <w:rPr>
                <w:sz w:val="20"/>
                <w:szCs w:val="20"/>
                <w:color w:val="auto"/>
              </w:rPr>
            </w:pPr>
            <w:r>
              <w:rPr>
                <w:rFonts w:ascii="Arial" w:cs="Arial" w:eastAsia="Arial" w:hAnsi="Arial"/>
                <w:sz w:val="16"/>
                <w:szCs w:val="16"/>
                <w:color w:val="0000FF"/>
              </w:rPr>
              <w:t>Legal Proceedings</w:t>
            </w:r>
          </w:p>
        </w:tc>
        <w:tc>
          <w:tcPr>
            <w:tcW w:w="2220" w:type="dxa"/>
            <w:vAlign w:val="bottom"/>
            <w:shd w:val="clear" w:color="auto" w:fill="D4F1F5"/>
          </w:tcPr>
          <w:p>
            <w:pPr>
              <w:jc w:val="center"/>
              <w:ind w:left="939"/>
              <w:spacing w:after="0"/>
              <w:rPr>
                <w:sz w:val="20"/>
                <w:szCs w:val="20"/>
                <w:color w:val="auto"/>
              </w:rPr>
            </w:pPr>
            <w:r>
              <w:rPr>
                <w:rFonts w:ascii="Arial" w:cs="Arial" w:eastAsia="Arial" w:hAnsi="Arial"/>
                <w:sz w:val="16"/>
                <w:szCs w:val="16"/>
                <w:color w:val="0000FF"/>
                <w:w w:val="89"/>
              </w:rPr>
              <w:t>115</w:t>
            </w:r>
          </w:p>
        </w:tc>
      </w:tr>
      <w:tr>
        <w:trPr>
          <w:trHeight w:val="215"/>
        </w:trPr>
        <w:tc>
          <w:tcPr>
            <w:tcW w:w="1040" w:type="dxa"/>
            <w:vAlign w:val="bottom"/>
          </w:tcPr>
          <w:p>
            <w:pPr>
              <w:ind w:left="20"/>
              <w:spacing w:after="0"/>
              <w:rPr>
                <w:sz w:val="20"/>
                <w:szCs w:val="20"/>
                <w:color w:val="auto"/>
              </w:rPr>
            </w:pPr>
            <w:r>
              <w:rPr>
                <w:rFonts w:ascii="Arial" w:cs="Arial" w:eastAsia="Arial" w:hAnsi="Arial"/>
                <w:sz w:val="16"/>
                <w:szCs w:val="16"/>
                <w:color w:val="auto"/>
              </w:rPr>
              <w:t>Item 1A.</w:t>
            </w:r>
          </w:p>
        </w:tc>
        <w:tc>
          <w:tcPr>
            <w:tcW w:w="7960" w:type="dxa"/>
            <w:vAlign w:val="bottom"/>
          </w:tcPr>
          <w:p>
            <w:pPr>
              <w:ind w:left="160"/>
              <w:spacing w:after="0"/>
              <w:rPr>
                <w:sz w:val="20"/>
                <w:szCs w:val="20"/>
                <w:color w:val="auto"/>
              </w:rPr>
            </w:pPr>
            <w:r>
              <w:rPr>
                <w:rFonts w:ascii="Arial" w:cs="Arial" w:eastAsia="Arial" w:hAnsi="Arial"/>
                <w:sz w:val="16"/>
                <w:szCs w:val="16"/>
                <w:color w:val="0000FF"/>
              </w:rPr>
              <w:t>Risk Factors</w:t>
            </w:r>
          </w:p>
        </w:tc>
        <w:tc>
          <w:tcPr>
            <w:tcW w:w="2220" w:type="dxa"/>
            <w:vAlign w:val="bottom"/>
          </w:tcPr>
          <w:p>
            <w:pPr>
              <w:jc w:val="center"/>
              <w:ind w:left="939"/>
              <w:spacing w:after="0"/>
              <w:rPr>
                <w:sz w:val="20"/>
                <w:szCs w:val="20"/>
                <w:color w:val="auto"/>
              </w:rPr>
            </w:pPr>
            <w:r>
              <w:rPr>
                <w:rFonts w:ascii="Arial" w:cs="Arial" w:eastAsia="Arial" w:hAnsi="Arial"/>
                <w:sz w:val="16"/>
                <w:szCs w:val="16"/>
                <w:color w:val="0000FF"/>
                <w:w w:val="89"/>
              </w:rPr>
              <w:t>115</w:t>
            </w:r>
          </w:p>
        </w:tc>
      </w:tr>
      <w:tr>
        <w:trPr>
          <w:trHeight w:val="217"/>
        </w:trPr>
        <w:tc>
          <w:tcPr>
            <w:tcW w:w="1040" w:type="dxa"/>
            <w:vAlign w:val="bottom"/>
            <w:shd w:val="clear" w:color="auto" w:fill="D4F1F5"/>
          </w:tcPr>
          <w:p>
            <w:pPr>
              <w:ind w:left="20"/>
              <w:spacing w:after="0"/>
              <w:rPr>
                <w:sz w:val="20"/>
                <w:szCs w:val="20"/>
                <w:color w:val="auto"/>
              </w:rPr>
            </w:pPr>
            <w:r>
              <w:rPr>
                <w:rFonts w:ascii="Arial" w:cs="Arial" w:eastAsia="Arial" w:hAnsi="Arial"/>
                <w:sz w:val="16"/>
                <w:szCs w:val="16"/>
                <w:color w:val="auto"/>
              </w:rPr>
              <w:t>Item 5.</w:t>
            </w:r>
          </w:p>
        </w:tc>
        <w:tc>
          <w:tcPr>
            <w:tcW w:w="7960" w:type="dxa"/>
            <w:vAlign w:val="bottom"/>
            <w:shd w:val="clear" w:color="auto" w:fill="D4F1F5"/>
          </w:tcPr>
          <w:p>
            <w:pPr>
              <w:ind w:left="160"/>
              <w:spacing w:after="0"/>
              <w:rPr>
                <w:sz w:val="20"/>
                <w:szCs w:val="20"/>
                <w:color w:val="auto"/>
              </w:rPr>
            </w:pPr>
            <w:r>
              <w:rPr>
                <w:rFonts w:ascii="Arial" w:cs="Arial" w:eastAsia="Arial" w:hAnsi="Arial"/>
                <w:sz w:val="16"/>
                <w:szCs w:val="16"/>
                <w:color w:val="0000FF"/>
              </w:rPr>
              <w:t>Other Information</w:t>
            </w:r>
          </w:p>
        </w:tc>
        <w:tc>
          <w:tcPr>
            <w:tcW w:w="2220" w:type="dxa"/>
            <w:vAlign w:val="bottom"/>
            <w:shd w:val="clear" w:color="auto" w:fill="D4F1F5"/>
          </w:tcPr>
          <w:p>
            <w:pPr>
              <w:jc w:val="center"/>
              <w:ind w:left="939"/>
              <w:spacing w:after="0"/>
              <w:rPr>
                <w:sz w:val="20"/>
                <w:szCs w:val="20"/>
                <w:color w:val="auto"/>
              </w:rPr>
            </w:pPr>
            <w:r>
              <w:rPr>
                <w:rFonts w:ascii="Arial" w:cs="Arial" w:eastAsia="Arial" w:hAnsi="Arial"/>
                <w:sz w:val="16"/>
                <w:szCs w:val="16"/>
                <w:color w:val="0000FF"/>
                <w:w w:val="89"/>
              </w:rPr>
              <w:t>115</w:t>
            </w:r>
          </w:p>
        </w:tc>
      </w:tr>
      <w:tr>
        <w:trPr>
          <w:trHeight w:val="215"/>
        </w:trPr>
        <w:tc>
          <w:tcPr>
            <w:tcW w:w="1040" w:type="dxa"/>
            <w:vAlign w:val="bottom"/>
          </w:tcPr>
          <w:p>
            <w:pPr>
              <w:ind w:left="20"/>
              <w:spacing w:after="0"/>
              <w:rPr>
                <w:sz w:val="20"/>
                <w:szCs w:val="20"/>
                <w:color w:val="auto"/>
              </w:rPr>
            </w:pPr>
            <w:r>
              <w:rPr>
                <w:rFonts w:ascii="Arial" w:cs="Arial" w:eastAsia="Arial" w:hAnsi="Arial"/>
                <w:sz w:val="16"/>
                <w:szCs w:val="16"/>
                <w:color w:val="auto"/>
              </w:rPr>
              <w:t>Item 6.</w:t>
            </w:r>
          </w:p>
        </w:tc>
        <w:tc>
          <w:tcPr>
            <w:tcW w:w="7960" w:type="dxa"/>
            <w:vAlign w:val="bottom"/>
          </w:tcPr>
          <w:p>
            <w:pPr>
              <w:ind w:left="160"/>
              <w:spacing w:after="0"/>
              <w:rPr>
                <w:sz w:val="20"/>
                <w:szCs w:val="20"/>
                <w:color w:val="auto"/>
              </w:rPr>
            </w:pPr>
            <w:r>
              <w:rPr>
                <w:rFonts w:ascii="Arial" w:cs="Arial" w:eastAsia="Arial" w:hAnsi="Arial"/>
                <w:sz w:val="16"/>
                <w:szCs w:val="16"/>
                <w:color w:val="0000FF"/>
              </w:rPr>
              <w:t>Exhibits</w:t>
            </w:r>
          </w:p>
        </w:tc>
        <w:tc>
          <w:tcPr>
            <w:tcW w:w="2220" w:type="dxa"/>
            <w:vAlign w:val="bottom"/>
          </w:tcPr>
          <w:p>
            <w:pPr>
              <w:jc w:val="center"/>
              <w:ind w:left="939"/>
              <w:spacing w:after="0"/>
              <w:rPr>
                <w:sz w:val="20"/>
                <w:szCs w:val="20"/>
                <w:color w:val="auto"/>
              </w:rPr>
            </w:pPr>
            <w:r>
              <w:rPr>
                <w:rFonts w:ascii="Arial" w:cs="Arial" w:eastAsia="Arial" w:hAnsi="Arial"/>
                <w:sz w:val="16"/>
                <w:szCs w:val="16"/>
                <w:color w:val="0000FF"/>
                <w:w w:val="89"/>
              </w:rPr>
              <w:t>116</w:t>
            </w:r>
          </w:p>
        </w:tc>
      </w:tr>
      <w:tr>
        <w:trPr>
          <w:trHeight w:val="217"/>
        </w:trPr>
        <w:tc>
          <w:tcPr>
            <w:tcW w:w="1040" w:type="dxa"/>
            <w:vAlign w:val="bottom"/>
            <w:shd w:val="clear" w:color="auto" w:fill="D4F1F5"/>
          </w:tcPr>
          <w:p>
            <w:pPr>
              <w:spacing w:after="0"/>
              <w:rPr>
                <w:sz w:val="18"/>
                <w:szCs w:val="18"/>
                <w:color w:val="auto"/>
              </w:rPr>
            </w:pPr>
          </w:p>
        </w:tc>
        <w:tc>
          <w:tcPr>
            <w:tcW w:w="7960" w:type="dxa"/>
            <w:vAlign w:val="bottom"/>
            <w:shd w:val="clear" w:color="auto" w:fill="D4F1F5"/>
          </w:tcPr>
          <w:p>
            <w:pPr>
              <w:spacing w:after="0"/>
              <w:rPr>
                <w:sz w:val="18"/>
                <w:szCs w:val="18"/>
                <w:color w:val="auto"/>
              </w:rPr>
            </w:pPr>
          </w:p>
        </w:tc>
        <w:tc>
          <w:tcPr>
            <w:tcW w:w="2220" w:type="dxa"/>
            <w:vAlign w:val="bottom"/>
            <w:shd w:val="clear" w:color="auto" w:fill="D4F1F5"/>
          </w:tcPr>
          <w:p>
            <w:pPr>
              <w:spacing w:after="0"/>
              <w:rPr>
                <w:sz w:val="18"/>
                <w:szCs w:val="18"/>
                <w:color w:val="auto"/>
              </w:rPr>
            </w:pPr>
          </w:p>
        </w:tc>
      </w:tr>
      <w:tr>
        <w:trPr>
          <w:trHeight w:val="216"/>
        </w:trPr>
        <w:tc>
          <w:tcPr>
            <w:tcW w:w="104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0000FF"/>
              </w:rPr>
              <w:t>Signatures</w:t>
            </w:r>
          </w:p>
        </w:tc>
        <w:tc>
          <w:tcPr>
            <w:tcW w:w="7960" w:type="dxa"/>
            <w:vAlign w:val="bottom"/>
            <w:tcBorders>
              <w:bottom w:val="single" w:sz="8" w:color="auto"/>
            </w:tcBorders>
          </w:tcPr>
          <w:p>
            <w:pPr>
              <w:spacing w:after="0"/>
              <w:rPr>
                <w:sz w:val="18"/>
                <w:szCs w:val="18"/>
                <w:color w:val="auto"/>
              </w:rPr>
            </w:pPr>
          </w:p>
        </w:tc>
        <w:tc>
          <w:tcPr>
            <w:tcW w:w="2220" w:type="dxa"/>
            <w:vAlign w:val="bottom"/>
            <w:tcBorders>
              <w:bottom w:val="single" w:sz="8" w:color="auto"/>
            </w:tcBorders>
          </w:tcPr>
          <w:p>
            <w:pPr>
              <w:jc w:val="center"/>
              <w:ind w:left="939"/>
              <w:spacing w:after="0"/>
              <w:rPr>
                <w:sz w:val="20"/>
                <w:szCs w:val="20"/>
                <w:color w:val="auto"/>
              </w:rPr>
            </w:pPr>
            <w:r>
              <w:rPr>
                <w:rFonts w:ascii="Arial" w:cs="Arial" w:eastAsia="Arial" w:hAnsi="Arial"/>
                <w:sz w:val="16"/>
                <w:szCs w:val="16"/>
                <w:color w:val="0000FF"/>
                <w:w w:val="89"/>
              </w:rPr>
              <w:t>119</w:t>
            </w:r>
          </w:p>
        </w:tc>
      </w:tr>
    </w:tbl>
    <w:p>
      <w:pPr>
        <w:spacing w:after="0" w:line="191" w:lineRule="exact"/>
        <w:rPr>
          <w:sz w:val="20"/>
          <w:szCs w:val="20"/>
          <w:color w:val="auto"/>
        </w:rPr>
      </w:pPr>
    </w:p>
    <w:p>
      <w:pPr>
        <w:spacing w:after="0" w:line="283" w:lineRule="auto"/>
        <w:rPr>
          <w:sz w:val="20"/>
          <w:szCs w:val="20"/>
          <w:color w:val="auto"/>
        </w:rPr>
      </w:pPr>
      <w:r>
        <w:rPr>
          <w:rFonts w:ascii="Times New Roman" w:cs="Times New Roman" w:eastAsia="Times New Roman" w:hAnsi="Times New Roman"/>
          <w:sz w:val="14"/>
          <w:szCs w:val="14"/>
          <w:b w:val="1"/>
          <w:bCs w:val="1"/>
          <w:color w:val="auto"/>
        </w:rPr>
        <w:t>This combined Form 10-Q is separately filed by Sempra, San Diego Gas &amp; Electric Company and Southern California Gas Company. Information contained herein relating to any one of these individual Registrants is filed by such Registrant on its own behalf. Each such Registrant makes statements herein only as to itself and makes no statement whatsoever as to any other Registrant.</w:t>
      </w:r>
    </w:p>
    <w:p>
      <w:pPr>
        <w:spacing w:after="0" w:line="79"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14"/>
          <w:szCs w:val="14"/>
          <w:b w:val="1"/>
          <w:bCs w:val="1"/>
          <w:color w:val="auto"/>
        </w:rPr>
        <w:t>You should read this report in its entirety as it pertains to each respective Registrant. No one section of the report deals with all aspects of the subject matter. A separate Part I – Item 1 is provided for each Registrant, except for the Notes to Condensed Consolidated Financial Statements, which are combined for all the Registrants. All Items other than Part I – Item 1 are combined for the three Registrants.</w:t>
      </w:r>
    </w:p>
    <w:p>
      <w:pPr>
        <w:spacing w:after="0" w:line="79" w:lineRule="exact"/>
        <w:rPr>
          <w:sz w:val="20"/>
          <w:szCs w:val="20"/>
          <w:color w:val="auto"/>
        </w:rPr>
      </w:pPr>
    </w:p>
    <w:p>
      <w:pPr>
        <w:jc w:val="both"/>
        <w:spacing w:after="0" w:line="305" w:lineRule="auto"/>
        <w:rPr>
          <w:sz w:val="20"/>
          <w:szCs w:val="20"/>
          <w:color w:val="auto"/>
        </w:rPr>
      </w:pPr>
      <w:r>
        <w:rPr>
          <w:rFonts w:ascii="Times New Roman" w:cs="Times New Roman" w:eastAsia="Times New Roman" w:hAnsi="Times New Roman"/>
          <w:sz w:val="14"/>
          <w:szCs w:val="14"/>
          <w:b w:val="1"/>
          <w:bCs w:val="1"/>
          <w:color w:val="auto"/>
        </w:rPr>
        <w:t>None of the website references in this report are active hyperlinks, and the information contained on or that can be accessed through any such website is not and shall not be deemed to be part of or incorporated by reference in this report or any other document that we file with or furnish to the SEC.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terms and abbreviations appearing in this report have the meanings indicated below.</w:t>
      </w:r>
    </w:p>
    <w:p>
      <w:pPr>
        <w:spacing w:after="0" w:line="67"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FFFFFF"/>
        </w:rPr>
        <w:t>GLOSSARY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-115570</wp:posOffset>
            </wp:positionV>
            <wp:extent cx="7132320" cy="27432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274320"/>
                    </a:xfrm>
                    <a:prstGeom prst="rect">
                      <a:avLst/>
                    </a:prstGeom>
                    <a:noFill/>
                  </pic:spPr>
                </pic:pic>
              </a:graphicData>
            </a:graphic>
          </wp:anchor>
        </w:drawing>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300" w:type="dxa"/>
            <w:vAlign w:val="bottom"/>
            <w:shd w:val="clear" w:color="auto" w:fill="D4F1F5"/>
          </w:tcPr>
          <w:p>
            <w:pPr>
              <w:ind w:left="20"/>
              <w:spacing w:after="0"/>
              <w:rPr>
                <w:sz w:val="20"/>
                <w:szCs w:val="20"/>
                <w:color w:val="auto"/>
              </w:rPr>
            </w:pPr>
            <w:r>
              <w:rPr>
                <w:rFonts w:ascii="Arial" w:cs="Arial" w:eastAsia="Arial" w:hAnsi="Arial"/>
                <w:sz w:val="14"/>
                <w:szCs w:val="14"/>
                <w:color w:val="auto"/>
              </w:rPr>
              <w:t>2019 Wildfire Legislation</w:t>
            </w:r>
          </w:p>
        </w:tc>
        <w:tc>
          <w:tcPr>
            <w:tcW w:w="8940" w:type="dxa"/>
            <w:vAlign w:val="bottom"/>
            <w:shd w:val="clear" w:color="auto" w:fill="D4F1F5"/>
          </w:tcPr>
          <w:p>
            <w:pPr>
              <w:ind w:left="300"/>
              <w:spacing w:after="0"/>
              <w:rPr>
                <w:sz w:val="20"/>
                <w:szCs w:val="20"/>
                <w:color w:val="auto"/>
              </w:rPr>
            </w:pPr>
            <w:r>
              <w:rPr>
                <w:rFonts w:ascii="Arial" w:cs="Arial" w:eastAsia="Arial" w:hAnsi="Arial"/>
                <w:sz w:val="14"/>
                <w:szCs w:val="14"/>
                <w:color w:val="auto"/>
              </w:rPr>
              <w:t>AB 1054 and AB 111</w:t>
            </w:r>
          </w:p>
        </w:tc>
      </w:tr>
      <w:tr>
        <w:trPr>
          <w:trHeight w:val="198"/>
        </w:trPr>
        <w:tc>
          <w:tcPr>
            <w:tcW w:w="2300" w:type="dxa"/>
            <w:vAlign w:val="bottom"/>
          </w:tcPr>
          <w:p>
            <w:pPr>
              <w:ind w:left="20"/>
              <w:spacing w:after="0"/>
              <w:rPr>
                <w:sz w:val="20"/>
                <w:szCs w:val="20"/>
                <w:color w:val="auto"/>
              </w:rPr>
            </w:pPr>
            <w:r>
              <w:rPr>
                <w:rFonts w:ascii="Arial" w:cs="Arial" w:eastAsia="Arial" w:hAnsi="Arial"/>
                <w:sz w:val="14"/>
                <w:szCs w:val="14"/>
                <w:color w:val="auto"/>
              </w:rPr>
              <w:t>2025 Wildfire Legislation</w:t>
            </w:r>
          </w:p>
        </w:tc>
        <w:tc>
          <w:tcPr>
            <w:tcW w:w="8940" w:type="dxa"/>
            <w:vAlign w:val="bottom"/>
          </w:tcPr>
          <w:p>
            <w:pPr>
              <w:ind w:left="300"/>
              <w:spacing w:after="0"/>
              <w:rPr>
                <w:sz w:val="20"/>
                <w:szCs w:val="20"/>
                <w:color w:val="auto"/>
              </w:rPr>
            </w:pPr>
            <w:r>
              <w:rPr>
                <w:rFonts w:ascii="Arial" w:cs="Arial" w:eastAsia="Arial" w:hAnsi="Arial"/>
                <w:sz w:val="14"/>
                <w:szCs w:val="14"/>
                <w:color w:val="auto"/>
              </w:rPr>
              <w:t>Senate Bill 254</w:t>
            </w:r>
          </w:p>
        </w:tc>
      </w:tr>
      <w:tr>
        <w:trPr>
          <w:trHeight w:val="207"/>
        </w:trPr>
        <w:tc>
          <w:tcPr>
            <w:tcW w:w="2300" w:type="dxa"/>
            <w:vAlign w:val="bottom"/>
            <w:shd w:val="clear" w:color="auto" w:fill="D4F1F5"/>
          </w:tcPr>
          <w:p>
            <w:pPr>
              <w:ind w:left="20"/>
              <w:spacing w:after="0"/>
              <w:rPr>
                <w:sz w:val="20"/>
                <w:szCs w:val="20"/>
                <w:color w:val="auto"/>
              </w:rPr>
            </w:pPr>
            <w:r>
              <w:rPr>
                <w:rFonts w:ascii="Arial" w:cs="Arial" w:eastAsia="Arial" w:hAnsi="Arial"/>
                <w:sz w:val="14"/>
                <w:szCs w:val="14"/>
                <w:color w:val="auto"/>
              </w:rPr>
              <w:t>AB</w:t>
            </w:r>
          </w:p>
        </w:tc>
        <w:tc>
          <w:tcPr>
            <w:tcW w:w="8940" w:type="dxa"/>
            <w:vAlign w:val="bottom"/>
            <w:shd w:val="clear" w:color="auto" w:fill="D4F1F5"/>
          </w:tcPr>
          <w:p>
            <w:pPr>
              <w:ind w:left="300"/>
              <w:spacing w:after="0"/>
              <w:rPr>
                <w:sz w:val="20"/>
                <w:szCs w:val="20"/>
                <w:color w:val="auto"/>
              </w:rPr>
            </w:pPr>
            <w:r>
              <w:rPr>
                <w:rFonts w:ascii="Arial" w:cs="Arial" w:eastAsia="Arial" w:hAnsi="Arial"/>
                <w:sz w:val="14"/>
                <w:szCs w:val="14"/>
                <w:color w:val="auto"/>
              </w:rPr>
              <w:t>California Assembly Bill</w:t>
            </w:r>
          </w:p>
        </w:tc>
      </w:tr>
      <w:tr>
        <w:trPr>
          <w:trHeight w:val="198"/>
        </w:trPr>
        <w:tc>
          <w:tcPr>
            <w:tcW w:w="2300" w:type="dxa"/>
            <w:vAlign w:val="bottom"/>
          </w:tcPr>
          <w:p>
            <w:pPr>
              <w:ind w:left="20"/>
              <w:spacing w:after="0"/>
              <w:rPr>
                <w:sz w:val="20"/>
                <w:szCs w:val="20"/>
                <w:color w:val="auto"/>
              </w:rPr>
            </w:pPr>
            <w:r>
              <w:rPr>
                <w:rFonts w:ascii="Arial" w:cs="Arial" w:eastAsia="Arial" w:hAnsi="Arial"/>
                <w:sz w:val="14"/>
                <w:szCs w:val="14"/>
                <w:color w:val="auto"/>
              </w:rPr>
              <w:t>ADIA</w:t>
            </w:r>
          </w:p>
        </w:tc>
        <w:tc>
          <w:tcPr>
            <w:tcW w:w="8940" w:type="dxa"/>
            <w:vAlign w:val="bottom"/>
          </w:tcPr>
          <w:p>
            <w:pPr>
              <w:ind w:left="300"/>
              <w:spacing w:after="0"/>
              <w:rPr>
                <w:sz w:val="20"/>
                <w:szCs w:val="20"/>
                <w:color w:val="auto"/>
              </w:rPr>
            </w:pPr>
            <w:r>
              <w:rPr>
                <w:rFonts w:ascii="Arial" w:cs="Arial" w:eastAsia="Arial" w:hAnsi="Arial"/>
                <w:sz w:val="14"/>
                <w:szCs w:val="14"/>
                <w:color w:val="auto"/>
              </w:rPr>
              <w:t>Black Silverback ZC 2022 LP (assignee of Black River B 2017 Inc.), a wholly owned affiliate of Abu Dhabi Investment Authority</w:t>
            </w:r>
          </w:p>
        </w:tc>
      </w:tr>
      <w:tr>
        <w:trPr>
          <w:trHeight w:val="207"/>
        </w:trPr>
        <w:tc>
          <w:tcPr>
            <w:tcW w:w="2300" w:type="dxa"/>
            <w:vAlign w:val="bottom"/>
            <w:shd w:val="clear" w:color="auto" w:fill="D4F1F5"/>
          </w:tcPr>
          <w:p>
            <w:pPr>
              <w:ind w:left="20"/>
              <w:spacing w:after="0"/>
              <w:rPr>
                <w:sz w:val="20"/>
                <w:szCs w:val="20"/>
                <w:color w:val="auto"/>
              </w:rPr>
            </w:pPr>
            <w:r>
              <w:rPr>
                <w:rFonts w:ascii="Arial" w:cs="Arial" w:eastAsia="Arial" w:hAnsi="Arial"/>
                <w:sz w:val="14"/>
                <w:szCs w:val="14"/>
                <w:color w:val="auto"/>
              </w:rPr>
              <w:t>AFUDC</w:t>
            </w:r>
          </w:p>
        </w:tc>
        <w:tc>
          <w:tcPr>
            <w:tcW w:w="8940" w:type="dxa"/>
            <w:vAlign w:val="bottom"/>
            <w:shd w:val="clear" w:color="auto" w:fill="D4F1F5"/>
          </w:tcPr>
          <w:p>
            <w:pPr>
              <w:ind w:left="300"/>
              <w:spacing w:after="0"/>
              <w:rPr>
                <w:sz w:val="20"/>
                <w:szCs w:val="20"/>
                <w:color w:val="auto"/>
              </w:rPr>
            </w:pPr>
            <w:r>
              <w:rPr>
                <w:rFonts w:ascii="Arial" w:cs="Arial" w:eastAsia="Arial" w:hAnsi="Arial"/>
                <w:sz w:val="14"/>
                <w:szCs w:val="14"/>
                <w:color w:val="auto"/>
              </w:rPr>
              <w:t>allowance for funds used during construction</w:t>
            </w:r>
          </w:p>
        </w:tc>
      </w:tr>
      <w:tr>
        <w:trPr>
          <w:trHeight w:val="198"/>
        </w:trPr>
        <w:tc>
          <w:tcPr>
            <w:tcW w:w="2300" w:type="dxa"/>
            <w:vAlign w:val="bottom"/>
          </w:tcPr>
          <w:p>
            <w:pPr>
              <w:ind w:left="20"/>
              <w:spacing w:after="0"/>
              <w:rPr>
                <w:sz w:val="20"/>
                <w:szCs w:val="20"/>
                <w:color w:val="auto"/>
              </w:rPr>
            </w:pPr>
            <w:r>
              <w:rPr>
                <w:rFonts w:ascii="Arial" w:cs="Arial" w:eastAsia="Arial" w:hAnsi="Arial"/>
                <w:sz w:val="14"/>
                <w:szCs w:val="14"/>
                <w:color w:val="auto"/>
              </w:rPr>
              <w:t>amparo</w:t>
            </w:r>
          </w:p>
        </w:tc>
        <w:tc>
          <w:tcPr>
            <w:tcW w:w="8940" w:type="dxa"/>
            <w:vAlign w:val="bottom"/>
          </w:tcPr>
          <w:p>
            <w:pPr>
              <w:ind w:left="300"/>
              <w:spacing w:after="0"/>
              <w:rPr>
                <w:sz w:val="20"/>
                <w:szCs w:val="20"/>
                <w:color w:val="auto"/>
              </w:rPr>
            </w:pPr>
            <w:r>
              <w:rPr>
                <w:rFonts w:ascii="Arial" w:cs="Arial" w:eastAsia="Arial" w:hAnsi="Arial"/>
                <w:sz w:val="14"/>
                <w:szCs w:val="14"/>
                <w:color w:val="auto"/>
              </w:rPr>
              <w:t>an extraordinary constitutional appeal governed by Articles 103 and 107 of the Mexican Constitution and filed in Mexican federal court</w:t>
            </w:r>
          </w:p>
        </w:tc>
      </w:tr>
      <w:tr>
        <w:trPr>
          <w:trHeight w:val="207"/>
        </w:trPr>
        <w:tc>
          <w:tcPr>
            <w:tcW w:w="2300" w:type="dxa"/>
            <w:vAlign w:val="bottom"/>
            <w:shd w:val="clear" w:color="auto" w:fill="D4F1F5"/>
          </w:tcPr>
          <w:p>
            <w:pPr>
              <w:ind w:left="20"/>
              <w:spacing w:after="0"/>
              <w:rPr>
                <w:sz w:val="20"/>
                <w:szCs w:val="20"/>
                <w:color w:val="auto"/>
              </w:rPr>
            </w:pPr>
            <w:r>
              <w:rPr>
                <w:rFonts w:ascii="Arial" w:cs="Arial" w:eastAsia="Arial" w:hAnsi="Arial"/>
                <w:sz w:val="14"/>
                <w:szCs w:val="14"/>
                <w:color w:val="auto"/>
              </w:rPr>
              <w:t>Annual Report</w:t>
            </w:r>
          </w:p>
        </w:tc>
        <w:tc>
          <w:tcPr>
            <w:tcW w:w="8940" w:type="dxa"/>
            <w:vAlign w:val="bottom"/>
            <w:shd w:val="clear" w:color="auto" w:fill="D4F1F5"/>
          </w:tcPr>
          <w:p>
            <w:pPr>
              <w:ind w:left="300"/>
              <w:spacing w:after="0"/>
              <w:rPr>
                <w:sz w:val="20"/>
                <w:szCs w:val="20"/>
                <w:color w:val="auto"/>
              </w:rPr>
            </w:pPr>
            <w:r>
              <w:rPr>
                <w:rFonts w:ascii="Arial" w:cs="Arial" w:eastAsia="Arial" w:hAnsi="Arial"/>
                <w:sz w:val="14"/>
                <w:szCs w:val="14"/>
                <w:color w:val="auto"/>
              </w:rPr>
              <w:t>Annual Report on Form 10-K for the year ended December 31, 2025</w:t>
            </w:r>
          </w:p>
        </w:tc>
      </w:tr>
      <w:tr>
        <w:trPr>
          <w:trHeight w:val="198"/>
        </w:trPr>
        <w:tc>
          <w:tcPr>
            <w:tcW w:w="2300" w:type="dxa"/>
            <w:vAlign w:val="bottom"/>
          </w:tcPr>
          <w:p>
            <w:pPr>
              <w:ind w:left="20"/>
              <w:spacing w:after="0"/>
              <w:rPr>
                <w:sz w:val="20"/>
                <w:szCs w:val="20"/>
                <w:color w:val="auto"/>
              </w:rPr>
            </w:pPr>
            <w:r>
              <w:rPr>
                <w:rFonts w:ascii="Arial" w:cs="Arial" w:eastAsia="Arial" w:hAnsi="Arial"/>
                <w:sz w:val="14"/>
                <w:szCs w:val="14"/>
                <w:color w:val="auto"/>
              </w:rPr>
              <w:t>AOCI</w:t>
            </w:r>
          </w:p>
        </w:tc>
        <w:tc>
          <w:tcPr>
            <w:tcW w:w="8940" w:type="dxa"/>
            <w:vAlign w:val="bottom"/>
          </w:tcPr>
          <w:p>
            <w:pPr>
              <w:ind w:left="300"/>
              <w:spacing w:after="0"/>
              <w:rPr>
                <w:sz w:val="20"/>
                <w:szCs w:val="20"/>
                <w:color w:val="auto"/>
              </w:rPr>
            </w:pPr>
            <w:r>
              <w:rPr>
                <w:rFonts w:ascii="Arial" w:cs="Arial" w:eastAsia="Arial" w:hAnsi="Arial"/>
                <w:sz w:val="14"/>
                <w:szCs w:val="14"/>
                <w:color w:val="auto"/>
              </w:rPr>
              <w:t>accumulated other comprehensive income (loss)</w:t>
            </w:r>
          </w:p>
        </w:tc>
      </w:tr>
      <w:tr>
        <w:trPr>
          <w:trHeight w:val="207"/>
        </w:trPr>
        <w:tc>
          <w:tcPr>
            <w:tcW w:w="2300" w:type="dxa"/>
            <w:vAlign w:val="bottom"/>
            <w:shd w:val="clear" w:color="auto" w:fill="D4F1F5"/>
          </w:tcPr>
          <w:p>
            <w:pPr>
              <w:ind w:left="20"/>
              <w:spacing w:after="0"/>
              <w:rPr>
                <w:sz w:val="20"/>
                <w:szCs w:val="20"/>
                <w:color w:val="auto"/>
              </w:rPr>
            </w:pPr>
            <w:r>
              <w:rPr>
                <w:rFonts w:ascii="Arial" w:cs="Arial" w:eastAsia="Arial" w:hAnsi="Arial"/>
                <w:sz w:val="14"/>
                <w:szCs w:val="14"/>
                <w:color w:val="auto"/>
              </w:rPr>
              <w:t>ARO</w:t>
            </w:r>
          </w:p>
        </w:tc>
        <w:tc>
          <w:tcPr>
            <w:tcW w:w="8940" w:type="dxa"/>
            <w:vAlign w:val="bottom"/>
            <w:shd w:val="clear" w:color="auto" w:fill="D4F1F5"/>
          </w:tcPr>
          <w:p>
            <w:pPr>
              <w:ind w:left="300"/>
              <w:spacing w:after="0"/>
              <w:rPr>
                <w:sz w:val="20"/>
                <w:szCs w:val="20"/>
                <w:color w:val="auto"/>
              </w:rPr>
            </w:pPr>
            <w:r>
              <w:rPr>
                <w:rFonts w:ascii="Arial" w:cs="Arial" w:eastAsia="Arial" w:hAnsi="Arial"/>
                <w:sz w:val="14"/>
                <w:szCs w:val="14"/>
                <w:color w:val="auto"/>
              </w:rPr>
              <w:t>asset retirement obligation</w:t>
            </w:r>
          </w:p>
        </w:tc>
      </w:tr>
      <w:tr>
        <w:trPr>
          <w:trHeight w:val="198"/>
        </w:trPr>
        <w:tc>
          <w:tcPr>
            <w:tcW w:w="2300" w:type="dxa"/>
            <w:vAlign w:val="bottom"/>
          </w:tcPr>
          <w:p>
            <w:pPr>
              <w:ind w:left="20"/>
              <w:spacing w:after="0"/>
              <w:rPr>
                <w:sz w:val="20"/>
                <w:szCs w:val="20"/>
                <w:color w:val="auto"/>
              </w:rPr>
            </w:pPr>
            <w:r>
              <w:rPr>
                <w:rFonts w:ascii="Arial" w:cs="Arial" w:eastAsia="Arial" w:hAnsi="Arial"/>
                <w:sz w:val="14"/>
                <w:szCs w:val="14"/>
                <w:color w:val="auto"/>
              </w:rPr>
              <w:t>ASEA</w:t>
            </w:r>
          </w:p>
        </w:tc>
        <w:tc>
          <w:tcPr>
            <w:tcW w:w="8940" w:type="dxa"/>
            <w:vAlign w:val="bottom"/>
          </w:tcPr>
          <w:p>
            <w:pPr>
              <w:ind w:left="300"/>
              <w:spacing w:after="0"/>
              <w:rPr>
                <w:sz w:val="20"/>
                <w:szCs w:val="20"/>
                <w:color w:val="auto"/>
              </w:rPr>
            </w:pPr>
            <w:r>
              <w:rPr>
                <w:rFonts w:ascii="Arial" w:cs="Arial" w:eastAsia="Arial" w:hAnsi="Arial"/>
                <w:sz w:val="14"/>
                <w:szCs w:val="14"/>
                <w:color w:val="auto"/>
              </w:rPr>
              <w:t>Agencia de Seguridad, Energía y Ambiente (Mexico’s National Agency for Safety, Energy, and Environment)</w:t>
            </w:r>
          </w:p>
        </w:tc>
      </w:tr>
      <w:tr>
        <w:trPr>
          <w:trHeight w:val="207"/>
        </w:trPr>
        <w:tc>
          <w:tcPr>
            <w:tcW w:w="2300" w:type="dxa"/>
            <w:vAlign w:val="bottom"/>
            <w:shd w:val="clear" w:color="auto" w:fill="D4F1F5"/>
          </w:tcPr>
          <w:p>
            <w:pPr>
              <w:ind w:left="20"/>
              <w:spacing w:after="0"/>
              <w:rPr>
                <w:sz w:val="20"/>
                <w:szCs w:val="20"/>
                <w:color w:val="auto"/>
              </w:rPr>
            </w:pPr>
            <w:r>
              <w:rPr>
                <w:rFonts w:ascii="Arial" w:cs="Arial" w:eastAsia="Arial" w:hAnsi="Arial"/>
                <w:sz w:val="14"/>
                <w:szCs w:val="14"/>
                <w:color w:val="auto"/>
              </w:rPr>
              <w:t>ASU</w:t>
            </w:r>
          </w:p>
        </w:tc>
        <w:tc>
          <w:tcPr>
            <w:tcW w:w="8940" w:type="dxa"/>
            <w:vAlign w:val="bottom"/>
            <w:shd w:val="clear" w:color="auto" w:fill="D4F1F5"/>
          </w:tcPr>
          <w:p>
            <w:pPr>
              <w:ind w:left="300"/>
              <w:spacing w:after="0"/>
              <w:rPr>
                <w:sz w:val="20"/>
                <w:szCs w:val="20"/>
                <w:color w:val="auto"/>
              </w:rPr>
            </w:pPr>
            <w:r>
              <w:rPr>
                <w:rFonts w:ascii="Arial" w:cs="Arial" w:eastAsia="Arial" w:hAnsi="Arial"/>
                <w:sz w:val="14"/>
                <w:szCs w:val="14"/>
                <w:color w:val="auto"/>
              </w:rPr>
              <w:t>Accounting Standards Update</w:t>
            </w:r>
          </w:p>
        </w:tc>
      </w:tr>
      <w:tr>
        <w:trPr>
          <w:trHeight w:val="198"/>
        </w:trPr>
        <w:tc>
          <w:tcPr>
            <w:tcW w:w="2300" w:type="dxa"/>
            <w:vAlign w:val="bottom"/>
          </w:tcPr>
          <w:p>
            <w:pPr>
              <w:ind w:left="20"/>
              <w:spacing w:after="0"/>
              <w:rPr>
                <w:sz w:val="20"/>
                <w:szCs w:val="20"/>
                <w:color w:val="auto"/>
              </w:rPr>
            </w:pPr>
            <w:r>
              <w:rPr>
                <w:rFonts w:ascii="Arial" w:cs="Arial" w:eastAsia="Arial" w:hAnsi="Arial"/>
                <w:sz w:val="14"/>
                <w:szCs w:val="14"/>
                <w:color w:val="auto"/>
              </w:rPr>
              <w:t>ATM</w:t>
            </w:r>
          </w:p>
        </w:tc>
        <w:tc>
          <w:tcPr>
            <w:tcW w:w="8940" w:type="dxa"/>
            <w:vAlign w:val="bottom"/>
          </w:tcPr>
          <w:p>
            <w:pPr>
              <w:ind w:left="300"/>
              <w:spacing w:after="0"/>
              <w:rPr>
                <w:sz w:val="20"/>
                <w:szCs w:val="20"/>
                <w:color w:val="auto"/>
              </w:rPr>
            </w:pPr>
            <w:r>
              <w:rPr>
                <w:rFonts w:ascii="Arial" w:cs="Arial" w:eastAsia="Arial" w:hAnsi="Arial"/>
                <w:sz w:val="14"/>
                <w:szCs w:val="14"/>
                <w:color w:val="auto"/>
              </w:rPr>
              <w:t>at-the-market equity offering program pursuant to the Sales Agreement</w:t>
            </w:r>
          </w:p>
        </w:tc>
      </w:tr>
      <w:tr>
        <w:trPr>
          <w:trHeight w:val="207"/>
        </w:trPr>
        <w:tc>
          <w:tcPr>
            <w:tcW w:w="2300" w:type="dxa"/>
            <w:vAlign w:val="bottom"/>
            <w:shd w:val="clear" w:color="auto" w:fill="D4F1F5"/>
          </w:tcPr>
          <w:p>
            <w:pPr>
              <w:ind w:left="20"/>
              <w:spacing w:after="0"/>
              <w:rPr>
                <w:sz w:val="20"/>
                <w:szCs w:val="20"/>
                <w:color w:val="auto"/>
              </w:rPr>
            </w:pPr>
            <w:r>
              <w:rPr>
                <w:rFonts w:ascii="Arial" w:cs="Arial" w:eastAsia="Arial" w:hAnsi="Arial"/>
                <w:sz w:val="14"/>
                <w:szCs w:val="14"/>
                <w:color w:val="auto"/>
              </w:rPr>
              <w:t>Bechtel</w:t>
            </w:r>
          </w:p>
        </w:tc>
        <w:tc>
          <w:tcPr>
            <w:tcW w:w="8940" w:type="dxa"/>
            <w:vAlign w:val="bottom"/>
            <w:shd w:val="clear" w:color="auto" w:fill="D4F1F5"/>
          </w:tcPr>
          <w:p>
            <w:pPr>
              <w:ind w:left="300"/>
              <w:spacing w:after="0"/>
              <w:rPr>
                <w:sz w:val="20"/>
                <w:szCs w:val="20"/>
                <w:color w:val="auto"/>
              </w:rPr>
            </w:pPr>
            <w:r>
              <w:rPr>
                <w:rFonts w:ascii="Arial" w:cs="Arial" w:eastAsia="Arial" w:hAnsi="Arial"/>
                <w:sz w:val="14"/>
                <w:szCs w:val="14"/>
                <w:color w:val="auto"/>
              </w:rPr>
              <w:t>Bechtel Energy Inc.</w:t>
            </w:r>
          </w:p>
        </w:tc>
      </w:tr>
      <w:tr>
        <w:trPr>
          <w:trHeight w:val="198"/>
        </w:trPr>
        <w:tc>
          <w:tcPr>
            <w:tcW w:w="2300" w:type="dxa"/>
            <w:vAlign w:val="bottom"/>
          </w:tcPr>
          <w:p>
            <w:pPr>
              <w:ind w:left="20"/>
              <w:spacing w:after="0"/>
              <w:rPr>
                <w:sz w:val="20"/>
                <w:szCs w:val="20"/>
                <w:color w:val="auto"/>
              </w:rPr>
            </w:pPr>
            <w:r>
              <w:rPr>
                <w:rFonts w:ascii="Arial" w:cs="Arial" w:eastAsia="Arial" w:hAnsi="Arial"/>
                <w:sz w:val="14"/>
                <w:szCs w:val="14"/>
                <w:color w:val="auto"/>
              </w:rPr>
              <w:t>Blackstone</w:t>
            </w:r>
          </w:p>
        </w:tc>
        <w:tc>
          <w:tcPr>
            <w:tcW w:w="8940" w:type="dxa"/>
            <w:vAlign w:val="bottom"/>
          </w:tcPr>
          <w:p>
            <w:pPr>
              <w:ind w:left="300"/>
              <w:spacing w:after="0"/>
              <w:rPr>
                <w:sz w:val="20"/>
                <w:szCs w:val="20"/>
                <w:color w:val="auto"/>
              </w:rPr>
            </w:pPr>
            <w:r>
              <w:rPr>
                <w:rFonts w:ascii="Arial" w:cs="Arial" w:eastAsia="Arial" w:hAnsi="Arial"/>
                <w:sz w:val="14"/>
                <w:szCs w:val="14"/>
                <w:color w:val="auto"/>
              </w:rPr>
              <w:t>BX Frontier Member I LLC and BX Frontier Member II LLC, collectively</w:t>
            </w:r>
          </w:p>
        </w:tc>
      </w:tr>
      <w:tr>
        <w:trPr>
          <w:trHeight w:val="207"/>
        </w:trPr>
        <w:tc>
          <w:tcPr>
            <w:tcW w:w="2300" w:type="dxa"/>
            <w:vAlign w:val="bottom"/>
            <w:shd w:val="clear" w:color="auto" w:fill="D4F1F5"/>
          </w:tcPr>
          <w:p>
            <w:pPr>
              <w:ind w:left="20"/>
              <w:spacing w:after="0"/>
              <w:rPr>
                <w:sz w:val="20"/>
                <w:szCs w:val="20"/>
                <w:color w:val="auto"/>
              </w:rPr>
            </w:pPr>
            <w:r>
              <w:rPr>
                <w:rFonts w:ascii="Arial" w:cs="Arial" w:eastAsia="Arial" w:hAnsi="Arial"/>
                <w:sz w:val="14"/>
                <w:szCs w:val="14"/>
                <w:color w:val="auto"/>
              </w:rPr>
              <w:t>bps</w:t>
            </w:r>
          </w:p>
        </w:tc>
        <w:tc>
          <w:tcPr>
            <w:tcW w:w="8940" w:type="dxa"/>
            <w:vAlign w:val="bottom"/>
            <w:shd w:val="clear" w:color="auto" w:fill="D4F1F5"/>
          </w:tcPr>
          <w:p>
            <w:pPr>
              <w:ind w:left="300"/>
              <w:spacing w:after="0"/>
              <w:rPr>
                <w:sz w:val="20"/>
                <w:szCs w:val="20"/>
                <w:color w:val="auto"/>
              </w:rPr>
            </w:pPr>
            <w:r>
              <w:rPr>
                <w:rFonts w:ascii="Arial" w:cs="Arial" w:eastAsia="Arial" w:hAnsi="Arial"/>
                <w:sz w:val="14"/>
                <w:szCs w:val="14"/>
                <w:color w:val="auto"/>
              </w:rPr>
              <w:t>basis points</w:t>
            </w:r>
          </w:p>
        </w:tc>
      </w:tr>
      <w:tr>
        <w:trPr>
          <w:trHeight w:val="198"/>
        </w:trPr>
        <w:tc>
          <w:tcPr>
            <w:tcW w:w="2300" w:type="dxa"/>
            <w:vAlign w:val="bottom"/>
          </w:tcPr>
          <w:p>
            <w:pPr>
              <w:ind w:left="20"/>
              <w:spacing w:after="0"/>
              <w:rPr>
                <w:sz w:val="20"/>
                <w:szCs w:val="20"/>
                <w:color w:val="auto"/>
              </w:rPr>
            </w:pPr>
            <w:r>
              <w:rPr>
                <w:rFonts w:ascii="Arial" w:cs="Arial" w:eastAsia="Arial" w:hAnsi="Arial"/>
                <w:sz w:val="14"/>
                <w:szCs w:val="14"/>
                <w:color w:val="auto"/>
              </w:rPr>
              <w:t>California ISO adder</w:t>
            </w:r>
          </w:p>
        </w:tc>
        <w:tc>
          <w:tcPr>
            <w:tcW w:w="8940" w:type="dxa"/>
            <w:vAlign w:val="bottom"/>
          </w:tcPr>
          <w:p>
            <w:pPr>
              <w:ind w:left="300"/>
              <w:spacing w:after="0"/>
              <w:rPr>
                <w:sz w:val="20"/>
                <w:szCs w:val="20"/>
                <w:color w:val="auto"/>
              </w:rPr>
            </w:pPr>
            <w:r>
              <w:rPr>
                <w:rFonts w:ascii="Arial" w:cs="Arial" w:eastAsia="Arial" w:hAnsi="Arial"/>
                <w:sz w:val="14"/>
                <w:szCs w:val="14"/>
                <w:color w:val="auto"/>
              </w:rPr>
              <w:t>an additional 0.50% ROE for participation in the California ISO</w:t>
            </w:r>
          </w:p>
        </w:tc>
      </w:tr>
      <w:tr>
        <w:trPr>
          <w:trHeight w:val="207"/>
        </w:trPr>
        <w:tc>
          <w:tcPr>
            <w:tcW w:w="2300" w:type="dxa"/>
            <w:vAlign w:val="bottom"/>
            <w:shd w:val="clear" w:color="auto" w:fill="D4F1F5"/>
          </w:tcPr>
          <w:p>
            <w:pPr>
              <w:ind w:left="20"/>
              <w:spacing w:after="0"/>
              <w:rPr>
                <w:sz w:val="20"/>
                <w:szCs w:val="20"/>
                <w:color w:val="auto"/>
              </w:rPr>
            </w:pPr>
            <w:r>
              <w:rPr>
                <w:rFonts w:ascii="Arial" w:cs="Arial" w:eastAsia="Arial" w:hAnsi="Arial"/>
                <w:sz w:val="14"/>
                <w:szCs w:val="14"/>
                <w:color w:val="auto"/>
              </w:rPr>
              <w:t>Cameron LNG JV</w:t>
            </w:r>
          </w:p>
        </w:tc>
        <w:tc>
          <w:tcPr>
            <w:tcW w:w="8940" w:type="dxa"/>
            <w:vAlign w:val="bottom"/>
            <w:shd w:val="clear" w:color="auto" w:fill="D4F1F5"/>
          </w:tcPr>
          <w:p>
            <w:pPr>
              <w:ind w:left="300"/>
              <w:spacing w:after="0"/>
              <w:rPr>
                <w:sz w:val="20"/>
                <w:szCs w:val="20"/>
                <w:color w:val="auto"/>
              </w:rPr>
            </w:pPr>
            <w:r>
              <w:rPr>
                <w:rFonts w:ascii="Arial" w:cs="Arial" w:eastAsia="Arial" w:hAnsi="Arial"/>
                <w:sz w:val="14"/>
                <w:szCs w:val="14"/>
                <w:color w:val="auto"/>
              </w:rPr>
              <w:t>Cameron LNG Holdings, LLC</w:t>
            </w:r>
          </w:p>
        </w:tc>
      </w:tr>
      <w:tr>
        <w:trPr>
          <w:trHeight w:val="198"/>
        </w:trPr>
        <w:tc>
          <w:tcPr>
            <w:tcW w:w="2300" w:type="dxa"/>
            <w:vAlign w:val="bottom"/>
          </w:tcPr>
          <w:p>
            <w:pPr>
              <w:ind w:left="20"/>
              <w:spacing w:after="0"/>
              <w:rPr>
                <w:sz w:val="20"/>
                <w:szCs w:val="20"/>
                <w:color w:val="auto"/>
              </w:rPr>
            </w:pPr>
            <w:r>
              <w:rPr>
                <w:rFonts w:ascii="Arial" w:cs="Arial" w:eastAsia="Arial" w:hAnsi="Arial"/>
                <w:sz w:val="14"/>
                <w:szCs w:val="14"/>
                <w:color w:val="auto"/>
              </w:rPr>
              <w:t>Cameron LNG Phase 1 facility</w:t>
            </w:r>
          </w:p>
        </w:tc>
        <w:tc>
          <w:tcPr>
            <w:tcW w:w="8940" w:type="dxa"/>
            <w:vAlign w:val="bottom"/>
          </w:tcPr>
          <w:p>
            <w:pPr>
              <w:ind w:left="300"/>
              <w:spacing w:after="0"/>
              <w:rPr>
                <w:sz w:val="20"/>
                <w:szCs w:val="20"/>
                <w:color w:val="auto"/>
              </w:rPr>
            </w:pPr>
            <w:r>
              <w:rPr>
                <w:rFonts w:ascii="Arial" w:cs="Arial" w:eastAsia="Arial" w:hAnsi="Arial"/>
                <w:sz w:val="14"/>
                <w:szCs w:val="14"/>
                <w:color w:val="auto"/>
              </w:rPr>
              <w:t>Cameron LNG JV liquefaction facility</w:t>
            </w:r>
          </w:p>
        </w:tc>
      </w:tr>
      <w:tr>
        <w:trPr>
          <w:trHeight w:val="207"/>
        </w:trPr>
        <w:tc>
          <w:tcPr>
            <w:tcW w:w="2300" w:type="dxa"/>
            <w:vAlign w:val="bottom"/>
            <w:shd w:val="clear" w:color="auto" w:fill="D4F1F5"/>
          </w:tcPr>
          <w:p>
            <w:pPr>
              <w:ind w:left="20"/>
              <w:spacing w:after="0"/>
              <w:rPr>
                <w:sz w:val="20"/>
                <w:szCs w:val="20"/>
                <w:color w:val="auto"/>
              </w:rPr>
            </w:pPr>
            <w:r>
              <w:rPr>
                <w:rFonts w:ascii="Arial" w:cs="Arial" w:eastAsia="Arial" w:hAnsi="Arial"/>
                <w:sz w:val="14"/>
                <w:szCs w:val="14"/>
                <w:color w:val="auto"/>
              </w:rPr>
              <w:t>Cameron LNG Phase 2 project</w:t>
            </w:r>
          </w:p>
        </w:tc>
        <w:tc>
          <w:tcPr>
            <w:tcW w:w="8940" w:type="dxa"/>
            <w:vAlign w:val="bottom"/>
            <w:shd w:val="clear" w:color="auto" w:fill="D4F1F5"/>
          </w:tcPr>
          <w:p>
            <w:pPr>
              <w:ind w:left="300"/>
              <w:spacing w:after="0"/>
              <w:rPr>
                <w:sz w:val="20"/>
                <w:szCs w:val="20"/>
                <w:color w:val="auto"/>
              </w:rPr>
            </w:pPr>
            <w:r>
              <w:rPr>
                <w:rFonts w:ascii="Arial" w:cs="Arial" w:eastAsia="Arial" w:hAnsi="Arial"/>
                <w:sz w:val="14"/>
                <w:szCs w:val="14"/>
                <w:color w:val="auto"/>
              </w:rPr>
              <w:t>Cameron LNG JV liquefaction expansion project</w:t>
            </w:r>
          </w:p>
        </w:tc>
      </w:tr>
      <w:tr>
        <w:trPr>
          <w:trHeight w:val="198"/>
        </w:trPr>
        <w:tc>
          <w:tcPr>
            <w:tcW w:w="2300" w:type="dxa"/>
            <w:vAlign w:val="bottom"/>
          </w:tcPr>
          <w:p>
            <w:pPr>
              <w:ind w:left="20"/>
              <w:spacing w:after="0"/>
              <w:rPr>
                <w:sz w:val="20"/>
                <w:szCs w:val="20"/>
                <w:color w:val="auto"/>
              </w:rPr>
            </w:pPr>
            <w:r>
              <w:rPr>
                <w:rFonts w:ascii="Arial" w:cs="Arial" w:eastAsia="Arial" w:hAnsi="Arial"/>
                <w:sz w:val="14"/>
                <w:szCs w:val="14"/>
                <w:color w:val="auto"/>
              </w:rPr>
              <w:t>CCA</w:t>
            </w:r>
          </w:p>
        </w:tc>
        <w:tc>
          <w:tcPr>
            <w:tcW w:w="8940" w:type="dxa"/>
            <w:vAlign w:val="bottom"/>
          </w:tcPr>
          <w:p>
            <w:pPr>
              <w:ind w:left="300"/>
              <w:spacing w:after="0"/>
              <w:rPr>
                <w:sz w:val="20"/>
                <w:szCs w:val="20"/>
                <w:color w:val="auto"/>
              </w:rPr>
            </w:pPr>
            <w:r>
              <w:rPr>
                <w:rFonts w:ascii="Arial" w:cs="Arial" w:eastAsia="Arial" w:hAnsi="Arial"/>
                <w:sz w:val="14"/>
                <w:szCs w:val="14"/>
                <w:color w:val="auto"/>
              </w:rPr>
              <w:t>Community Choice Aggregator</w:t>
            </w:r>
          </w:p>
        </w:tc>
      </w:tr>
      <w:tr>
        <w:trPr>
          <w:trHeight w:val="207"/>
        </w:trPr>
        <w:tc>
          <w:tcPr>
            <w:tcW w:w="2300" w:type="dxa"/>
            <w:vAlign w:val="bottom"/>
            <w:shd w:val="clear" w:color="auto" w:fill="D4F1F5"/>
          </w:tcPr>
          <w:p>
            <w:pPr>
              <w:ind w:left="20"/>
              <w:spacing w:after="0"/>
              <w:rPr>
                <w:sz w:val="20"/>
                <w:szCs w:val="20"/>
                <w:color w:val="auto"/>
              </w:rPr>
            </w:pPr>
            <w:r>
              <w:rPr>
                <w:rFonts w:ascii="Arial" w:cs="Arial" w:eastAsia="Arial" w:hAnsi="Arial"/>
                <w:sz w:val="14"/>
                <w:szCs w:val="14"/>
                <w:color w:val="auto"/>
              </w:rPr>
              <w:t>CCM</w:t>
            </w:r>
          </w:p>
        </w:tc>
        <w:tc>
          <w:tcPr>
            <w:tcW w:w="8940" w:type="dxa"/>
            <w:vAlign w:val="bottom"/>
            <w:shd w:val="clear" w:color="auto" w:fill="D4F1F5"/>
          </w:tcPr>
          <w:p>
            <w:pPr>
              <w:ind w:left="300"/>
              <w:spacing w:after="0"/>
              <w:rPr>
                <w:sz w:val="20"/>
                <w:szCs w:val="20"/>
                <w:color w:val="auto"/>
              </w:rPr>
            </w:pPr>
            <w:r>
              <w:rPr>
                <w:rFonts w:ascii="Arial" w:cs="Arial" w:eastAsia="Arial" w:hAnsi="Arial"/>
                <w:sz w:val="14"/>
                <w:szCs w:val="14"/>
                <w:color w:val="auto"/>
              </w:rPr>
              <w:t>cost of capital adjustment mechanism</w:t>
            </w:r>
          </w:p>
        </w:tc>
      </w:tr>
      <w:tr>
        <w:trPr>
          <w:trHeight w:val="198"/>
        </w:trPr>
        <w:tc>
          <w:tcPr>
            <w:tcW w:w="2300" w:type="dxa"/>
            <w:vAlign w:val="bottom"/>
          </w:tcPr>
          <w:p>
            <w:pPr>
              <w:ind w:left="20"/>
              <w:spacing w:after="0"/>
              <w:rPr>
                <w:sz w:val="20"/>
                <w:szCs w:val="20"/>
                <w:color w:val="auto"/>
              </w:rPr>
            </w:pPr>
            <w:r>
              <w:rPr>
                <w:rFonts w:ascii="Arial" w:cs="Arial" w:eastAsia="Arial" w:hAnsi="Arial"/>
                <w:sz w:val="14"/>
                <w:szCs w:val="14"/>
                <w:color w:val="auto"/>
              </w:rPr>
              <w:t>CFE</w:t>
            </w:r>
          </w:p>
        </w:tc>
        <w:tc>
          <w:tcPr>
            <w:tcW w:w="8940" w:type="dxa"/>
            <w:vAlign w:val="bottom"/>
          </w:tcPr>
          <w:p>
            <w:pPr>
              <w:ind w:left="300"/>
              <w:spacing w:after="0"/>
              <w:rPr>
                <w:sz w:val="20"/>
                <w:szCs w:val="20"/>
                <w:color w:val="auto"/>
              </w:rPr>
            </w:pPr>
            <w:r>
              <w:rPr>
                <w:rFonts w:ascii="Arial" w:cs="Arial" w:eastAsia="Arial" w:hAnsi="Arial"/>
                <w:sz w:val="14"/>
                <w:szCs w:val="14"/>
                <w:color w:val="auto"/>
              </w:rPr>
              <w:t>Comisión Federal de Electricidad (Mexico’s Federal Electricity Commission)</w:t>
            </w:r>
          </w:p>
        </w:tc>
      </w:tr>
      <w:tr>
        <w:trPr>
          <w:trHeight w:val="207"/>
        </w:trPr>
        <w:tc>
          <w:tcPr>
            <w:tcW w:w="2300" w:type="dxa"/>
            <w:vAlign w:val="bottom"/>
            <w:shd w:val="clear" w:color="auto" w:fill="D4F1F5"/>
          </w:tcPr>
          <w:p>
            <w:pPr>
              <w:ind w:left="20"/>
              <w:spacing w:after="0"/>
              <w:rPr>
                <w:sz w:val="20"/>
                <w:szCs w:val="20"/>
                <w:color w:val="auto"/>
              </w:rPr>
            </w:pPr>
            <w:r>
              <w:rPr>
                <w:rFonts w:ascii="Arial" w:cs="Arial" w:eastAsia="Arial" w:hAnsi="Arial"/>
                <w:sz w:val="14"/>
                <w:szCs w:val="14"/>
                <w:color w:val="auto"/>
              </w:rPr>
              <w:t>CFIN</w:t>
            </w:r>
          </w:p>
        </w:tc>
        <w:tc>
          <w:tcPr>
            <w:tcW w:w="8940" w:type="dxa"/>
            <w:vAlign w:val="bottom"/>
            <w:shd w:val="clear" w:color="auto" w:fill="D4F1F5"/>
          </w:tcPr>
          <w:p>
            <w:pPr>
              <w:ind w:left="300"/>
              <w:spacing w:after="0"/>
              <w:rPr>
                <w:sz w:val="20"/>
                <w:szCs w:val="20"/>
                <w:color w:val="auto"/>
              </w:rPr>
            </w:pPr>
            <w:r>
              <w:rPr>
                <w:rFonts w:ascii="Arial" w:cs="Arial" w:eastAsia="Arial" w:hAnsi="Arial"/>
                <w:sz w:val="14"/>
                <w:szCs w:val="14"/>
                <w:color w:val="auto"/>
              </w:rPr>
              <w:t>Cameron LNG FINCO, LLC, a wholly owned and unconsolidated affiliate of Cameron LNG JV</w:t>
            </w:r>
          </w:p>
        </w:tc>
      </w:tr>
      <w:tr>
        <w:trPr>
          <w:trHeight w:val="198"/>
        </w:trPr>
        <w:tc>
          <w:tcPr>
            <w:tcW w:w="2300" w:type="dxa"/>
            <w:vAlign w:val="bottom"/>
          </w:tcPr>
          <w:p>
            <w:pPr>
              <w:ind w:left="20"/>
              <w:spacing w:after="0"/>
              <w:rPr>
                <w:sz w:val="20"/>
                <w:szCs w:val="20"/>
                <w:color w:val="auto"/>
              </w:rPr>
            </w:pPr>
            <w:r>
              <w:rPr>
                <w:rFonts w:ascii="Arial" w:cs="Arial" w:eastAsia="Arial" w:hAnsi="Arial"/>
                <w:sz w:val="14"/>
                <w:szCs w:val="14"/>
                <w:color w:val="auto"/>
              </w:rPr>
              <w:t>CNE</w:t>
            </w:r>
          </w:p>
        </w:tc>
        <w:tc>
          <w:tcPr>
            <w:tcW w:w="8940" w:type="dxa"/>
            <w:vAlign w:val="bottom"/>
          </w:tcPr>
          <w:p>
            <w:pPr>
              <w:ind w:left="300"/>
              <w:spacing w:after="0"/>
              <w:rPr>
                <w:sz w:val="20"/>
                <w:szCs w:val="20"/>
                <w:color w:val="auto"/>
              </w:rPr>
            </w:pPr>
            <w:r>
              <w:rPr>
                <w:rFonts w:ascii="Arial" w:cs="Arial" w:eastAsia="Arial" w:hAnsi="Arial"/>
                <w:sz w:val="14"/>
                <w:szCs w:val="14"/>
                <w:color w:val="auto"/>
              </w:rPr>
              <w:t>Comisión Nacional de Energía (Mexico’s National Commission of Energy)</w:t>
            </w:r>
          </w:p>
        </w:tc>
      </w:tr>
      <w:tr>
        <w:trPr>
          <w:trHeight w:val="206"/>
        </w:trPr>
        <w:tc>
          <w:tcPr>
            <w:tcW w:w="2300" w:type="dxa"/>
            <w:vAlign w:val="bottom"/>
            <w:shd w:val="clear" w:color="auto" w:fill="D4F1F5"/>
          </w:tcPr>
          <w:p>
            <w:pPr>
              <w:ind w:left="20"/>
              <w:spacing w:after="0"/>
              <w:rPr>
                <w:sz w:val="20"/>
                <w:szCs w:val="20"/>
                <w:color w:val="auto"/>
              </w:rPr>
            </w:pPr>
            <w:r>
              <w:rPr>
                <w:rFonts w:ascii="Arial" w:cs="Arial" w:eastAsia="Arial" w:hAnsi="Arial"/>
                <w:sz w:val="14"/>
                <w:szCs w:val="14"/>
                <w:color w:val="auto"/>
              </w:rPr>
              <w:t>CODM</w:t>
            </w:r>
          </w:p>
        </w:tc>
        <w:tc>
          <w:tcPr>
            <w:tcW w:w="8940" w:type="dxa"/>
            <w:vAlign w:val="bottom"/>
            <w:shd w:val="clear" w:color="auto" w:fill="D4F1F5"/>
          </w:tcPr>
          <w:p>
            <w:pPr>
              <w:ind w:left="300"/>
              <w:spacing w:after="0"/>
              <w:rPr>
                <w:sz w:val="20"/>
                <w:szCs w:val="20"/>
                <w:color w:val="auto"/>
              </w:rPr>
            </w:pPr>
            <w:r>
              <w:rPr>
                <w:rFonts w:ascii="Arial" w:cs="Arial" w:eastAsia="Arial" w:hAnsi="Arial"/>
                <w:sz w:val="14"/>
                <w:szCs w:val="14"/>
                <w:color w:val="auto"/>
              </w:rPr>
              <w:t>chief operating decision maker as defined in Accounting Standards Codification 280</w:t>
            </w:r>
          </w:p>
        </w:tc>
      </w:tr>
      <w:tr>
        <w:trPr>
          <w:trHeight w:val="199"/>
        </w:trPr>
        <w:tc>
          <w:tcPr>
            <w:tcW w:w="2300" w:type="dxa"/>
            <w:vAlign w:val="bottom"/>
          </w:tcPr>
          <w:p>
            <w:pPr>
              <w:ind w:left="20"/>
              <w:spacing w:after="0"/>
              <w:rPr>
                <w:sz w:val="20"/>
                <w:szCs w:val="20"/>
                <w:color w:val="auto"/>
              </w:rPr>
            </w:pPr>
            <w:r>
              <w:rPr>
                <w:rFonts w:ascii="Arial" w:cs="Arial" w:eastAsia="Arial" w:hAnsi="Arial"/>
                <w:sz w:val="14"/>
                <w:szCs w:val="14"/>
                <w:color w:val="auto"/>
              </w:rPr>
              <w:t>ConocoPhillips</w:t>
            </w:r>
          </w:p>
        </w:tc>
        <w:tc>
          <w:tcPr>
            <w:tcW w:w="8940" w:type="dxa"/>
            <w:vAlign w:val="bottom"/>
          </w:tcPr>
          <w:p>
            <w:pPr>
              <w:ind w:left="300"/>
              <w:spacing w:after="0"/>
              <w:rPr>
                <w:sz w:val="20"/>
                <w:szCs w:val="20"/>
                <w:color w:val="auto"/>
              </w:rPr>
            </w:pPr>
            <w:r>
              <w:rPr>
                <w:rFonts w:ascii="Arial" w:cs="Arial" w:eastAsia="Arial" w:hAnsi="Arial"/>
                <w:sz w:val="14"/>
                <w:szCs w:val="14"/>
                <w:color w:val="auto"/>
              </w:rPr>
              <w:t>ConocoPhillips Company</w:t>
            </w:r>
          </w:p>
        </w:tc>
      </w:tr>
      <w:tr>
        <w:trPr>
          <w:trHeight w:val="206"/>
        </w:trPr>
        <w:tc>
          <w:tcPr>
            <w:tcW w:w="2300" w:type="dxa"/>
            <w:vAlign w:val="bottom"/>
            <w:shd w:val="clear" w:color="auto" w:fill="D4F1F5"/>
          </w:tcPr>
          <w:p>
            <w:pPr>
              <w:ind w:left="20"/>
              <w:spacing w:after="0"/>
              <w:rPr>
                <w:sz w:val="20"/>
                <w:szCs w:val="20"/>
                <w:color w:val="auto"/>
              </w:rPr>
            </w:pPr>
            <w:r>
              <w:rPr>
                <w:rFonts w:ascii="Arial" w:cs="Arial" w:eastAsia="Arial" w:hAnsi="Arial"/>
                <w:sz w:val="14"/>
                <w:szCs w:val="14"/>
                <w:color w:val="auto"/>
              </w:rPr>
              <w:t>Continuation Account</w:t>
            </w:r>
          </w:p>
        </w:tc>
        <w:tc>
          <w:tcPr>
            <w:tcW w:w="8940" w:type="dxa"/>
            <w:vAlign w:val="bottom"/>
            <w:shd w:val="clear" w:color="auto" w:fill="D4F1F5"/>
          </w:tcPr>
          <w:p>
            <w:pPr>
              <w:ind w:left="300"/>
              <w:spacing w:after="0"/>
              <w:rPr>
                <w:sz w:val="20"/>
                <w:szCs w:val="20"/>
                <w:color w:val="auto"/>
              </w:rPr>
            </w:pPr>
            <w:r>
              <w:rPr>
                <w:rFonts w:ascii="Arial" w:cs="Arial" w:eastAsia="Arial" w:hAnsi="Arial"/>
                <w:sz w:val="14"/>
                <w:szCs w:val="14"/>
                <w:color w:val="auto"/>
              </w:rPr>
              <w:t>the Wildfire Fund Continuation Account established by the 2025 Wildfire Legislation</w:t>
            </w:r>
          </w:p>
        </w:tc>
      </w:tr>
      <w:tr>
        <w:trPr>
          <w:trHeight w:val="198"/>
        </w:trPr>
        <w:tc>
          <w:tcPr>
            <w:tcW w:w="2300" w:type="dxa"/>
            <w:vAlign w:val="bottom"/>
          </w:tcPr>
          <w:p>
            <w:pPr>
              <w:ind w:left="20"/>
              <w:spacing w:after="0"/>
              <w:rPr>
                <w:sz w:val="20"/>
                <w:szCs w:val="20"/>
                <w:color w:val="auto"/>
              </w:rPr>
            </w:pPr>
            <w:r>
              <w:rPr>
                <w:rFonts w:ascii="Arial" w:cs="Arial" w:eastAsia="Arial" w:hAnsi="Arial"/>
                <w:sz w:val="14"/>
                <w:szCs w:val="14"/>
                <w:color w:val="auto"/>
              </w:rPr>
              <w:t>CPUC</w:t>
            </w:r>
          </w:p>
        </w:tc>
        <w:tc>
          <w:tcPr>
            <w:tcW w:w="8940" w:type="dxa"/>
            <w:vAlign w:val="bottom"/>
          </w:tcPr>
          <w:p>
            <w:pPr>
              <w:ind w:left="300"/>
              <w:spacing w:after="0"/>
              <w:rPr>
                <w:sz w:val="20"/>
                <w:szCs w:val="20"/>
                <w:color w:val="auto"/>
              </w:rPr>
            </w:pPr>
            <w:r>
              <w:rPr>
                <w:rFonts w:ascii="Arial" w:cs="Arial" w:eastAsia="Arial" w:hAnsi="Arial"/>
                <w:sz w:val="14"/>
                <w:szCs w:val="14"/>
                <w:color w:val="auto"/>
              </w:rPr>
              <w:t>California Public Utilities Commission</w:t>
            </w:r>
          </w:p>
        </w:tc>
      </w:tr>
      <w:tr>
        <w:trPr>
          <w:trHeight w:val="207"/>
        </w:trPr>
        <w:tc>
          <w:tcPr>
            <w:tcW w:w="2300" w:type="dxa"/>
            <w:vAlign w:val="bottom"/>
            <w:shd w:val="clear" w:color="auto" w:fill="D4F1F5"/>
          </w:tcPr>
          <w:p>
            <w:pPr>
              <w:ind w:left="20"/>
              <w:spacing w:after="0"/>
              <w:rPr>
                <w:sz w:val="20"/>
                <w:szCs w:val="20"/>
                <w:color w:val="auto"/>
              </w:rPr>
            </w:pPr>
            <w:r>
              <w:rPr>
                <w:rFonts w:ascii="Arial" w:cs="Arial" w:eastAsia="Arial" w:hAnsi="Arial"/>
                <w:sz w:val="14"/>
                <w:szCs w:val="14"/>
                <w:color w:val="auto"/>
              </w:rPr>
              <w:t>CRNCI</w:t>
            </w:r>
          </w:p>
        </w:tc>
        <w:tc>
          <w:tcPr>
            <w:tcW w:w="8940" w:type="dxa"/>
            <w:vAlign w:val="bottom"/>
            <w:shd w:val="clear" w:color="auto" w:fill="D4F1F5"/>
          </w:tcPr>
          <w:p>
            <w:pPr>
              <w:ind w:left="300"/>
              <w:spacing w:after="0"/>
              <w:rPr>
                <w:sz w:val="20"/>
                <w:szCs w:val="20"/>
                <w:color w:val="auto"/>
              </w:rPr>
            </w:pPr>
            <w:r>
              <w:rPr>
                <w:rFonts w:ascii="Arial" w:cs="Arial" w:eastAsia="Arial" w:hAnsi="Arial"/>
                <w:sz w:val="14"/>
                <w:szCs w:val="14"/>
                <w:color w:val="auto"/>
              </w:rPr>
              <w:t>contingently redeemable noncontrolling interest</w:t>
            </w:r>
          </w:p>
        </w:tc>
      </w:tr>
      <w:tr>
        <w:trPr>
          <w:trHeight w:val="198"/>
        </w:trPr>
        <w:tc>
          <w:tcPr>
            <w:tcW w:w="2300" w:type="dxa"/>
            <w:vAlign w:val="bottom"/>
          </w:tcPr>
          <w:p>
            <w:pPr>
              <w:ind w:left="20"/>
              <w:spacing w:after="0"/>
              <w:rPr>
                <w:sz w:val="20"/>
                <w:szCs w:val="20"/>
                <w:color w:val="auto"/>
              </w:rPr>
            </w:pPr>
            <w:r>
              <w:rPr>
                <w:rFonts w:ascii="Arial" w:cs="Arial" w:eastAsia="Arial" w:hAnsi="Arial"/>
                <w:sz w:val="14"/>
                <w:szCs w:val="14"/>
                <w:color w:val="auto"/>
              </w:rPr>
              <w:t>CRR</w:t>
            </w:r>
          </w:p>
        </w:tc>
        <w:tc>
          <w:tcPr>
            <w:tcW w:w="8940" w:type="dxa"/>
            <w:vAlign w:val="bottom"/>
          </w:tcPr>
          <w:p>
            <w:pPr>
              <w:ind w:left="300"/>
              <w:spacing w:after="0"/>
              <w:rPr>
                <w:sz w:val="20"/>
                <w:szCs w:val="20"/>
                <w:color w:val="auto"/>
              </w:rPr>
            </w:pPr>
            <w:r>
              <w:rPr>
                <w:rFonts w:ascii="Arial" w:cs="Arial" w:eastAsia="Arial" w:hAnsi="Arial"/>
                <w:sz w:val="14"/>
                <w:szCs w:val="14"/>
                <w:color w:val="auto"/>
              </w:rPr>
              <w:t>congestion revenue right</w:t>
            </w:r>
          </w:p>
        </w:tc>
      </w:tr>
      <w:tr>
        <w:trPr>
          <w:trHeight w:val="207"/>
        </w:trPr>
        <w:tc>
          <w:tcPr>
            <w:tcW w:w="2300" w:type="dxa"/>
            <w:vAlign w:val="bottom"/>
            <w:shd w:val="clear" w:color="auto" w:fill="D4F1F5"/>
          </w:tcPr>
          <w:p>
            <w:pPr>
              <w:ind w:left="20"/>
              <w:spacing w:after="0"/>
              <w:rPr>
                <w:sz w:val="20"/>
                <w:szCs w:val="20"/>
                <w:color w:val="auto"/>
              </w:rPr>
            </w:pPr>
            <w:r>
              <w:rPr>
                <w:rFonts w:ascii="Arial" w:cs="Arial" w:eastAsia="Arial" w:hAnsi="Arial"/>
                <w:sz w:val="14"/>
                <w:szCs w:val="14"/>
                <w:color w:val="auto"/>
              </w:rPr>
              <w:t>DOE</w:t>
            </w:r>
          </w:p>
        </w:tc>
        <w:tc>
          <w:tcPr>
            <w:tcW w:w="8940" w:type="dxa"/>
            <w:vAlign w:val="bottom"/>
            <w:shd w:val="clear" w:color="auto" w:fill="D4F1F5"/>
          </w:tcPr>
          <w:p>
            <w:pPr>
              <w:ind w:left="300"/>
              <w:spacing w:after="0"/>
              <w:rPr>
                <w:sz w:val="20"/>
                <w:szCs w:val="20"/>
                <w:color w:val="auto"/>
              </w:rPr>
            </w:pPr>
            <w:r>
              <w:rPr>
                <w:rFonts w:ascii="Arial" w:cs="Arial" w:eastAsia="Arial" w:hAnsi="Arial"/>
                <w:sz w:val="14"/>
                <w:szCs w:val="14"/>
                <w:color w:val="auto"/>
              </w:rPr>
              <w:t>U.S. Department of Energy</w:t>
            </w:r>
          </w:p>
        </w:tc>
      </w:tr>
      <w:tr>
        <w:trPr>
          <w:trHeight w:val="198"/>
        </w:trPr>
        <w:tc>
          <w:tcPr>
            <w:tcW w:w="2300" w:type="dxa"/>
            <w:vAlign w:val="bottom"/>
          </w:tcPr>
          <w:p>
            <w:pPr>
              <w:ind w:left="20"/>
              <w:spacing w:after="0"/>
              <w:rPr>
                <w:sz w:val="20"/>
                <w:szCs w:val="20"/>
                <w:color w:val="auto"/>
              </w:rPr>
            </w:pPr>
            <w:r>
              <w:rPr>
                <w:rFonts w:ascii="Arial" w:cs="Arial" w:eastAsia="Arial" w:hAnsi="Arial"/>
                <w:sz w:val="14"/>
                <w:szCs w:val="14"/>
                <w:color w:val="auto"/>
              </w:rPr>
              <w:t>ECA LNG</w:t>
            </w:r>
          </w:p>
        </w:tc>
        <w:tc>
          <w:tcPr>
            <w:tcW w:w="8940" w:type="dxa"/>
            <w:vAlign w:val="bottom"/>
          </w:tcPr>
          <w:p>
            <w:pPr>
              <w:ind w:left="300"/>
              <w:spacing w:after="0"/>
              <w:rPr>
                <w:sz w:val="20"/>
                <w:szCs w:val="20"/>
                <w:color w:val="auto"/>
              </w:rPr>
            </w:pPr>
            <w:r>
              <w:rPr>
                <w:rFonts w:ascii="Arial" w:cs="Arial" w:eastAsia="Arial" w:hAnsi="Arial"/>
                <w:sz w:val="14"/>
                <w:szCs w:val="14"/>
                <w:color w:val="auto"/>
              </w:rPr>
              <w:t>ECA LNG Phase 1 and ECA LNG Phase 2, collectively</w:t>
            </w:r>
          </w:p>
        </w:tc>
      </w:tr>
      <w:tr>
        <w:trPr>
          <w:trHeight w:val="207"/>
        </w:trPr>
        <w:tc>
          <w:tcPr>
            <w:tcW w:w="2300" w:type="dxa"/>
            <w:vAlign w:val="bottom"/>
            <w:shd w:val="clear" w:color="auto" w:fill="D4F1F5"/>
          </w:tcPr>
          <w:p>
            <w:pPr>
              <w:ind w:left="20"/>
              <w:spacing w:after="0"/>
              <w:rPr>
                <w:sz w:val="20"/>
                <w:szCs w:val="20"/>
                <w:color w:val="auto"/>
              </w:rPr>
            </w:pPr>
            <w:r>
              <w:rPr>
                <w:rFonts w:ascii="Arial" w:cs="Arial" w:eastAsia="Arial" w:hAnsi="Arial"/>
                <w:sz w:val="14"/>
                <w:szCs w:val="14"/>
                <w:color w:val="auto"/>
              </w:rPr>
              <w:t>ECA LNG Phase 1</w:t>
            </w:r>
          </w:p>
        </w:tc>
        <w:tc>
          <w:tcPr>
            <w:tcW w:w="8940" w:type="dxa"/>
            <w:vAlign w:val="bottom"/>
            <w:shd w:val="clear" w:color="auto" w:fill="D4F1F5"/>
          </w:tcPr>
          <w:p>
            <w:pPr>
              <w:ind w:left="300"/>
              <w:spacing w:after="0"/>
              <w:rPr>
                <w:sz w:val="20"/>
                <w:szCs w:val="20"/>
                <w:color w:val="auto"/>
              </w:rPr>
            </w:pPr>
            <w:r>
              <w:rPr>
                <w:rFonts w:ascii="Arial" w:cs="Arial" w:eastAsia="Arial" w:hAnsi="Arial"/>
                <w:sz w:val="14"/>
                <w:szCs w:val="14"/>
                <w:color w:val="auto"/>
              </w:rPr>
              <w:t>ECA LNG Holdings B.V., a subsidiary of SI Partners that owns the ECA LNG Phase 1 project</w:t>
            </w:r>
          </w:p>
        </w:tc>
      </w:tr>
      <w:tr>
        <w:trPr>
          <w:trHeight w:val="198"/>
        </w:trPr>
        <w:tc>
          <w:tcPr>
            <w:tcW w:w="2300" w:type="dxa"/>
            <w:vAlign w:val="bottom"/>
          </w:tcPr>
          <w:p>
            <w:pPr>
              <w:ind w:left="20"/>
              <w:spacing w:after="0"/>
              <w:rPr>
                <w:sz w:val="20"/>
                <w:szCs w:val="20"/>
                <w:color w:val="auto"/>
              </w:rPr>
            </w:pPr>
            <w:r>
              <w:rPr>
                <w:rFonts w:ascii="Arial" w:cs="Arial" w:eastAsia="Arial" w:hAnsi="Arial"/>
                <w:sz w:val="14"/>
                <w:szCs w:val="14"/>
                <w:color w:val="auto"/>
              </w:rPr>
              <w:t>ECA LNG Phase 2</w:t>
            </w:r>
          </w:p>
        </w:tc>
        <w:tc>
          <w:tcPr>
            <w:tcW w:w="8940" w:type="dxa"/>
            <w:vAlign w:val="bottom"/>
          </w:tcPr>
          <w:p>
            <w:pPr>
              <w:ind w:left="300"/>
              <w:spacing w:after="0"/>
              <w:rPr>
                <w:sz w:val="20"/>
                <w:szCs w:val="20"/>
                <w:color w:val="auto"/>
              </w:rPr>
            </w:pPr>
            <w:r>
              <w:rPr>
                <w:rFonts w:ascii="Arial" w:cs="Arial" w:eastAsia="Arial" w:hAnsi="Arial"/>
                <w:sz w:val="14"/>
                <w:szCs w:val="14"/>
                <w:color w:val="auto"/>
              </w:rPr>
              <w:t>ECA LNG II Holdings B.V., a subsidiary of SI Partners that owns the ECA LNG Phase 2 project</w:t>
            </w:r>
          </w:p>
        </w:tc>
      </w:tr>
      <w:tr>
        <w:trPr>
          <w:trHeight w:val="207"/>
        </w:trPr>
        <w:tc>
          <w:tcPr>
            <w:tcW w:w="2300" w:type="dxa"/>
            <w:vAlign w:val="bottom"/>
            <w:shd w:val="clear" w:color="auto" w:fill="D4F1F5"/>
          </w:tcPr>
          <w:p>
            <w:pPr>
              <w:ind w:left="20"/>
              <w:spacing w:after="0"/>
              <w:rPr>
                <w:sz w:val="20"/>
                <w:szCs w:val="20"/>
                <w:color w:val="auto"/>
              </w:rPr>
            </w:pPr>
            <w:r>
              <w:rPr>
                <w:rFonts w:ascii="Arial" w:cs="Arial" w:eastAsia="Arial" w:hAnsi="Arial"/>
                <w:sz w:val="14"/>
                <w:szCs w:val="14"/>
                <w:color w:val="auto"/>
              </w:rPr>
              <w:t>ECA Regas Facility</w:t>
            </w:r>
          </w:p>
        </w:tc>
        <w:tc>
          <w:tcPr>
            <w:tcW w:w="8940" w:type="dxa"/>
            <w:vAlign w:val="bottom"/>
            <w:shd w:val="clear" w:color="auto" w:fill="D4F1F5"/>
          </w:tcPr>
          <w:p>
            <w:pPr>
              <w:ind w:left="300"/>
              <w:spacing w:after="0"/>
              <w:rPr>
                <w:sz w:val="20"/>
                <w:szCs w:val="20"/>
                <w:color w:val="auto"/>
              </w:rPr>
            </w:pPr>
            <w:r>
              <w:rPr>
                <w:rFonts w:ascii="Arial" w:cs="Arial" w:eastAsia="Arial" w:hAnsi="Arial"/>
                <w:sz w:val="14"/>
                <w:szCs w:val="14"/>
                <w:color w:val="auto"/>
              </w:rPr>
              <w:t>Energía Costa Azul, S. de R.L. de C.V. LNG regasification facility</w:t>
            </w:r>
          </w:p>
        </w:tc>
      </w:tr>
      <w:tr>
        <w:trPr>
          <w:trHeight w:val="198"/>
        </w:trPr>
        <w:tc>
          <w:tcPr>
            <w:tcW w:w="2300" w:type="dxa"/>
            <w:vAlign w:val="bottom"/>
          </w:tcPr>
          <w:p>
            <w:pPr>
              <w:ind w:left="20"/>
              <w:spacing w:after="0"/>
              <w:rPr>
                <w:sz w:val="20"/>
                <w:szCs w:val="20"/>
                <w:color w:val="auto"/>
              </w:rPr>
            </w:pPr>
            <w:r>
              <w:rPr>
                <w:rFonts w:ascii="Arial" w:cs="Arial" w:eastAsia="Arial" w:hAnsi="Arial"/>
                <w:sz w:val="14"/>
                <w:szCs w:val="14"/>
                <w:color w:val="auto"/>
              </w:rPr>
              <w:t>Ecogas</w:t>
            </w:r>
          </w:p>
        </w:tc>
        <w:tc>
          <w:tcPr>
            <w:tcW w:w="8940" w:type="dxa"/>
            <w:vAlign w:val="bottom"/>
          </w:tcPr>
          <w:p>
            <w:pPr>
              <w:ind w:left="300"/>
              <w:spacing w:after="0"/>
              <w:rPr>
                <w:sz w:val="20"/>
                <w:szCs w:val="20"/>
                <w:color w:val="auto"/>
              </w:rPr>
            </w:pPr>
            <w:r>
              <w:rPr>
                <w:rFonts w:ascii="Arial" w:cs="Arial" w:eastAsia="Arial" w:hAnsi="Arial"/>
                <w:sz w:val="14"/>
                <w:szCs w:val="14"/>
                <w:color w:val="auto"/>
              </w:rPr>
              <w:t>Ecogas México, S. de R.L. de C.V.</w:t>
            </w:r>
          </w:p>
        </w:tc>
      </w:tr>
      <w:tr>
        <w:trPr>
          <w:trHeight w:val="207"/>
        </w:trPr>
        <w:tc>
          <w:tcPr>
            <w:tcW w:w="2300" w:type="dxa"/>
            <w:vAlign w:val="bottom"/>
            <w:shd w:val="clear" w:color="auto" w:fill="D4F1F5"/>
          </w:tcPr>
          <w:p>
            <w:pPr>
              <w:ind w:left="20"/>
              <w:spacing w:after="0"/>
              <w:rPr>
                <w:sz w:val="20"/>
                <w:szCs w:val="20"/>
                <w:color w:val="auto"/>
              </w:rPr>
            </w:pPr>
            <w:r>
              <w:rPr>
                <w:rFonts w:ascii="Arial" w:cs="Arial" w:eastAsia="Arial" w:hAnsi="Arial"/>
                <w:sz w:val="14"/>
                <w:szCs w:val="14"/>
                <w:color w:val="auto"/>
              </w:rPr>
              <w:t>Edison</w:t>
            </w:r>
          </w:p>
        </w:tc>
        <w:tc>
          <w:tcPr>
            <w:tcW w:w="8940" w:type="dxa"/>
            <w:vAlign w:val="bottom"/>
            <w:shd w:val="clear" w:color="auto" w:fill="D4F1F5"/>
          </w:tcPr>
          <w:p>
            <w:pPr>
              <w:ind w:left="300"/>
              <w:spacing w:after="0"/>
              <w:rPr>
                <w:sz w:val="20"/>
                <w:szCs w:val="20"/>
                <w:color w:val="auto"/>
              </w:rPr>
            </w:pPr>
            <w:r>
              <w:rPr>
                <w:rFonts w:ascii="Arial" w:cs="Arial" w:eastAsia="Arial" w:hAnsi="Arial"/>
                <w:sz w:val="14"/>
                <w:szCs w:val="14"/>
                <w:color w:val="auto"/>
              </w:rPr>
              <w:t>Southern California Edison Company, a subsidiary of Edison International</w:t>
            </w:r>
          </w:p>
        </w:tc>
      </w:tr>
      <w:tr>
        <w:trPr>
          <w:trHeight w:val="198"/>
        </w:trPr>
        <w:tc>
          <w:tcPr>
            <w:tcW w:w="2300" w:type="dxa"/>
            <w:vAlign w:val="bottom"/>
          </w:tcPr>
          <w:p>
            <w:pPr>
              <w:ind w:left="20"/>
              <w:spacing w:after="0"/>
              <w:rPr>
                <w:sz w:val="20"/>
                <w:szCs w:val="20"/>
                <w:color w:val="auto"/>
              </w:rPr>
            </w:pPr>
            <w:r>
              <w:rPr>
                <w:rFonts w:ascii="Arial" w:cs="Arial" w:eastAsia="Arial" w:hAnsi="Arial"/>
                <w:sz w:val="14"/>
                <w:szCs w:val="14"/>
                <w:color w:val="auto"/>
              </w:rPr>
              <w:t>EPC</w:t>
            </w:r>
          </w:p>
        </w:tc>
        <w:tc>
          <w:tcPr>
            <w:tcW w:w="8940" w:type="dxa"/>
            <w:vAlign w:val="bottom"/>
          </w:tcPr>
          <w:p>
            <w:pPr>
              <w:ind w:left="300"/>
              <w:spacing w:after="0"/>
              <w:rPr>
                <w:sz w:val="20"/>
                <w:szCs w:val="20"/>
                <w:color w:val="auto"/>
              </w:rPr>
            </w:pPr>
            <w:r>
              <w:rPr>
                <w:rFonts w:ascii="Arial" w:cs="Arial" w:eastAsia="Arial" w:hAnsi="Arial"/>
                <w:sz w:val="14"/>
                <w:szCs w:val="14"/>
                <w:color w:val="auto"/>
              </w:rPr>
              <w:t>engineering, procurement and construction</w:t>
            </w:r>
          </w:p>
        </w:tc>
      </w:tr>
      <w:tr>
        <w:trPr>
          <w:trHeight w:val="207"/>
        </w:trPr>
        <w:tc>
          <w:tcPr>
            <w:tcW w:w="2300" w:type="dxa"/>
            <w:vAlign w:val="bottom"/>
            <w:shd w:val="clear" w:color="auto" w:fill="D4F1F5"/>
          </w:tcPr>
          <w:p>
            <w:pPr>
              <w:ind w:left="20"/>
              <w:spacing w:after="0"/>
              <w:rPr>
                <w:sz w:val="20"/>
                <w:szCs w:val="20"/>
                <w:color w:val="auto"/>
              </w:rPr>
            </w:pPr>
            <w:r>
              <w:rPr>
                <w:rFonts w:ascii="Arial" w:cs="Arial" w:eastAsia="Arial" w:hAnsi="Arial"/>
                <w:sz w:val="14"/>
                <w:szCs w:val="14"/>
                <w:color w:val="auto"/>
              </w:rPr>
              <w:t>EPS</w:t>
            </w:r>
          </w:p>
        </w:tc>
        <w:tc>
          <w:tcPr>
            <w:tcW w:w="8940" w:type="dxa"/>
            <w:vAlign w:val="bottom"/>
            <w:shd w:val="clear" w:color="auto" w:fill="D4F1F5"/>
          </w:tcPr>
          <w:p>
            <w:pPr>
              <w:ind w:left="300"/>
              <w:spacing w:after="0"/>
              <w:rPr>
                <w:sz w:val="20"/>
                <w:szCs w:val="20"/>
                <w:color w:val="auto"/>
              </w:rPr>
            </w:pPr>
            <w:r>
              <w:rPr>
                <w:rFonts w:ascii="Arial" w:cs="Arial" w:eastAsia="Arial" w:hAnsi="Arial"/>
                <w:sz w:val="14"/>
                <w:szCs w:val="14"/>
                <w:color w:val="auto"/>
              </w:rPr>
              <w:t>earnings (losses) per common share</w:t>
            </w:r>
          </w:p>
        </w:tc>
      </w:tr>
      <w:tr>
        <w:trPr>
          <w:trHeight w:val="198"/>
        </w:trPr>
        <w:tc>
          <w:tcPr>
            <w:tcW w:w="2300" w:type="dxa"/>
            <w:vAlign w:val="bottom"/>
          </w:tcPr>
          <w:p>
            <w:pPr>
              <w:ind w:left="20"/>
              <w:spacing w:after="0"/>
              <w:rPr>
                <w:sz w:val="20"/>
                <w:szCs w:val="20"/>
                <w:color w:val="auto"/>
              </w:rPr>
            </w:pPr>
            <w:r>
              <w:rPr>
                <w:rFonts w:ascii="Arial" w:cs="Arial" w:eastAsia="Arial" w:hAnsi="Arial"/>
                <w:sz w:val="14"/>
                <w:szCs w:val="14"/>
                <w:color w:val="auto"/>
              </w:rPr>
              <w:t>ETR</w:t>
            </w:r>
          </w:p>
        </w:tc>
        <w:tc>
          <w:tcPr>
            <w:tcW w:w="8940" w:type="dxa"/>
            <w:vAlign w:val="bottom"/>
          </w:tcPr>
          <w:p>
            <w:pPr>
              <w:ind w:left="300"/>
              <w:spacing w:after="0"/>
              <w:rPr>
                <w:sz w:val="20"/>
                <w:szCs w:val="20"/>
                <w:color w:val="auto"/>
              </w:rPr>
            </w:pPr>
            <w:r>
              <w:rPr>
                <w:rFonts w:ascii="Arial" w:cs="Arial" w:eastAsia="Arial" w:hAnsi="Arial"/>
                <w:sz w:val="14"/>
                <w:szCs w:val="14"/>
                <w:color w:val="auto"/>
              </w:rPr>
              <w:t>effective income tax rate</w:t>
            </w:r>
          </w:p>
        </w:tc>
      </w:tr>
      <w:tr>
        <w:trPr>
          <w:trHeight w:val="207"/>
        </w:trPr>
        <w:tc>
          <w:tcPr>
            <w:tcW w:w="2300" w:type="dxa"/>
            <w:vAlign w:val="bottom"/>
            <w:shd w:val="clear" w:color="auto" w:fill="D4F1F5"/>
          </w:tcPr>
          <w:p>
            <w:pPr>
              <w:ind w:left="20"/>
              <w:spacing w:after="0"/>
              <w:rPr>
                <w:sz w:val="20"/>
                <w:szCs w:val="20"/>
                <w:color w:val="auto"/>
              </w:rPr>
            </w:pPr>
            <w:r>
              <w:rPr>
                <w:rFonts w:ascii="Arial" w:cs="Arial" w:eastAsia="Arial" w:hAnsi="Arial"/>
                <w:sz w:val="14"/>
                <w:szCs w:val="14"/>
                <w:color w:val="auto"/>
              </w:rPr>
              <w:t>Exchange Act</w:t>
            </w:r>
          </w:p>
        </w:tc>
        <w:tc>
          <w:tcPr>
            <w:tcW w:w="8940" w:type="dxa"/>
            <w:vAlign w:val="bottom"/>
            <w:shd w:val="clear" w:color="auto" w:fill="D4F1F5"/>
          </w:tcPr>
          <w:p>
            <w:pPr>
              <w:ind w:left="300"/>
              <w:spacing w:after="0"/>
              <w:rPr>
                <w:sz w:val="20"/>
                <w:szCs w:val="20"/>
                <w:color w:val="auto"/>
              </w:rPr>
            </w:pPr>
            <w:r>
              <w:rPr>
                <w:rFonts w:ascii="Arial" w:cs="Arial" w:eastAsia="Arial" w:hAnsi="Arial"/>
                <w:sz w:val="14"/>
                <w:szCs w:val="14"/>
                <w:color w:val="auto"/>
              </w:rPr>
              <w:t>Securities Exchange Act of 1934, as amended</w:t>
            </w:r>
          </w:p>
        </w:tc>
      </w:tr>
      <w:tr>
        <w:trPr>
          <w:trHeight w:val="198"/>
        </w:trPr>
        <w:tc>
          <w:tcPr>
            <w:tcW w:w="2300" w:type="dxa"/>
            <w:vAlign w:val="bottom"/>
          </w:tcPr>
          <w:p>
            <w:pPr>
              <w:ind w:left="20"/>
              <w:spacing w:after="0"/>
              <w:rPr>
                <w:sz w:val="20"/>
                <w:szCs w:val="20"/>
                <w:color w:val="auto"/>
              </w:rPr>
            </w:pPr>
            <w:r>
              <w:rPr>
                <w:rFonts w:ascii="Arial" w:cs="Arial" w:eastAsia="Arial" w:hAnsi="Arial"/>
                <w:sz w:val="14"/>
                <w:szCs w:val="14"/>
                <w:color w:val="auto"/>
              </w:rPr>
              <w:t>FD</w:t>
            </w:r>
          </w:p>
        </w:tc>
        <w:tc>
          <w:tcPr>
            <w:tcW w:w="8940" w:type="dxa"/>
            <w:vAlign w:val="bottom"/>
          </w:tcPr>
          <w:p>
            <w:pPr>
              <w:ind w:left="300"/>
              <w:spacing w:after="0"/>
              <w:rPr>
                <w:sz w:val="20"/>
                <w:szCs w:val="20"/>
                <w:color w:val="auto"/>
              </w:rPr>
            </w:pPr>
            <w:r>
              <w:rPr>
                <w:rFonts w:ascii="Arial" w:cs="Arial" w:eastAsia="Arial" w:hAnsi="Arial"/>
                <w:sz w:val="14"/>
                <w:szCs w:val="14"/>
                <w:color w:val="auto"/>
              </w:rPr>
              <w:t>final decision</w:t>
            </w:r>
          </w:p>
        </w:tc>
      </w:tr>
      <w:tr>
        <w:trPr>
          <w:trHeight w:val="206"/>
        </w:trPr>
        <w:tc>
          <w:tcPr>
            <w:tcW w:w="2300" w:type="dxa"/>
            <w:vAlign w:val="bottom"/>
            <w:shd w:val="clear" w:color="auto" w:fill="D4F1F5"/>
          </w:tcPr>
          <w:p>
            <w:pPr>
              <w:ind w:left="20"/>
              <w:spacing w:after="0"/>
              <w:rPr>
                <w:sz w:val="20"/>
                <w:szCs w:val="20"/>
                <w:color w:val="auto"/>
              </w:rPr>
            </w:pPr>
            <w:r>
              <w:rPr>
                <w:rFonts w:ascii="Arial" w:cs="Arial" w:eastAsia="Arial" w:hAnsi="Arial"/>
                <w:sz w:val="14"/>
                <w:szCs w:val="14"/>
                <w:color w:val="auto"/>
              </w:rPr>
              <w:t>feed gas</w:t>
            </w:r>
          </w:p>
        </w:tc>
        <w:tc>
          <w:tcPr>
            <w:tcW w:w="8940" w:type="dxa"/>
            <w:vAlign w:val="bottom"/>
            <w:shd w:val="clear" w:color="auto" w:fill="D4F1F5"/>
          </w:tcPr>
          <w:p>
            <w:pPr>
              <w:ind w:left="300"/>
              <w:spacing w:after="0"/>
              <w:rPr>
                <w:sz w:val="20"/>
                <w:szCs w:val="20"/>
                <w:color w:val="auto"/>
              </w:rPr>
            </w:pPr>
            <w:r>
              <w:rPr>
                <w:rFonts w:ascii="Arial" w:cs="Arial" w:eastAsia="Arial" w:hAnsi="Arial"/>
                <w:sz w:val="14"/>
                <w:szCs w:val="14"/>
                <w:color w:val="auto"/>
              </w:rPr>
              <w:t>natural gas that is provided to be used for processing to produce LNG</w:t>
            </w:r>
          </w:p>
        </w:tc>
      </w:tr>
      <w:tr>
        <w:trPr>
          <w:trHeight w:val="198"/>
        </w:trPr>
        <w:tc>
          <w:tcPr>
            <w:tcW w:w="2300" w:type="dxa"/>
            <w:vAlign w:val="bottom"/>
          </w:tcPr>
          <w:p>
            <w:pPr>
              <w:ind w:left="20"/>
              <w:spacing w:after="0"/>
              <w:rPr>
                <w:sz w:val="20"/>
                <w:szCs w:val="20"/>
                <w:color w:val="auto"/>
              </w:rPr>
            </w:pPr>
            <w:r>
              <w:rPr>
                <w:rFonts w:ascii="Arial" w:cs="Arial" w:eastAsia="Arial" w:hAnsi="Arial"/>
                <w:sz w:val="14"/>
                <w:szCs w:val="14"/>
                <w:color w:val="auto"/>
              </w:rPr>
              <w:t>FERC</w:t>
            </w:r>
          </w:p>
        </w:tc>
        <w:tc>
          <w:tcPr>
            <w:tcW w:w="8940" w:type="dxa"/>
            <w:vAlign w:val="bottom"/>
          </w:tcPr>
          <w:p>
            <w:pPr>
              <w:ind w:left="300"/>
              <w:spacing w:after="0"/>
              <w:rPr>
                <w:sz w:val="20"/>
                <w:szCs w:val="20"/>
                <w:color w:val="auto"/>
              </w:rPr>
            </w:pPr>
            <w:r>
              <w:rPr>
                <w:rFonts w:ascii="Arial" w:cs="Arial" w:eastAsia="Arial" w:hAnsi="Arial"/>
                <w:sz w:val="14"/>
                <w:szCs w:val="14"/>
                <w:color w:val="auto"/>
              </w:rPr>
              <w:t>Federal Energy Regulatory Commission</w:t>
            </w:r>
          </w:p>
        </w:tc>
      </w:tr>
      <w:tr>
        <w:trPr>
          <w:trHeight w:val="207"/>
        </w:trPr>
        <w:tc>
          <w:tcPr>
            <w:tcW w:w="2300" w:type="dxa"/>
            <w:vAlign w:val="bottom"/>
            <w:shd w:val="clear" w:color="auto" w:fill="D4F1F5"/>
          </w:tcPr>
          <w:p>
            <w:pPr>
              <w:ind w:left="20"/>
              <w:spacing w:after="0"/>
              <w:rPr>
                <w:sz w:val="20"/>
                <w:szCs w:val="20"/>
                <w:color w:val="auto"/>
              </w:rPr>
            </w:pPr>
            <w:r>
              <w:rPr>
                <w:rFonts w:ascii="Arial" w:cs="Arial" w:eastAsia="Arial" w:hAnsi="Arial"/>
                <w:sz w:val="14"/>
                <w:szCs w:val="14"/>
                <w:color w:val="auto"/>
              </w:rPr>
              <w:t>FID</w:t>
            </w:r>
          </w:p>
        </w:tc>
        <w:tc>
          <w:tcPr>
            <w:tcW w:w="8940" w:type="dxa"/>
            <w:vAlign w:val="bottom"/>
            <w:shd w:val="clear" w:color="auto" w:fill="D4F1F5"/>
          </w:tcPr>
          <w:p>
            <w:pPr>
              <w:ind w:left="300"/>
              <w:spacing w:after="0"/>
              <w:rPr>
                <w:sz w:val="20"/>
                <w:szCs w:val="20"/>
                <w:color w:val="auto"/>
              </w:rPr>
            </w:pPr>
            <w:r>
              <w:rPr>
                <w:rFonts w:ascii="Arial" w:cs="Arial" w:eastAsia="Arial" w:hAnsi="Arial"/>
                <w:sz w:val="14"/>
                <w:szCs w:val="14"/>
                <w:color w:val="auto"/>
              </w:rPr>
              <w:t>final investment decision</w:t>
            </w:r>
          </w:p>
        </w:tc>
      </w:tr>
      <w:tr>
        <w:trPr>
          <w:trHeight w:val="198"/>
        </w:trPr>
        <w:tc>
          <w:tcPr>
            <w:tcW w:w="2300" w:type="dxa"/>
            <w:vAlign w:val="bottom"/>
          </w:tcPr>
          <w:p>
            <w:pPr>
              <w:ind w:left="20"/>
              <w:spacing w:after="0"/>
              <w:rPr>
                <w:sz w:val="20"/>
                <w:szCs w:val="20"/>
                <w:color w:val="auto"/>
              </w:rPr>
            </w:pPr>
            <w:r>
              <w:rPr>
                <w:rFonts w:ascii="Arial" w:cs="Arial" w:eastAsia="Arial" w:hAnsi="Arial"/>
                <w:sz w:val="14"/>
                <w:szCs w:val="14"/>
                <w:color w:val="auto"/>
              </w:rPr>
              <w:t>Fitch</w:t>
            </w:r>
          </w:p>
        </w:tc>
        <w:tc>
          <w:tcPr>
            <w:tcW w:w="8940" w:type="dxa"/>
            <w:vAlign w:val="bottom"/>
          </w:tcPr>
          <w:p>
            <w:pPr>
              <w:ind w:left="300"/>
              <w:spacing w:after="0"/>
              <w:rPr>
                <w:sz w:val="20"/>
                <w:szCs w:val="20"/>
                <w:color w:val="auto"/>
              </w:rPr>
            </w:pPr>
            <w:r>
              <w:rPr>
                <w:rFonts w:ascii="Arial" w:cs="Arial" w:eastAsia="Arial" w:hAnsi="Arial"/>
                <w:sz w:val="14"/>
                <w:szCs w:val="14"/>
                <w:color w:val="auto"/>
              </w:rPr>
              <w:t>Fitch Ratings, Inc.</w:t>
            </w:r>
          </w:p>
        </w:tc>
      </w:tr>
      <w:tr>
        <w:trPr>
          <w:trHeight w:val="207"/>
        </w:trPr>
        <w:tc>
          <w:tcPr>
            <w:tcW w:w="2300" w:type="dxa"/>
            <w:vAlign w:val="bottom"/>
            <w:shd w:val="clear" w:color="auto" w:fill="D4F1F5"/>
          </w:tcPr>
          <w:p>
            <w:pPr>
              <w:ind w:left="20"/>
              <w:spacing w:after="0"/>
              <w:rPr>
                <w:sz w:val="20"/>
                <w:szCs w:val="20"/>
                <w:color w:val="auto"/>
              </w:rPr>
            </w:pPr>
            <w:r>
              <w:rPr>
                <w:rFonts w:ascii="Arial" w:cs="Arial" w:eastAsia="Arial" w:hAnsi="Arial"/>
                <w:sz w:val="14"/>
                <w:szCs w:val="14"/>
                <w:color w:val="auto"/>
              </w:rPr>
              <w:t>FTA</w:t>
            </w:r>
          </w:p>
        </w:tc>
        <w:tc>
          <w:tcPr>
            <w:tcW w:w="8940" w:type="dxa"/>
            <w:vAlign w:val="bottom"/>
            <w:shd w:val="clear" w:color="auto" w:fill="D4F1F5"/>
          </w:tcPr>
          <w:p>
            <w:pPr>
              <w:ind w:left="300"/>
              <w:spacing w:after="0"/>
              <w:rPr>
                <w:sz w:val="20"/>
                <w:szCs w:val="20"/>
                <w:color w:val="auto"/>
              </w:rPr>
            </w:pPr>
            <w:r>
              <w:rPr>
                <w:rFonts w:ascii="Arial" w:cs="Arial" w:eastAsia="Arial" w:hAnsi="Arial"/>
                <w:sz w:val="14"/>
                <w:szCs w:val="14"/>
                <w:color w:val="auto"/>
              </w:rPr>
              <w:t>Free Trade Agreement</w:t>
            </w:r>
          </w:p>
        </w:tc>
      </w:tr>
      <w:tr>
        <w:trPr>
          <w:trHeight w:val="198"/>
        </w:trPr>
        <w:tc>
          <w:tcPr>
            <w:tcW w:w="2300" w:type="dxa"/>
            <w:vAlign w:val="bottom"/>
          </w:tcPr>
          <w:p>
            <w:pPr>
              <w:ind w:left="20"/>
              <w:spacing w:after="0"/>
              <w:rPr>
                <w:sz w:val="20"/>
                <w:szCs w:val="20"/>
                <w:color w:val="auto"/>
              </w:rPr>
            </w:pPr>
            <w:r>
              <w:rPr>
                <w:rFonts w:ascii="Arial" w:cs="Arial" w:eastAsia="Arial" w:hAnsi="Arial"/>
                <w:sz w:val="14"/>
                <w:szCs w:val="14"/>
                <w:color w:val="auto"/>
              </w:rPr>
              <w:t>GCIM</w:t>
            </w:r>
          </w:p>
        </w:tc>
        <w:tc>
          <w:tcPr>
            <w:tcW w:w="8940" w:type="dxa"/>
            <w:vAlign w:val="bottom"/>
          </w:tcPr>
          <w:p>
            <w:pPr>
              <w:ind w:left="300"/>
              <w:spacing w:after="0"/>
              <w:rPr>
                <w:sz w:val="20"/>
                <w:szCs w:val="20"/>
                <w:color w:val="auto"/>
              </w:rPr>
            </w:pPr>
            <w:r>
              <w:rPr>
                <w:rFonts w:ascii="Arial" w:cs="Arial" w:eastAsia="Arial" w:hAnsi="Arial"/>
                <w:sz w:val="14"/>
                <w:szCs w:val="14"/>
                <w:color w:val="auto"/>
              </w:rPr>
              <w:t>Gas Cost Incentive Mechanism</w:t>
            </w:r>
          </w:p>
        </w:tc>
      </w:tr>
      <w:tr>
        <w:trPr>
          <w:trHeight w:val="207"/>
        </w:trPr>
        <w:tc>
          <w:tcPr>
            <w:tcW w:w="2300" w:type="dxa"/>
            <w:vAlign w:val="bottom"/>
            <w:shd w:val="clear" w:color="auto" w:fill="D4F1F5"/>
          </w:tcPr>
          <w:p>
            <w:pPr>
              <w:ind w:left="20"/>
              <w:spacing w:after="0"/>
              <w:rPr>
                <w:sz w:val="20"/>
                <w:szCs w:val="20"/>
                <w:color w:val="auto"/>
              </w:rPr>
            </w:pPr>
            <w:r>
              <w:rPr>
                <w:rFonts w:ascii="Arial" w:cs="Arial" w:eastAsia="Arial" w:hAnsi="Arial"/>
                <w:sz w:val="14"/>
                <w:szCs w:val="14"/>
                <w:color w:val="auto"/>
              </w:rPr>
              <w:t>GHG</w:t>
            </w:r>
          </w:p>
        </w:tc>
        <w:tc>
          <w:tcPr>
            <w:tcW w:w="8940" w:type="dxa"/>
            <w:vAlign w:val="bottom"/>
            <w:shd w:val="clear" w:color="auto" w:fill="D4F1F5"/>
          </w:tcPr>
          <w:p>
            <w:pPr>
              <w:ind w:left="300"/>
              <w:spacing w:after="0"/>
              <w:rPr>
                <w:sz w:val="20"/>
                <w:szCs w:val="20"/>
                <w:color w:val="auto"/>
              </w:rPr>
            </w:pPr>
            <w:r>
              <w:rPr>
                <w:rFonts w:ascii="Arial" w:cs="Arial" w:eastAsia="Arial" w:hAnsi="Arial"/>
                <w:sz w:val="14"/>
                <w:szCs w:val="14"/>
                <w:color w:val="auto"/>
              </w:rPr>
              <w:t>greenhouse gas</w:t>
            </w:r>
          </w:p>
        </w:tc>
      </w:tr>
      <w:tr>
        <w:trPr>
          <w:trHeight w:val="199"/>
        </w:trPr>
        <w:tc>
          <w:tcPr>
            <w:tcW w:w="2300" w:type="dxa"/>
            <w:vAlign w:val="bottom"/>
          </w:tcPr>
          <w:p>
            <w:pPr>
              <w:ind w:left="20"/>
              <w:spacing w:after="0"/>
              <w:rPr>
                <w:sz w:val="20"/>
                <w:szCs w:val="20"/>
                <w:color w:val="auto"/>
              </w:rPr>
            </w:pPr>
            <w:r>
              <w:rPr>
                <w:rFonts w:ascii="Arial" w:cs="Arial" w:eastAsia="Arial" w:hAnsi="Arial"/>
                <w:sz w:val="14"/>
                <w:szCs w:val="14"/>
                <w:color w:val="auto"/>
              </w:rPr>
              <w:t>GRC</w:t>
            </w:r>
          </w:p>
        </w:tc>
        <w:tc>
          <w:tcPr>
            <w:tcW w:w="8940" w:type="dxa"/>
            <w:vAlign w:val="bottom"/>
          </w:tcPr>
          <w:p>
            <w:pPr>
              <w:ind w:left="300"/>
              <w:spacing w:after="0"/>
              <w:rPr>
                <w:sz w:val="20"/>
                <w:szCs w:val="20"/>
                <w:color w:val="auto"/>
              </w:rPr>
            </w:pPr>
            <w:r>
              <w:rPr>
                <w:rFonts w:ascii="Arial" w:cs="Arial" w:eastAsia="Arial" w:hAnsi="Arial"/>
                <w:sz w:val="14"/>
                <w:szCs w:val="14"/>
                <w:color w:val="auto"/>
              </w:rPr>
              <w:t>General Rate Case</w:t>
            </w:r>
          </w:p>
        </w:tc>
      </w:tr>
      <w:tr>
        <w:trPr>
          <w:trHeight w:val="206"/>
        </w:trPr>
        <w:tc>
          <w:tcPr>
            <w:tcW w:w="2300" w:type="dxa"/>
            <w:vAlign w:val="bottom"/>
            <w:shd w:val="clear" w:color="auto" w:fill="D4F1F5"/>
          </w:tcPr>
          <w:p>
            <w:pPr>
              <w:ind w:left="20"/>
              <w:spacing w:after="0"/>
              <w:rPr>
                <w:sz w:val="20"/>
                <w:szCs w:val="20"/>
                <w:color w:val="auto"/>
              </w:rPr>
            </w:pPr>
            <w:r>
              <w:rPr>
                <w:rFonts w:ascii="Arial" w:cs="Arial" w:eastAsia="Arial" w:hAnsi="Arial"/>
                <w:sz w:val="14"/>
                <w:szCs w:val="14"/>
                <w:color w:val="auto"/>
              </w:rPr>
              <w:t>HOA</w:t>
            </w:r>
          </w:p>
        </w:tc>
        <w:tc>
          <w:tcPr>
            <w:tcW w:w="8940" w:type="dxa"/>
            <w:vAlign w:val="bottom"/>
            <w:shd w:val="clear" w:color="auto" w:fill="D4F1F5"/>
          </w:tcPr>
          <w:p>
            <w:pPr>
              <w:ind w:left="300"/>
              <w:spacing w:after="0"/>
              <w:rPr>
                <w:sz w:val="20"/>
                <w:szCs w:val="20"/>
                <w:color w:val="auto"/>
              </w:rPr>
            </w:pPr>
            <w:r>
              <w:rPr>
                <w:rFonts w:ascii="Arial" w:cs="Arial" w:eastAsia="Arial" w:hAnsi="Arial"/>
                <w:sz w:val="14"/>
                <w:szCs w:val="14"/>
                <w:color w:val="auto"/>
              </w:rPr>
              <w:t>Heads of Agreement</w:t>
            </w:r>
          </w:p>
        </w:tc>
      </w:tr>
      <w:tr>
        <w:trPr>
          <w:trHeight w:val="199"/>
        </w:trPr>
        <w:tc>
          <w:tcPr>
            <w:tcW w:w="2300" w:type="dxa"/>
            <w:vAlign w:val="bottom"/>
          </w:tcPr>
          <w:p>
            <w:pPr>
              <w:ind w:left="20"/>
              <w:spacing w:after="0"/>
              <w:rPr>
                <w:sz w:val="20"/>
                <w:szCs w:val="20"/>
                <w:color w:val="auto"/>
              </w:rPr>
            </w:pPr>
            <w:r>
              <w:rPr>
                <w:rFonts w:ascii="Arial" w:cs="Arial" w:eastAsia="Arial" w:hAnsi="Arial"/>
                <w:sz w:val="14"/>
                <w:szCs w:val="14"/>
                <w:color w:val="auto"/>
              </w:rPr>
              <w:t>IEnova</w:t>
            </w:r>
          </w:p>
        </w:tc>
        <w:tc>
          <w:tcPr>
            <w:tcW w:w="8940" w:type="dxa"/>
            <w:vAlign w:val="bottom"/>
          </w:tcPr>
          <w:p>
            <w:pPr>
              <w:ind w:left="300"/>
              <w:spacing w:after="0"/>
              <w:rPr>
                <w:sz w:val="20"/>
                <w:szCs w:val="20"/>
                <w:color w:val="auto"/>
              </w:rPr>
            </w:pPr>
            <w:r>
              <w:rPr>
                <w:rFonts w:ascii="Arial" w:cs="Arial" w:eastAsia="Arial" w:hAnsi="Arial"/>
                <w:sz w:val="14"/>
                <w:szCs w:val="14"/>
                <w:color w:val="auto"/>
              </w:rPr>
              <w:t>Infraestructura Energética Nova, S.A.P.I. de C.V.</w:t>
            </w:r>
          </w:p>
        </w:tc>
      </w:tr>
      <w:tr>
        <w:trPr>
          <w:trHeight w:val="206"/>
        </w:trPr>
        <w:tc>
          <w:tcPr>
            <w:tcW w:w="2300" w:type="dxa"/>
            <w:vAlign w:val="bottom"/>
            <w:shd w:val="clear" w:color="auto" w:fill="D4F1F5"/>
          </w:tcPr>
          <w:p>
            <w:pPr>
              <w:ind w:left="20"/>
              <w:spacing w:after="0"/>
              <w:rPr>
                <w:sz w:val="20"/>
                <w:szCs w:val="20"/>
                <w:color w:val="auto"/>
              </w:rPr>
            </w:pPr>
            <w:r>
              <w:rPr>
                <w:rFonts w:ascii="Arial" w:cs="Arial" w:eastAsia="Arial" w:hAnsi="Arial"/>
                <w:sz w:val="14"/>
                <w:szCs w:val="14"/>
                <w:color w:val="auto"/>
              </w:rPr>
              <w:t>IMG</w:t>
            </w:r>
          </w:p>
        </w:tc>
        <w:tc>
          <w:tcPr>
            <w:tcW w:w="8940" w:type="dxa"/>
            <w:vAlign w:val="bottom"/>
            <w:shd w:val="clear" w:color="auto" w:fill="D4F1F5"/>
          </w:tcPr>
          <w:p>
            <w:pPr>
              <w:ind w:left="300"/>
              <w:spacing w:after="0"/>
              <w:rPr>
                <w:sz w:val="20"/>
                <w:szCs w:val="20"/>
                <w:color w:val="auto"/>
              </w:rPr>
            </w:pPr>
            <w:r>
              <w:rPr>
                <w:rFonts w:ascii="Arial" w:cs="Arial" w:eastAsia="Arial" w:hAnsi="Arial"/>
                <w:sz w:val="14"/>
                <w:szCs w:val="14"/>
                <w:color w:val="auto"/>
              </w:rPr>
              <w:t>Infraestructura Marina del Golfo</w:t>
            </w:r>
          </w:p>
        </w:tc>
      </w:tr>
      <w:tr>
        <w:trPr>
          <w:trHeight w:val="195"/>
        </w:trPr>
        <w:tc>
          <w:tcPr>
            <w:tcW w:w="2300" w:type="dxa"/>
            <w:vAlign w:val="bottom"/>
          </w:tcPr>
          <w:p>
            <w:pPr>
              <w:ind w:left="20"/>
              <w:spacing w:after="0"/>
              <w:rPr>
                <w:sz w:val="20"/>
                <w:szCs w:val="20"/>
                <w:color w:val="auto"/>
              </w:rPr>
            </w:pPr>
            <w:r>
              <w:rPr>
                <w:rFonts w:ascii="Arial" w:cs="Arial" w:eastAsia="Arial" w:hAnsi="Arial"/>
                <w:sz w:val="14"/>
                <w:szCs w:val="14"/>
                <w:color w:val="auto"/>
              </w:rPr>
              <w:t>IOU</w:t>
            </w:r>
          </w:p>
        </w:tc>
        <w:tc>
          <w:tcPr>
            <w:tcW w:w="8940" w:type="dxa"/>
            <w:vAlign w:val="bottom"/>
          </w:tcPr>
          <w:p>
            <w:pPr>
              <w:ind w:left="300"/>
              <w:spacing w:after="0"/>
              <w:rPr>
                <w:sz w:val="20"/>
                <w:szCs w:val="20"/>
                <w:color w:val="auto"/>
              </w:rPr>
            </w:pPr>
            <w:r>
              <w:rPr>
                <w:rFonts w:ascii="Arial" w:cs="Arial" w:eastAsia="Arial" w:hAnsi="Arial"/>
                <w:sz w:val="14"/>
                <w:szCs w:val="14"/>
                <w:color w:val="auto"/>
              </w:rPr>
              <w:t>investor-owned utility</w:t>
            </w: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156210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FFFFFF"/>
        </w:rPr>
        <w:t>GLOSSARY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-115570</wp:posOffset>
            </wp:positionV>
            <wp:extent cx="7132320" cy="27432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274320"/>
                    </a:xfrm>
                    <a:prstGeom prst="rect">
                      <a:avLst/>
                    </a:prstGeom>
                    <a:noFill/>
                  </pic:spPr>
                </pic:pic>
              </a:graphicData>
            </a:graphic>
          </wp:anchor>
        </w:drawing>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100" w:type="dxa"/>
            <w:vAlign w:val="bottom"/>
            <w:shd w:val="clear" w:color="auto" w:fill="D4F1F5"/>
          </w:tcPr>
          <w:p>
            <w:pPr>
              <w:ind w:left="20"/>
              <w:spacing w:after="0"/>
              <w:rPr>
                <w:sz w:val="20"/>
                <w:szCs w:val="20"/>
                <w:color w:val="auto"/>
              </w:rPr>
            </w:pPr>
            <w:r>
              <w:rPr>
                <w:rFonts w:ascii="Arial" w:cs="Arial" w:eastAsia="Arial" w:hAnsi="Arial"/>
                <w:sz w:val="14"/>
                <w:szCs w:val="14"/>
                <w:color w:val="auto"/>
              </w:rPr>
              <w:t>IRS</w:t>
            </w:r>
          </w:p>
        </w:tc>
        <w:tc>
          <w:tcPr>
            <w:tcW w:w="9140" w:type="dxa"/>
            <w:vAlign w:val="bottom"/>
            <w:shd w:val="clear" w:color="auto" w:fill="D4F1F5"/>
          </w:tcPr>
          <w:p>
            <w:pPr>
              <w:ind w:left="500"/>
              <w:spacing w:after="0"/>
              <w:rPr>
                <w:sz w:val="20"/>
                <w:szCs w:val="20"/>
                <w:color w:val="auto"/>
              </w:rPr>
            </w:pPr>
            <w:r>
              <w:rPr>
                <w:rFonts w:ascii="Arial" w:cs="Arial" w:eastAsia="Arial" w:hAnsi="Arial"/>
                <w:sz w:val="14"/>
                <w:szCs w:val="14"/>
                <w:color w:val="auto"/>
              </w:rPr>
              <w:t>U.S. Internal Revenue Service</w:t>
            </w:r>
          </w:p>
        </w:tc>
      </w:tr>
      <w:tr>
        <w:trPr>
          <w:trHeight w:val="198"/>
        </w:trPr>
        <w:tc>
          <w:tcPr>
            <w:tcW w:w="2100" w:type="dxa"/>
            <w:vAlign w:val="bottom"/>
          </w:tcPr>
          <w:p>
            <w:pPr>
              <w:ind w:left="20"/>
              <w:spacing w:after="0"/>
              <w:rPr>
                <w:sz w:val="20"/>
                <w:szCs w:val="20"/>
                <w:color w:val="auto"/>
              </w:rPr>
            </w:pPr>
            <w:r>
              <w:rPr>
                <w:rFonts w:ascii="Arial" w:cs="Arial" w:eastAsia="Arial" w:hAnsi="Arial"/>
                <w:sz w:val="14"/>
                <w:szCs w:val="14"/>
                <w:color w:val="auto"/>
              </w:rPr>
              <w:t>ISO</w:t>
            </w:r>
          </w:p>
        </w:tc>
        <w:tc>
          <w:tcPr>
            <w:tcW w:w="9140" w:type="dxa"/>
            <w:vAlign w:val="bottom"/>
          </w:tcPr>
          <w:p>
            <w:pPr>
              <w:ind w:left="500"/>
              <w:spacing w:after="0"/>
              <w:rPr>
                <w:sz w:val="20"/>
                <w:szCs w:val="20"/>
                <w:color w:val="auto"/>
              </w:rPr>
            </w:pPr>
            <w:r>
              <w:rPr>
                <w:rFonts w:ascii="Arial" w:cs="Arial" w:eastAsia="Arial" w:hAnsi="Arial"/>
                <w:sz w:val="14"/>
                <w:szCs w:val="14"/>
                <w:color w:val="auto"/>
              </w:rPr>
              <w:t>Independent System Operator</w:t>
            </w:r>
          </w:p>
        </w:tc>
      </w:tr>
      <w:tr>
        <w:trPr>
          <w:trHeight w:val="207"/>
        </w:trPr>
        <w:tc>
          <w:tcPr>
            <w:tcW w:w="2100" w:type="dxa"/>
            <w:vAlign w:val="bottom"/>
            <w:shd w:val="clear" w:color="auto" w:fill="D4F1F5"/>
          </w:tcPr>
          <w:p>
            <w:pPr>
              <w:ind w:left="20"/>
              <w:spacing w:after="0"/>
              <w:rPr>
                <w:sz w:val="20"/>
                <w:szCs w:val="20"/>
                <w:color w:val="auto"/>
              </w:rPr>
            </w:pPr>
            <w:r>
              <w:rPr>
                <w:rFonts w:ascii="Arial" w:cs="Arial" w:eastAsia="Arial" w:hAnsi="Arial"/>
                <w:sz w:val="14"/>
                <w:szCs w:val="14"/>
                <w:color w:val="auto"/>
              </w:rPr>
              <w:t>ITC</w:t>
            </w:r>
          </w:p>
        </w:tc>
        <w:tc>
          <w:tcPr>
            <w:tcW w:w="9140" w:type="dxa"/>
            <w:vAlign w:val="bottom"/>
            <w:shd w:val="clear" w:color="auto" w:fill="D4F1F5"/>
          </w:tcPr>
          <w:p>
            <w:pPr>
              <w:ind w:left="500"/>
              <w:spacing w:after="0"/>
              <w:rPr>
                <w:sz w:val="20"/>
                <w:szCs w:val="20"/>
                <w:color w:val="auto"/>
              </w:rPr>
            </w:pPr>
            <w:r>
              <w:rPr>
                <w:rFonts w:ascii="Arial" w:cs="Arial" w:eastAsia="Arial" w:hAnsi="Arial"/>
                <w:sz w:val="14"/>
                <w:szCs w:val="14"/>
                <w:color w:val="auto"/>
              </w:rPr>
              <w:t>investment tax credit</w:t>
            </w:r>
          </w:p>
        </w:tc>
      </w:tr>
      <w:tr>
        <w:trPr>
          <w:trHeight w:val="198"/>
        </w:trPr>
        <w:tc>
          <w:tcPr>
            <w:tcW w:w="2100" w:type="dxa"/>
            <w:vAlign w:val="bottom"/>
          </w:tcPr>
          <w:p>
            <w:pPr>
              <w:ind w:left="20"/>
              <w:spacing w:after="0"/>
              <w:rPr>
                <w:sz w:val="20"/>
                <w:szCs w:val="20"/>
                <w:color w:val="auto"/>
              </w:rPr>
            </w:pPr>
            <w:r>
              <w:rPr>
                <w:rFonts w:ascii="Arial" w:cs="Arial" w:eastAsia="Arial" w:hAnsi="Arial"/>
                <w:sz w:val="14"/>
                <w:szCs w:val="14"/>
                <w:color w:val="auto"/>
              </w:rPr>
              <w:t>JV</w:t>
            </w:r>
          </w:p>
        </w:tc>
        <w:tc>
          <w:tcPr>
            <w:tcW w:w="9140" w:type="dxa"/>
            <w:vAlign w:val="bottom"/>
          </w:tcPr>
          <w:p>
            <w:pPr>
              <w:ind w:left="500"/>
              <w:spacing w:after="0"/>
              <w:rPr>
                <w:sz w:val="20"/>
                <w:szCs w:val="20"/>
                <w:color w:val="auto"/>
              </w:rPr>
            </w:pPr>
            <w:r>
              <w:rPr>
                <w:rFonts w:ascii="Arial" w:cs="Arial" w:eastAsia="Arial" w:hAnsi="Arial"/>
                <w:sz w:val="14"/>
                <w:szCs w:val="14"/>
                <w:color w:val="auto"/>
              </w:rPr>
              <w:t>joint venture</w:t>
            </w:r>
          </w:p>
        </w:tc>
      </w:tr>
      <w:tr>
        <w:trPr>
          <w:trHeight w:val="207"/>
        </w:trPr>
        <w:tc>
          <w:tcPr>
            <w:tcW w:w="2100" w:type="dxa"/>
            <w:vAlign w:val="bottom"/>
            <w:shd w:val="clear" w:color="auto" w:fill="D4F1F5"/>
          </w:tcPr>
          <w:p>
            <w:pPr>
              <w:ind w:left="20"/>
              <w:spacing w:after="0"/>
              <w:rPr>
                <w:sz w:val="20"/>
                <w:szCs w:val="20"/>
                <w:color w:val="auto"/>
              </w:rPr>
            </w:pPr>
            <w:r>
              <w:rPr>
                <w:rFonts w:ascii="Arial" w:cs="Arial" w:eastAsia="Arial" w:hAnsi="Arial"/>
                <w:sz w:val="14"/>
                <w:szCs w:val="14"/>
                <w:color w:val="auto"/>
              </w:rPr>
              <w:t>KKR Partners</w:t>
            </w:r>
          </w:p>
        </w:tc>
        <w:tc>
          <w:tcPr>
            <w:tcW w:w="9140" w:type="dxa"/>
            <w:vAlign w:val="bottom"/>
            <w:shd w:val="clear" w:color="auto" w:fill="D4F1F5"/>
          </w:tcPr>
          <w:p>
            <w:pPr>
              <w:ind w:left="500"/>
              <w:spacing w:after="0"/>
              <w:rPr>
                <w:sz w:val="20"/>
                <w:szCs w:val="20"/>
                <w:color w:val="auto"/>
              </w:rPr>
            </w:pPr>
            <w:r>
              <w:rPr>
                <w:rFonts w:ascii="Arial" w:cs="Arial" w:eastAsia="Arial" w:hAnsi="Arial"/>
                <w:sz w:val="14"/>
                <w:szCs w:val="14"/>
                <w:color w:val="auto"/>
              </w:rPr>
              <w:t>affiliates of Kohlberg Kravis Roberts &amp; Co. L.P. and indirect co-investor Canada Pension Plan Investment Board, collectively</w:t>
            </w:r>
          </w:p>
        </w:tc>
      </w:tr>
      <w:tr>
        <w:trPr>
          <w:trHeight w:val="198"/>
        </w:trPr>
        <w:tc>
          <w:tcPr>
            <w:tcW w:w="2100" w:type="dxa"/>
            <w:vAlign w:val="bottom"/>
          </w:tcPr>
          <w:p>
            <w:pPr>
              <w:ind w:left="20"/>
              <w:spacing w:after="0"/>
              <w:rPr>
                <w:sz w:val="20"/>
                <w:szCs w:val="20"/>
                <w:color w:val="auto"/>
              </w:rPr>
            </w:pPr>
            <w:r>
              <w:rPr>
                <w:rFonts w:ascii="Arial" w:cs="Arial" w:eastAsia="Arial" w:hAnsi="Arial"/>
                <w:sz w:val="14"/>
                <w:szCs w:val="14"/>
                <w:color w:val="auto"/>
              </w:rPr>
              <w:t>KKR Pinnacle</w:t>
            </w:r>
          </w:p>
        </w:tc>
        <w:tc>
          <w:tcPr>
            <w:tcW w:w="9140" w:type="dxa"/>
            <w:vAlign w:val="bottom"/>
          </w:tcPr>
          <w:p>
            <w:pPr>
              <w:ind w:left="500"/>
              <w:spacing w:after="0"/>
              <w:rPr>
                <w:sz w:val="20"/>
                <w:szCs w:val="20"/>
                <w:color w:val="auto"/>
              </w:rPr>
            </w:pPr>
            <w:r>
              <w:rPr>
                <w:rFonts w:ascii="Arial" w:cs="Arial" w:eastAsia="Arial" w:hAnsi="Arial"/>
                <w:sz w:val="14"/>
                <w:szCs w:val="14"/>
                <w:color w:val="auto"/>
              </w:rPr>
              <w:t>KKR Pinnacle Investor L.P., an affiliate of Kohlberg Kravis Roberts &amp; Co. L.P.</w:t>
            </w:r>
          </w:p>
        </w:tc>
      </w:tr>
      <w:tr>
        <w:trPr>
          <w:trHeight w:val="157"/>
        </w:trPr>
        <w:tc>
          <w:tcPr>
            <w:tcW w:w="2100" w:type="dxa"/>
            <w:vAlign w:val="bottom"/>
            <w:shd w:val="clear" w:color="auto" w:fill="D4F1F5"/>
          </w:tcPr>
          <w:p>
            <w:pPr>
              <w:ind w:left="20"/>
              <w:spacing w:after="0" w:line="157" w:lineRule="exact"/>
              <w:rPr>
                <w:sz w:val="20"/>
                <w:szCs w:val="20"/>
                <w:color w:val="auto"/>
              </w:rPr>
            </w:pPr>
            <w:r>
              <w:rPr>
                <w:rFonts w:ascii="Arial" w:cs="Arial" w:eastAsia="Arial" w:hAnsi="Arial"/>
                <w:sz w:val="14"/>
                <w:szCs w:val="14"/>
                <w:color w:val="auto"/>
              </w:rPr>
              <w:t>LA Fires</w:t>
            </w:r>
          </w:p>
        </w:tc>
        <w:tc>
          <w:tcPr>
            <w:tcW w:w="9140" w:type="dxa"/>
            <w:vAlign w:val="bottom"/>
            <w:shd w:val="clear" w:color="auto" w:fill="D4F1F5"/>
          </w:tcPr>
          <w:p>
            <w:pPr>
              <w:ind w:left="500"/>
              <w:spacing w:after="0" w:line="157" w:lineRule="exact"/>
              <w:rPr>
                <w:sz w:val="20"/>
                <w:szCs w:val="20"/>
                <w:color w:val="auto"/>
              </w:rPr>
            </w:pPr>
            <w:r>
              <w:rPr>
                <w:rFonts w:ascii="Arial" w:cs="Arial" w:eastAsia="Arial" w:hAnsi="Arial"/>
                <w:sz w:val="14"/>
                <w:szCs w:val="14"/>
                <w:color w:val="auto"/>
              </w:rPr>
              <w:t>the wildfires in Los Angeles County, California, including the Palisades, Eaton and other fires, that burned in January and February of</w:t>
            </w:r>
          </w:p>
        </w:tc>
      </w:tr>
      <w:tr>
        <w:trPr>
          <w:trHeight w:val="185"/>
        </w:trPr>
        <w:tc>
          <w:tcPr>
            <w:tcW w:w="2100" w:type="dxa"/>
            <w:vAlign w:val="bottom"/>
            <w:shd w:val="clear" w:color="auto" w:fill="D4F1F5"/>
          </w:tcPr>
          <w:p>
            <w:pPr>
              <w:spacing w:after="0"/>
              <w:rPr>
                <w:sz w:val="16"/>
                <w:szCs w:val="16"/>
                <w:color w:val="auto"/>
              </w:rPr>
            </w:pPr>
          </w:p>
        </w:tc>
        <w:tc>
          <w:tcPr>
            <w:tcW w:w="9140" w:type="dxa"/>
            <w:vAlign w:val="bottom"/>
            <w:shd w:val="clear" w:color="auto" w:fill="D4F1F5"/>
          </w:tcPr>
          <w:p>
            <w:pPr>
              <w:ind w:left="500"/>
              <w:spacing w:after="0"/>
              <w:rPr>
                <w:sz w:val="20"/>
                <w:szCs w:val="20"/>
                <w:color w:val="auto"/>
              </w:rPr>
            </w:pPr>
            <w:r>
              <w:rPr>
                <w:rFonts w:ascii="Arial" w:cs="Arial" w:eastAsia="Arial" w:hAnsi="Arial"/>
                <w:sz w:val="14"/>
                <w:szCs w:val="14"/>
                <w:color w:val="auto"/>
              </w:rPr>
              <w:t>2025</w:t>
            </w:r>
          </w:p>
        </w:tc>
      </w:tr>
      <w:tr>
        <w:trPr>
          <w:trHeight w:val="198"/>
        </w:trPr>
        <w:tc>
          <w:tcPr>
            <w:tcW w:w="2100" w:type="dxa"/>
            <w:vAlign w:val="bottom"/>
          </w:tcPr>
          <w:p>
            <w:pPr>
              <w:ind w:left="20"/>
              <w:spacing w:after="0"/>
              <w:rPr>
                <w:sz w:val="20"/>
                <w:szCs w:val="20"/>
                <w:color w:val="auto"/>
              </w:rPr>
            </w:pPr>
            <w:r>
              <w:rPr>
                <w:rFonts w:ascii="Arial" w:cs="Arial" w:eastAsia="Arial" w:hAnsi="Arial"/>
                <w:sz w:val="14"/>
                <w:szCs w:val="14"/>
                <w:color w:val="auto"/>
              </w:rPr>
              <w:t>LNG</w:t>
            </w:r>
          </w:p>
        </w:tc>
        <w:tc>
          <w:tcPr>
            <w:tcW w:w="9140" w:type="dxa"/>
            <w:vAlign w:val="bottom"/>
          </w:tcPr>
          <w:p>
            <w:pPr>
              <w:ind w:left="500"/>
              <w:spacing w:after="0"/>
              <w:rPr>
                <w:sz w:val="20"/>
                <w:szCs w:val="20"/>
                <w:color w:val="auto"/>
              </w:rPr>
            </w:pPr>
            <w:r>
              <w:rPr>
                <w:rFonts w:ascii="Arial" w:cs="Arial" w:eastAsia="Arial" w:hAnsi="Arial"/>
                <w:sz w:val="14"/>
                <w:szCs w:val="14"/>
                <w:color w:val="auto"/>
              </w:rPr>
              <w:t>liquefied natural gas</w:t>
            </w:r>
          </w:p>
        </w:tc>
      </w:tr>
      <w:tr>
        <w:trPr>
          <w:trHeight w:val="207"/>
        </w:trPr>
        <w:tc>
          <w:tcPr>
            <w:tcW w:w="2100" w:type="dxa"/>
            <w:vAlign w:val="bottom"/>
            <w:shd w:val="clear" w:color="auto" w:fill="D4F1F5"/>
          </w:tcPr>
          <w:p>
            <w:pPr>
              <w:ind w:left="20"/>
              <w:spacing w:after="0"/>
              <w:rPr>
                <w:sz w:val="20"/>
                <w:szCs w:val="20"/>
                <w:color w:val="auto"/>
              </w:rPr>
            </w:pPr>
            <w:r>
              <w:rPr>
                <w:rFonts w:ascii="Arial" w:cs="Arial" w:eastAsia="Arial" w:hAnsi="Arial"/>
                <w:sz w:val="14"/>
                <w:szCs w:val="14"/>
                <w:color w:val="auto"/>
              </w:rPr>
              <w:t>MD&amp;A</w:t>
            </w:r>
          </w:p>
        </w:tc>
        <w:tc>
          <w:tcPr>
            <w:tcW w:w="9140" w:type="dxa"/>
            <w:vAlign w:val="bottom"/>
            <w:shd w:val="clear" w:color="auto" w:fill="D4F1F5"/>
          </w:tcPr>
          <w:p>
            <w:pPr>
              <w:ind w:left="500"/>
              <w:spacing w:after="0"/>
              <w:rPr>
                <w:sz w:val="20"/>
                <w:szCs w:val="20"/>
                <w:color w:val="auto"/>
              </w:rPr>
            </w:pPr>
            <w:r>
              <w:rPr>
                <w:rFonts w:ascii="Arial" w:cs="Arial" w:eastAsia="Arial" w:hAnsi="Arial"/>
                <w:sz w:val="14"/>
                <w:szCs w:val="14"/>
                <w:color w:val="auto"/>
              </w:rPr>
              <w:t>Management’s Discussion and Analysis of Financial Condition and Results of Operations</w:t>
            </w:r>
          </w:p>
        </w:tc>
      </w:tr>
      <w:tr>
        <w:trPr>
          <w:trHeight w:val="198"/>
        </w:trPr>
        <w:tc>
          <w:tcPr>
            <w:tcW w:w="2100" w:type="dxa"/>
            <w:vAlign w:val="bottom"/>
          </w:tcPr>
          <w:p>
            <w:pPr>
              <w:ind w:left="20"/>
              <w:spacing w:after="0"/>
              <w:rPr>
                <w:sz w:val="20"/>
                <w:szCs w:val="20"/>
                <w:color w:val="auto"/>
              </w:rPr>
            </w:pPr>
            <w:r>
              <w:rPr>
                <w:rFonts w:ascii="Arial" w:cs="Arial" w:eastAsia="Arial" w:hAnsi="Arial"/>
                <w:sz w:val="14"/>
                <w:szCs w:val="14"/>
                <w:color w:val="auto"/>
              </w:rPr>
              <w:t>MMBtu</w:t>
            </w:r>
          </w:p>
        </w:tc>
        <w:tc>
          <w:tcPr>
            <w:tcW w:w="9140" w:type="dxa"/>
            <w:vAlign w:val="bottom"/>
          </w:tcPr>
          <w:p>
            <w:pPr>
              <w:ind w:left="500"/>
              <w:spacing w:after="0"/>
              <w:rPr>
                <w:sz w:val="20"/>
                <w:szCs w:val="20"/>
                <w:color w:val="auto"/>
              </w:rPr>
            </w:pPr>
            <w:r>
              <w:rPr>
                <w:rFonts w:ascii="Arial" w:cs="Arial" w:eastAsia="Arial" w:hAnsi="Arial"/>
                <w:sz w:val="14"/>
                <w:szCs w:val="14"/>
                <w:color w:val="auto"/>
              </w:rPr>
              <w:t>million British thermal units (of natural gas)</w:t>
            </w:r>
          </w:p>
        </w:tc>
      </w:tr>
      <w:tr>
        <w:trPr>
          <w:trHeight w:val="206"/>
        </w:trPr>
        <w:tc>
          <w:tcPr>
            <w:tcW w:w="2100" w:type="dxa"/>
            <w:vAlign w:val="bottom"/>
            <w:shd w:val="clear" w:color="auto" w:fill="D4F1F5"/>
          </w:tcPr>
          <w:p>
            <w:pPr>
              <w:ind w:left="20"/>
              <w:spacing w:after="0"/>
              <w:rPr>
                <w:sz w:val="20"/>
                <w:szCs w:val="20"/>
                <w:color w:val="auto"/>
              </w:rPr>
            </w:pPr>
            <w:r>
              <w:rPr>
                <w:rFonts w:ascii="Arial" w:cs="Arial" w:eastAsia="Arial" w:hAnsi="Arial"/>
                <w:sz w:val="14"/>
                <w:szCs w:val="14"/>
                <w:color w:val="auto"/>
              </w:rPr>
              <w:t>Moody’s</w:t>
            </w:r>
          </w:p>
        </w:tc>
        <w:tc>
          <w:tcPr>
            <w:tcW w:w="9140" w:type="dxa"/>
            <w:vAlign w:val="bottom"/>
            <w:shd w:val="clear" w:color="auto" w:fill="D4F1F5"/>
          </w:tcPr>
          <w:p>
            <w:pPr>
              <w:ind w:left="500"/>
              <w:spacing w:after="0"/>
              <w:rPr>
                <w:sz w:val="20"/>
                <w:szCs w:val="20"/>
                <w:color w:val="auto"/>
              </w:rPr>
            </w:pPr>
            <w:r>
              <w:rPr>
                <w:rFonts w:ascii="Arial" w:cs="Arial" w:eastAsia="Arial" w:hAnsi="Arial"/>
                <w:sz w:val="14"/>
                <w:szCs w:val="14"/>
                <w:color w:val="auto"/>
              </w:rPr>
              <w:t>Moody’s Investors Service, Inc.</w:t>
            </w:r>
          </w:p>
        </w:tc>
      </w:tr>
      <w:tr>
        <w:trPr>
          <w:trHeight w:val="199"/>
        </w:trPr>
        <w:tc>
          <w:tcPr>
            <w:tcW w:w="2100" w:type="dxa"/>
            <w:vAlign w:val="bottom"/>
          </w:tcPr>
          <w:p>
            <w:pPr>
              <w:ind w:left="20"/>
              <w:spacing w:after="0"/>
              <w:rPr>
                <w:sz w:val="20"/>
                <w:szCs w:val="20"/>
                <w:color w:val="auto"/>
              </w:rPr>
            </w:pPr>
            <w:r>
              <w:rPr>
                <w:rFonts w:ascii="Arial" w:cs="Arial" w:eastAsia="Arial" w:hAnsi="Arial"/>
                <w:sz w:val="14"/>
                <w:szCs w:val="14"/>
                <w:color w:val="auto"/>
              </w:rPr>
              <w:t>MOU</w:t>
            </w:r>
          </w:p>
        </w:tc>
        <w:tc>
          <w:tcPr>
            <w:tcW w:w="9140" w:type="dxa"/>
            <w:vAlign w:val="bottom"/>
          </w:tcPr>
          <w:p>
            <w:pPr>
              <w:ind w:left="500"/>
              <w:spacing w:after="0"/>
              <w:rPr>
                <w:sz w:val="20"/>
                <w:szCs w:val="20"/>
                <w:color w:val="auto"/>
              </w:rPr>
            </w:pPr>
            <w:r>
              <w:rPr>
                <w:rFonts w:ascii="Arial" w:cs="Arial" w:eastAsia="Arial" w:hAnsi="Arial"/>
                <w:sz w:val="14"/>
                <w:szCs w:val="14"/>
                <w:color w:val="auto"/>
              </w:rPr>
              <w:t>Memorandum of Understanding</w:t>
            </w:r>
          </w:p>
        </w:tc>
      </w:tr>
      <w:tr>
        <w:trPr>
          <w:trHeight w:val="206"/>
        </w:trPr>
        <w:tc>
          <w:tcPr>
            <w:tcW w:w="2100" w:type="dxa"/>
            <w:vAlign w:val="bottom"/>
            <w:shd w:val="clear" w:color="auto" w:fill="D4F1F5"/>
          </w:tcPr>
          <w:p>
            <w:pPr>
              <w:ind w:left="20"/>
              <w:spacing w:after="0"/>
              <w:rPr>
                <w:sz w:val="20"/>
                <w:szCs w:val="20"/>
                <w:color w:val="auto"/>
              </w:rPr>
            </w:pPr>
            <w:r>
              <w:rPr>
                <w:rFonts w:ascii="Arial" w:cs="Arial" w:eastAsia="Arial" w:hAnsi="Arial"/>
                <w:sz w:val="14"/>
                <w:szCs w:val="14"/>
                <w:color w:val="auto"/>
              </w:rPr>
              <w:t>Mtpa</w:t>
            </w:r>
          </w:p>
        </w:tc>
        <w:tc>
          <w:tcPr>
            <w:tcW w:w="9140" w:type="dxa"/>
            <w:vAlign w:val="bottom"/>
            <w:shd w:val="clear" w:color="auto" w:fill="D4F1F5"/>
          </w:tcPr>
          <w:p>
            <w:pPr>
              <w:ind w:left="500"/>
              <w:spacing w:after="0"/>
              <w:rPr>
                <w:sz w:val="20"/>
                <w:szCs w:val="20"/>
                <w:color w:val="auto"/>
              </w:rPr>
            </w:pPr>
            <w:r>
              <w:rPr>
                <w:rFonts w:ascii="Arial" w:cs="Arial" w:eastAsia="Arial" w:hAnsi="Arial"/>
                <w:sz w:val="14"/>
                <w:szCs w:val="14"/>
                <w:color w:val="auto"/>
              </w:rPr>
              <w:t>million tonnes per annum</w:t>
            </w:r>
          </w:p>
        </w:tc>
      </w:tr>
      <w:tr>
        <w:trPr>
          <w:trHeight w:val="199"/>
        </w:trPr>
        <w:tc>
          <w:tcPr>
            <w:tcW w:w="2100" w:type="dxa"/>
            <w:vAlign w:val="bottom"/>
          </w:tcPr>
          <w:p>
            <w:pPr>
              <w:ind w:left="20"/>
              <w:spacing w:after="0"/>
              <w:rPr>
                <w:sz w:val="20"/>
                <w:szCs w:val="20"/>
                <w:color w:val="auto"/>
              </w:rPr>
            </w:pPr>
            <w:r>
              <w:rPr>
                <w:rFonts w:ascii="Arial" w:cs="Arial" w:eastAsia="Arial" w:hAnsi="Arial"/>
                <w:sz w:val="14"/>
                <w:szCs w:val="14"/>
                <w:color w:val="auto"/>
              </w:rPr>
              <w:t>MW</w:t>
            </w:r>
          </w:p>
        </w:tc>
        <w:tc>
          <w:tcPr>
            <w:tcW w:w="9140" w:type="dxa"/>
            <w:vAlign w:val="bottom"/>
          </w:tcPr>
          <w:p>
            <w:pPr>
              <w:ind w:left="500"/>
              <w:spacing w:after="0"/>
              <w:rPr>
                <w:sz w:val="20"/>
                <w:szCs w:val="20"/>
                <w:color w:val="auto"/>
              </w:rPr>
            </w:pPr>
            <w:r>
              <w:rPr>
                <w:rFonts w:ascii="Arial" w:cs="Arial" w:eastAsia="Arial" w:hAnsi="Arial"/>
                <w:sz w:val="14"/>
                <w:szCs w:val="14"/>
                <w:color w:val="auto"/>
              </w:rPr>
              <w:t>megawatt</w:t>
            </w:r>
          </w:p>
        </w:tc>
      </w:tr>
      <w:tr>
        <w:trPr>
          <w:trHeight w:val="206"/>
        </w:trPr>
        <w:tc>
          <w:tcPr>
            <w:tcW w:w="2100" w:type="dxa"/>
            <w:vAlign w:val="bottom"/>
            <w:shd w:val="clear" w:color="auto" w:fill="D4F1F5"/>
          </w:tcPr>
          <w:p>
            <w:pPr>
              <w:ind w:left="20"/>
              <w:spacing w:after="0"/>
              <w:rPr>
                <w:sz w:val="20"/>
                <w:szCs w:val="20"/>
                <w:color w:val="auto"/>
              </w:rPr>
            </w:pPr>
            <w:r>
              <w:rPr>
                <w:rFonts w:ascii="Arial" w:cs="Arial" w:eastAsia="Arial" w:hAnsi="Arial"/>
                <w:sz w:val="14"/>
                <w:szCs w:val="14"/>
                <w:color w:val="auto"/>
              </w:rPr>
              <w:t>MWh</w:t>
            </w:r>
          </w:p>
        </w:tc>
        <w:tc>
          <w:tcPr>
            <w:tcW w:w="9140" w:type="dxa"/>
            <w:vAlign w:val="bottom"/>
            <w:shd w:val="clear" w:color="auto" w:fill="D4F1F5"/>
          </w:tcPr>
          <w:p>
            <w:pPr>
              <w:ind w:left="500"/>
              <w:spacing w:after="0"/>
              <w:rPr>
                <w:sz w:val="20"/>
                <w:szCs w:val="20"/>
                <w:color w:val="auto"/>
              </w:rPr>
            </w:pPr>
            <w:r>
              <w:rPr>
                <w:rFonts w:ascii="Arial" w:cs="Arial" w:eastAsia="Arial" w:hAnsi="Arial"/>
                <w:sz w:val="14"/>
                <w:szCs w:val="14"/>
                <w:color w:val="auto"/>
              </w:rPr>
              <w:t>megawatt hour</w:t>
            </w:r>
          </w:p>
        </w:tc>
      </w:tr>
      <w:tr>
        <w:trPr>
          <w:trHeight w:val="199"/>
        </w:trPr>
        <w:tc>
          <w:tcPr>
            <w:tcW w:w="2100" w:type="dxa"/>
            <w:vAlign w:val="bottom"/>
          </w:tcPr>
          <w:p>
            <w:pPr>
              <w:ind w:left="20"/>
              <w:spacing w:after="0"/>
              <w:rPr>
                <w:sz w:val="20"/>
                <w:szCs w:val="20"/>
                <w:color w:val="auto"/>
              </w:rPr>
            </w:pPr>
            <w:r>
              <w:rPr>
                <w:rFonts w:ascii="Arial" w:cs="Arial" w:eastAsia="Arial" w:hAnsi="Arial"/>
                <w:sz w:val="14"/>
                <w:szCs w:val="14"/>
                <w:color w:val="auto"/>
              </w:rPr>
              <w:t>NCI</w:t>
            </w:r>
          </w:p>
        </w:tc>
        <w:tc>
          <w:tcPr>
            <w:tcW w:w="9140" w:type="dxa"/>
            <w:vAlign w:val="bottom"/>
          </w:tcPr>
          <w:p>
            <w:pPr>
              <w:ind w:left="500"/>
              <w:spacing w:after="0"/>
              <w:rPr>
                <w:sz w:val="20"/>
                <w:szCs w:val="20"/>
                <w:color w:val="auto"/>
              </w:rPr>
            </w:pPr>
            <w:r>
              <w:rPr>
                <w:rFonts w:ascii="Arial" w:cs="Arial" w:eastAsia="Arial" w:hAnsi="Arial"/>
                <w:sz w:val="14"/>
                <w:szCs w:val="14"/>
                <w:color w:val="auto"/>
              </w:rPr>
              <w:t>noncontrolling interest(s)</w:t>
            </w:r>
          </w:p>
        </w:tc>
      </w:tr>
      <w:tr>
        <w:trPr>
          <w:trHeight w:val="206"/>
        </w:trPr>
        <w:tc>
          <w:tcPr>
            <w:tcW w:w="2100" w:type="dxa"/>
            <w:vAlign w:val="bottom"/>
            <w:shd w:val="clear" w:color="auto" w:fill="D4F1F5"/>
          </w:tcPr>
          <w:p>
            <w:pPr>
              <w:ind w:left="20"/>
              <w:spacing w:after="0"/>
              <w:rPr>
                <w:sz w:val="20"/>
                <w:szCs w:val="20"/>
                <w:color w:val="auto"/>
              </w:rPr>
            </w:pPr>
            <w:r>
              <w:rPr>
                <w:rFonts w:ascii="Arial" w:cs="Arial" w:eastAsia="Arial" w:hAnsi="Arial"/>
                <w:sz w:val="14"/>
                <w:szCs w:val="14"/>
                <w:color w:val="auto"/>
              </w:rPr>
              <w:t>NDT</w:t>
            </w:r>
          </w:p>
        </w:tc>
        <w:tc>
          <w:tcPr>
            <w:tcW w:w="9140" w:type="dxa"/>
            <w:vAlign w:val="bottom"/>
            <w:shd w:val="clear" w:color="auto" w:fill="D4F1F5"/>
          </w:tcPr>
          <w:p>
            <w:pPr>
              <w:ind w:left="500"/>
              <w:spacing w:after="0"/>
              <w:rPr>
                <w:sz w:val="20"/>
                <w:szCs w:val="20"/>
                <w:color w:val="auto"/>
              </w:rPr>
            </w:pPr>
            <w:r>
              <w:rPr>
                <w:rFonts w:ascii="Arial" w:cs="Arial" w:eastAsia="Arial" w:hAnsi="Arial"/>
                <w:sz w:val="14"/>
                <w:szCs w:val="14"/>
                <w:color w:val="auto"/>
              </w:rPr>
              <w:t>nuclear decommissioning trusts</w:t>
            </w:r>
          </w:p>
        </w:tc>
      </w:tr>
      <w:tr>
        <w:trPr>
          <w:trHeight w:val="199"/>
        </w:trPr>
        <w:tc>
          <w:tcPr>
            <w:tcW w:w="2100" w:type="dxa"/>
            <w:vAlign w:val="bottom"/>
          </w:tcPr>
          <w:p>
            <w:pPr>
              <w:ind w:left="20"/>
              <w:spacing w:after="0"/>
              <w:rPr>
                <w:sz w:val="20"/>
                <w:szCs w:val="20"/>
                <w:color w:val="auto"/>
              </w:rPr>
            </w:pPr>
            <w:r>
              <w:rPr>
                <w:rFonts w:ascii="Arial" w:cs="Arial" w:eastAsia="Arial" w:hAnsi="Arial"/>
                <w:sz w:val="14"/>
                <w:szCs w:val="14"/>
                <w:color w:val="auto"/>
              </w:rPr>
              <w:t>O&amp;M</w:t>
            </w:r>
          </w:p>
        </w:tc>
        <w:tc>
          <w:tcPr>
            <w:tcW w:w="9140" w:type="dxa"/>
            <w:vAlign w:val="bottom"/>
          </w:tcPr>
          <w:p>
            <w:pPr>
              <w:ind w:left="500"/>
              <w:spacing w:after="0"/>
              <w:rPr>
                <w:sz w:val="20"/>
                <w:szCs w:val="20"/>
                <w:color w:val="auto"/>
              </w:rPr>
            </w:pPr>
            <w:r>
              <w:rPr>
                <w:rFonts w:ascii="Arial" w:cs="Arial" w:eastAsia="Arial" w:hAnsi="Arial"/>
                <w:sz w:val="14"/>
                <w:szCs w:val="14"/>
                <w:color w:val="auto"/>
              </w:rPr>
              <w:t>operation and maintenance expense</w:t>
            </w:r>
          </w:p>
        </w:tc>
      </w:tr>
      <w:tr>
        <w:trPr>
          <w:trHeight w:val="206"/>
        </w:trPr>
        <w:tc>
          <w:tcPr>
            <w:tcW w:w="2100" w:type="dxa"/>
            <w:vAlign w:val="bottom"/>
            <w:shd w:val="clear" w:color="auto" w:fill="D4F1F5"/>
          </w:tcPr>
          <w:p>
            <w:pPr>
              <w:ind w:left="20"/>
              <w:spacing w:after="0"/>
              <w:rPr>
                <w:sz w:val="20"/>
                <w:szCs w:val="20"/>
                <w:color w:val="auto"/>
              </w:rPr>
            </w:pPr>
            <w:r>
              <w:rPr>
                <w:rFonts w:ascii="Arial" w:cs="Arial" w:eastAsia="Arial" w:hAnsi="Arial"/>
                <w:sz w:val="14"/>
                <w:szCs w:val="14"/>
                <w:color w:val="auto"/>
              </w:rPr>
              <w:t>OCI</w:t>
            </w:r>
          </w:p>
        </w:tc>
        <w:tc>
          <w:tcPr>
            <w:tcW w:w="9140" w:type="dxa"/>
            <w:vAlign w:val="bottom"/>
            <w:shd w:val="clear" w:color="auto" w:fill="D4F1F5"/>
          </w:tcPr>
          <w:p>
            <w:pPr>
              <w:ind w:left="500"/>
              <w:spacing w:after="0"/>
              <w:rPr>
                <w:sz w:val="20"/>
                <w:szCs w:val="20"/>
                <w:color w:val="auto"/>
              </w:rPr>
            </w:pPr>
            <w:r>
              <w:rPr>
                <w:rFonts w:ascii="Arial" w:cs="Arial" w:eastAsia="Arial" w:hAnsi="Arial"/>
                <w:sz w:val="14"/>
                <w:szCs w:val="14"/>
                <w:color w:val="auto"/>
              </w:rPr>
              <w:t>other comprehensive income (loss)</w:t>
            </w:r>
          </w:p>
        </w:tc>
      </w:tr>
      <w:tr>
        <w:trPr>
          <w:trHeight w:val="199"/>
        </w:trPr>
        <w:tc>
          <w:tcPr>
            <w:tcW w:w="2100" w:type="dxa"/>
            <w:vAlign w:val="bottom"/>
          </w:tcPr>
          <w:p>
            <w:pPr>
              <w:ind w:left="20"/>
              <w:spacing w:after="0"/>
              <w:rPr>
                <w:sz w:val="20"/>
                <w:szCs w:val="20"/>
                <w:color w:val="auto"/>
              </w:rPr>
            </w:pPr>
            <w:r>
              <w:rPr>
                <w:rFonts w:ascii="Arial" w:cs="Arial" w:eastAsia="Arial" w:hAnsi="Arial"/>
                <w:sz w:val="14"/>
                <w:szCs w:val="14"/>
                <w:color w:val="auto"/>
              </w:rPr>
              <w:t>OEIS</w:t>
            </w:r>
          </w:p>
        </w:tc>
        <w:tc>
          <w:tcPr>
            <w:tcW w:w="9140" w:type="dxa"/>
            <w:vAlign w:val="bottom"/>
          </w:tcPr>
          <w:p>
            <w:pPr>
              <w:ind w:left="500"/>
              <w:spacing w:after="0"/>
              <w:rPr>
                <w:sz w:val="20"/>
                <w:szCs w:val="20"/>
                <w:color w:val="auto"/>
              </w:rPr>
            </w:pPr>
            <w:r>
              <w:rPr>
                <w:rFonts w:ascii="Arial" w:cs="Arial" w:eastAsia="Arial" w:hAnsi="Arial"/>
                <w:sz w:val="14"/>
                <w:szCs w:val="14"/>
                <w:color w:val="auto"/>
              </w:rPr>
              <w:t>Office of Energy Infrastructure Safety</w:t>
            </w:r>
          </w:p>
        </w:tc>
      </w:tr>
      <w:tr>
        <w:trPr>
          <w:trHeight w:val="206"/>
        </w:trPr>
        <w:tc>
          <w:tcPr>
            <w:tcW w:w="2100" w:type="dxa"/>
            <w:vAlign w:val="bottom"/>
            <w:shd w:val="clear" w:color="auto" w:fill="D4F1F5"/>
          </w:tcPr>
          <w:p>
            <w:pPr>
              <w:ind w:left="20"/>
              <w:spacing w:after="0"/>
              <w:rPr>
                <w:sz w:val="20"/>
                <w:szCs w:val="20"/>
                <w:color w:val="auto"/>
              </w:rPr>
            </w:pPr>
            <w:r>
              <w:rPr>
                <w:rFonts w:ascii="Arial" w:cs="Arial" w:eastAsia="Arial" w:hAnsi="Arial"/>
                <w:sz w:val="14"/>
                <w:szCs w:val="14"/>
                <w:color w:val="auto"/>
              </w:rPr>
              <w:t>Oncor</w:t>
            </w:r>
          </w:p>
        </w:tc>
        <w:tc>
          <w:tcPr>
            <w:tcW w:w="9140" w:type="dxa"/>
            <w:vAlign w:val="bottom"/>
            <w:shd w:val="clear" w:color="auto" w:fill="D4F1F5"/>
          </w:tcPr>
          <w:p>
            <w:pPr>
              <w:ind w:left="500"/>
              <w:spacing w:after="0"/>
              <w:rPr>
                <w:sz w:val="20"/>
                <w:szCs w:val="20"/>
                <w:color w:val="auto"/>
              </w:rPr>
            </w:pPr>
            <w:r>
              <w:rPr>
                <w:rFonts w:ascii="Arial" w:cs="Arial" w:eastAsia="Arial" w:hAnsi="Arial"/>
                <w:sz w:val="14"/>
                <w:szCs w:val="14"/>
                <w:color w:val="auto"/>
              </w:rPr>
              <w:t>Oncor Electric Delivery Company LLC</w:t>
            </w:r>
          </w:p>
        </w:tc>
      </w:tr>
      <w:tr>
        <w:trPr>
          <w:trHeight w:val="198"/>
        </w:trPr>
        <w:tc>
          <w:tcPr>
            <w:tcW w:w="2100" w:type="dxa"/>
            <w:vAlign w:val="bottom"/>
          </w:tcPr>
          <w:p>
            <w:pPr>
              <w:ind w:left="20"/>
              <w:spacing w:after="0"/>
              <w:rPr>
                <w:sz w:val="20"/>
                <w:szCs w:val="20"/>
                <w:color w:val="auto"/>
              </w:rPr>
            </w:pPr>
            <w:r>
              <w:rPr>
                <w:rFonts w:ascii="Arial" w:cs="Arial" w:eastAsia="Arial" w:hAnsi="Arial"/>
                <w:sz w:val="14"/>
                <w:szCs w:val="14"/>
                <w:color w:val="auto"/>
              </w:rPr>
              <w:t>Oncor Holdings</w:t>
            </w:r>
          </w:p>
        </w:tc>
        <w:tc>
          <w:tcPr>
            <w:tcW w:w="9140" w:type="dxa"/>
            <w:vAlign w:val="bottom"/>
          </w:tcPr>
          <w:p>
            <w:pPr>
              <w:ind w:left="500"/>
              <w:spacing w:after="0"/>
              <w:rPr>
                <w:sz w:val="20"/>
                <w:szCs w:val="20"/>
                <w:color w:val="auto"/>
              </w:rPr>
            </w:pPr>
            <w:r>
              <w:rPr>
                <w:rFonts w:ascii="Arial" w:cs="Arial" w:eastAsia="Arial" w:hAnsi="Arial"/>
                <w:sz w:val="14"/>
                <w:szCs w:val="14"/>
                <w:color w:val="auto"/>
              </w:rPr>
              <w:t>Oncor Electric Delivery Holdings Company LLC</w:t>
            </w:r>
          </w:p>
        </w:tc>
      </w:tr>
      <w:tr>
        <w:trPr>
          <w:trHeight w:val="207"/>
        </w:trPr>
        <w:tc>
          <w:tcPr>
            <w:tcW w:w="2100" w:type="dxa"/>
            <w:vAlign w:val="bottom"/>
            <w:shd w:val="clear" w:color="auto" w:fill="D4F1F5"/>
          </w:tcPr>
          <w:p>
            <w:pPr>
              <w:ind w:left="20"/>
              <w:spacing w:after="0"/>
              <w:rPr>
                <w:sz w:val="20"/>
                <w:szCs w:val="20"/>
                <w:color w:val="auto"/>
              </w:rPr>
            </w:pPr>
            <w:r>
              <w:rPr>
                <w:rFonts w:ascii="Arial" w:cs="Arial" w:eastAsia="Arial" w:hAnsi="Arial"/>
                <w:sz w:val="14"/>
                <w:szCs w:val="14"/>
                <w:color w:val="auto"/>
              </w:rPr>
              <w:t>Other Sempra</w:t>
            </w:r>
          </w:p>
        </w:tc>
        <w:tc>
          <w:tcPr>
            <w:tcW w:w="9140" w:type="dxa"/>
            <w:vAlign w:val="bottom"/>
            <w:shd w:val="clear" w:color="auto" w:fill="D4F1F5"/>
          </w:tcPr>
          <w:p>
            <w:pPr>
              <w:ind w:left="500"/>
              <w:spacing w:after="0"/>
              <w:rPr>
                <w:sz w:val="20"/>
                <w:szCs w:val="20"/>
                <w:color w:val="auto"/>
              </w:rPr>
            </w:pPr>
            <w:r>
              <w:rPr>
                <w:rFonts w:ascii="Arial" w:cs="Arial" w:eastAsia="Arial" w:hAnsi="Arial"/>
                <w:sz w:val="14"/>
                <w:szCs w:val="14"/>
                <w:color w:val="auto"/>
              </w:rPr>
              <w:t>All Sempra consolidated entities, except for SDG&amp;E and SoCalGas</w:t>
            </w:r>
          </w:p>
        </w:tc>
      </w:tr>
      <w:tr>
        <w:trPr>
          <w:trHeight w:val="198"/>
        </w:trPr>
        <w:tc>
          <w:tcPr>
            <w:tcW w:w="2100" w:type="dxa"/>
            <w:vAlign w:val="bottom"/>
          </w:tcPr>
          <w:p>
            <w:pPr>
              <w:ind w:left="20"/>
              <w:spacing w:after="0"/>
              <w:rPr>
                <w:sz w:val="20"/>
                <w:szCs w:val="20"/>
                <w:color w:val="auto"/>
              </w:rPr>
            </w:pPr>
            <w:r>
              <w:rPr>
                <w:rFonts w:ascii="Arial" w:cs="Arial" w:eastAsia="Arial" w:hAnsi="Arial"/>
                <w:sz w:val="14"/>
                <w:szCs w:val="14"/>
                <w:color w:val="auto"/>
              </w:rPr>
              <w:t>PA2 JVCo</w:t>
            </w:r>
          </w:p>
        </w:tc>
        <w:tc>
          <w:tcPr>
            <w:tcW w:w="9140" w:type="dxa"/>
            <w:vAlign w:val="bottom"/>
          </w:tcPr>
          <w:p>
            <w:pPr>
              <w:ind w:left="500"/>
              <w:spacing w:after="0"/>
              <w:rPr>
                <w:sz w:val="20"/>
                <w:szCs w:val="20"/>
                <w:color w:val="auto"/>
              </w:rPr>
            </w:pPr>
            <w:r>
              <w:rPr>
                <w:rFonts w:ascii="Arial" w:cs="Arial" w:eastAsia="Arial" w:hAnsi="Arial"/>
                <w:sz w:val="14"/>
                <w:szCs w:val="14"/>
                <w:color w:val="auto"/>
              </w:rPr>
              <w:t>a subsidiary of SI Partners that owns Port Arthur LNG II</w:t>
            </w:r>
          </w:p>
        </w:tc>
      </w:tr>
      <w:tr>
        <w:trPr>
          <w:trHeight w:val="207"/>
        </w:trPr>
        <w:tc>
          <w:tcPr>
            <w:tcW w:w="2100" w:type="dxa"/>
            <w:vAlign w:val="bottom"/>
            <w:shd w:val="clear" w:color="auto" w:fill="D4F1F5"/>
          </w:tcPr>
          <w:p>
            <w:pPr>
              <w:ind w:left="20"/>
              <w:spacing w:after="0"/>
              <w:rPr>
                <w:sz w:val="20"/>
                <w:szCs w:val="20"/>
                <w:color w:val="auto"/>
              </w:rPr>
            </w:pPr>
            <w:r>
              <w:rPr>
                <w:rFonts w:ascii="Arial" w:cs="Arial" w:eastAsia="Arial" w:hAnsi="Arial"/>
                <w:sz w:val="14"/>
                <w:szCs w:val="14"/>
                <w:color w:val="auto"/>
              </w:rPr>
              <w:t>PA LNG Phase 1 project</w:t>
            </w:r>
          </w:p>
        </w:tc>
        <w:tc>
          <w:tcPr>
            <w:tcW w:w="9140" w:type="dxa"/>
            <w:vAlign w:val="bottom"/>
            <w:shd w:val="clear" w:color="auto" w:fill="D4F1F5"/>
          </w:tcPr>
          <w:p>
            <w:pPr>
              <w:ind w:left="500"/>
              <w:spacing w:after="0"/>
              <w:rPr>
                <w:sz w:val="20"/>
                <w:szCs w:val="20"/>
                <w:color w:val="auto"/>
              </w:rPr>
            </w:pPr>
            <w:r>
              <w:rPr>
                <w:rFonts w:ascii="Arial" w:cs="Arial" w:eastAsia="Arial" w:hAnsi="Arial"/>
                <w:sz w:val="14"/>
                <w:szCs w:val="14"/>
                <w:color w:val="auto"/>
              </w:rPr>
              <w:t>initial phase of the Port Arthur LNG liquefaction project</w:t>
            </w:r>
          </w:p>
        </w:tc>
      </w:tr>
      <w:tr>
        <w:trPr>
          <w:trHeight w:val="198"/>
        </w:trPr>
        <w:tc>
          <w:tcPr>
            <w:tcW w:w="2100" w:type="dxa"/>
            <w:vAlign w:val="bottom"/>
          </w:tcPr>
          <w:p>
            <w:pPr>
              <w:ind w:left="20"/>
              <w:spacing w:after="0"/>
              <w:rPr>
                <w:sz w:val="20"/>
                <w:szCs w:val="20"/>
                <w:color w:val="auto"/>
              </w:rPr>
            </w:pPr>
            <w:r>
              <w:rPr>
                <w:rFonts w:ascii="Arial" w:cs="Arial" w:eastAsia="Arial" w:hAnsi="Arial"/>
                <w:sz w:val="14"/>
                <w:szCs w:val="14"/>
                <w:color w:val="auto"/>
              </w:rPr>
              <w:t>PA LNG Phase 2 project</w:t>
            </w:r>
          </w:p>
        </w:tc>
        <w:tc>
          <w:tcPr>
            <w:tcW w:w="9140" w:type="dxa"/>
            <w:vAlign w:val="bottom"/>
          </w:tcPr>
          <w:p>
            <w:pPr>
              <w:ind w:left="500"/>
              <w:spacing w:after="0"/>
              <w:rPr>
                <w:sz w:val="20"/>
                <w:szCs w:val="20"/>
                <w:color w:val="auto"/>
              </w:rPr>
            </w:pPr>
            <w:r>
              <w:rPr>
                <w:rFonts w:ascii="Arial" w:cs="Arial" w:eastAsia="Arial" w:hAnsi="Arial"/>
                <w:sz w:val="14"/>
                <w:szCs w:val="14"/>
                <w:color w:val="auto"/>
              </w:rPr>
              <w:t>second phase of the Port Arthur LNG liquefaction project</w:t>
            </w:r>
          </w:p>
        </w:tc>
      </w:tr>
      <w:tr>
        <w:trPr>
          <w:trHeight w:val="207"/>
        </w:trPr>
        <w:tc>
          <w:tcPr>
            <w:tcW w:w="2100" w:type="dxa"/>
            <w:vAlign w:val="bottom"/>
            <w:shd w:val="clear" w:color="auto" w:fill="D4F1F5"/>
          </w:tcPr>
          <w:p>
            <w:pPr>
              <w:ind w:left="20"/>
              <w:spacing w:after="0"/>
              <w:rPr>
                <w:sz w:val="20"/>
                <w:szCs w:val="20"/>
                <w:color w:val="auto"/>
              </w:rPr>
            </w:pPr>
            <w:r>
              <w:rPr>
                <w:rFonts w:ascii="Arial" w:cs="Arial" w:eastAsia="Arial" w:hAnsi="Arial"/>
                <w:sz w:val="14"/>
                <w:szCs w:val="14"/>
                <w:color w:val="auto"/>
              </w:rPr>
              <w:t>PBOP</w:t>
            </w:r>
          </w:p>
        </w:tc>
        <w:tc>
          <w:tcPr>
            <w:tcW w:w="9140" w:type="dxa"/>
            <w:vAlign w:val="bottom"/>
            <w:shd w:val="clear" w:color="auto" w:fill="D4F1F5"/>
          </w:tcPr>
          <w:p>
            <w:pPr>
              <w:ind w:left="500"/>
              <w:spacing w:after="0"/>
              <w:rPr>
                <w:sz w:val="20"/>
                <w:szCs w:val="20"/>
                <w:color w:val="auto"/>
              </w:rPr>
            </w:pPr>
            <w:r>
              <w:rPr>
                <w:rFonts w:ascii="Arial" w:cs="Arial" w:eastAsia="Arial" w:hAnsi="Arial"/>
                <w:sz w:val="14"/>
                <w:szCs w:val="14"/>
                <w:color w:val="auto"/>
              </w:rPr>
              <w:t>postretirement benefits other than pension</w:t>
            </w:r>
          </w:p>
        </w:tc>
      </w:tr>
      <w:tr>
        <w:trPr>
          <w:trHeight w:val="198"/>
        </w:trPr>
        <w:tc>
          <w:tcPr>
            <w:tcW w:w="2100" w:type="dxa"/>
            <w:vAlign w:val="bottom"/>
          </w:tcPr>
          <w:p>
            <w:pPr>
              <w:ind w:left="20"/>
              <w:spacing w:after="0"/>
              <w:rPr>
                <w:sz w:val="20"/>
                <w:szCs w:val="20"/>
                <w:color w:val="auto"/>
              </w:rPr>
            </w:pPr>
            <w:r>
              <w:rPr>
                <w:rFonts w:ascii="Arial" w:cs="Arial" w:eastAsia="Arial" w:hAnsi="Arial"/>
                <w:sz w:val="14"/>
                <w:szCs w:val="14"/>
                <w:color w:val="auto"/>
              </w:rPr>
              <w:t>PD</w:t>
            </w:r>
          </w:p>
        </w:tc>
        <w:tc>
          <w:tcPr>
            <w:tcW w:w="9140" w:type="dxa"/>
            <w:vAlign w:val="bottom"/>
          </w:tcPr>
          <w:p>
            <w:pPr>
              <w:ind w:left="500"/>
              <w:spacing w:after="0"/>
              <w:rPr>
                <w:sz w:val="20"/>
                <w:szCs w:val="20"/>
                <w:color w:val="auto"/>
              </w:rPr>
            </w:pPr>
            <w:r>
              <w:rPr>
                <w:rFonts w:ascii="Arial" w:cs="Arial" w:eastAsia="Arial" w:hAnsi="Arial"/>
                <w:sz w:val="14"/>
                <w:szCs w:val="14"/>
                <w:color w:val="auto"/>
              </w:rPr>
              <w:t>proposed decision</w:t>
            </w:r>
          </w:p>
        </w:tc>
      </w:tr>
      <w:tr>
        <w:trPr>
          <w:trHeight w:val="207"/>
        </w:trPr>
        <w:tc>
          <w:tcPr>
            <w:tcW w:w="2100" w:type="dxa"/>
            <w:vAlign w:val="bottom"/>
            <w:shd w:val="clear" w:color="auto" w:fill="D4F1F5"/>
          </w:tcPr>
          <w:p>
            <w:pPr>
              <w:ind w:left="20"/>
              <w:spacing w:after="0"/>
              <w:rPr>
                <w:sz w:val="20"/>
                <w:szCs w:val="20"/>
                <w:color w:val="auto"/>
              </w:rPr>
            </w:pPr>
            <w:r>
              <w:rPr>
                <w:rFonts w:ascii="Arial" w:cs="Arial" w:eastAsia="Arial" w:hAnsi="Arial"/>
                <w:sz w:val="14"/>
                <w:szCs w:val="14"/>
                <w:color w:val="auto"/>
              </w:rPr>
              <w:t>Port Arthur LNG I</w:t>
            </w:r>
          </w:p>
        </w:tc>
        <w:tc>
          <w:tcPr>
            <w:tcW w:w="9140" w:type="dxa"/>
            <w:vAlign w:val="bottom"/>
            <w:shd w:val="clear" w:color="auto" w:fill="D4F1F5"/>
          </w:tcPr>
          <w:p>
            <w:pPr>
              <w:ind w:left="500"/>
              <w:spacing w:after="0"/>
              <w:rPr>
                <w:sz w:val="20"/>
                <w:szCs w:val="20"/>
                <w:color w:val="auto"/>
              </w:rPr>
            </w:pPr>
            <w:r>
              <w:rPr>
                <w:rFonts w:ascii="Arial" w:cs="Arial" w:eastAsia="Arial" w:hAnsi="Arial"/>
                <w:sz w:val="14"/>
                <w:szCs w:val="14"/>
                <w:color w:val="auto"/>
              </w:rPr>
              <w:t>Port Arthur LNG, LLC, a subsidiary of SI Partners that owns the PA LNG Phase 1 project</w:t>
            </w:r>
          </w:p>
        </w:tc>
      </w:tr>
      <w:tr>
        <w:trPr>
          <w:trHeight w:val="198"/>
        </w:trPr>
        <w:tc>
          <w:tcPr>
            <w:tcW w:w="2100" w:type="dxa"/>
            <w:vAlign w:val="bottom"/>
          </w:tcPr>
          <w:p>
            <w:pPr>
              <w:ind w:left="20"/>
              <w:spacing w:after="0"/>
              <w:rPr>
                <w:sz w:val="20"/>
                <w:szCs w:val="20"/>
                <w:color w:val="auto"/>
              </w:rPr>
            </w:pPr>
            <w:r>
              <w:rPr>
                <w:rFonts w:ascii="Arial" w:cs="Arial" w:eastAsia="Arial" w:hAnsi="Arial"/>
                <w:sz w:val="14"/>
                <w:szCs w:val="14"/>
                <w:color w:val="auto"/>
              </w:rPr>
              <w:t>Port Arthur LNG II</w:t>
            </w:r>
          </w:p>
        </w:tc>
        <w:tc>
          <w:tcPr>
            <w:tcW w:w="9140" w:type="dxa"/>
            <w:vAlign w:val="bottom"/>
          </w:tcPr>
          <w:p>
            <w:pPr>
              <w:ind w:left="500"/>
              <w:spacing w:after="0"/>
              <w:rPr>
                <w:sz w:val="20"/>
                <w:szCs w:val="20"/>
                <w:color w:val="auto"/>
              </w:rPr>
            </w:pPr>
            <w:r>
              <w:rPr>
                <w:rFonts w:ascii="Arial" w:cs="Arial" w:eastAsia="Arial" w:hAnsi="Arial"/>
                <w:sz w:val="14"/>
                <w:szCs w:val="14"/>
                <w:color w:val="auto"/>
              </w:rPr>
              <w:t>Port Arthur LNG Phase II, LLC, a subsidiary of SI Partners that owns the PA LNG Phase 2 project</w:t>
            </w:r>
          </w:p>
        </w:tc>
      </w:tr>
      <w:tr>
        <w:trPr>
          <w:trHeight w:val="207"/>
        </w:trPr>
        <w:tc>
          <w:tcPr>
            <w:tcW w:w="2100" w:type="dxa"/>
            <w:vAlign w:val="bottom"/>
            <w:shd w:val="clear" w:color="auto" w:fill="D4F1F5"/>
          </w:tcPr>
          <w:p>
            <w:pPr>
              <w:ind w:left="20"/>
              <w:spacing w:after="0"/>
              <w:rPr>
                <w:sz w:val="20"/>
                <w:szCs w:val="20"/>
                <w:color w:val="auto"/>
              </w:rPr>
            </w:pPr>
            <w:r>
              <w:rPr>
                <w:rFonts w:ascii="Arial" w:cs="Arial" w:eastAsia="Arial" w:hAnsi="Arial"/>
                <w:sz w:val="14"/>
                <w:szCs w:val="14"/>
                <w:color w:val="auto"/>
              </w:rPr>
              <w:t>PP&amp;E</w:t>
            </w:r>
          </w:p>
        </w:tc>
        <w:tc>
          <w:tcPr>
            <w:tcW w:w="9140" w:type="dxa"/>
            <w:vAlign w:val="bottom"/>
            <w:shd w:val="clear" w:color="auto" w:fill="D4F1F5"/>
          </w:tcPr>
          <w:p>
            <w:pPr>
              <w:ind w:left="500"/>
              <w:spacing w:after="0"/>
              <w:rPr>
                <w:sz w:val="20"/>
                <w:szCs w:val="20"/>
                <w:color w:val="auto"/>
              </w:rPr>
            </w:pPr>
            <w:r>
              <w:rPr>
                <w:rFonts w:ascii="Arial" w:cs="Arial" w:eastAsia="Arial" w:hAnsi="Arial"/>
                <w:sz w:val="14"/>
                <w:szCs w:val="14"/>
                <w:color w:val="auto"/>
              </w:rPr>
              <w:t>property, plant and equipment</w:t>
            </w:r>
          </w:p>
        </w:tc>
      </w:tr>
      <w:tr>
        <w:trPr>
          <w:trHeight w:val="198"/>
        </w:trPr>
        <w:tc>
          <w:tcPr>
            <w:tcW w:w="2100" w:type="dxa"/>
            <w:vAlign w:val="bottom"/>
          </w:tcPr>
          <w:p>
            <w:pPr>
              <w:ind w:left="20"/>
              <w:spacing w:after="0"/>
              <w:rPr>
                <w:sz w:val="20"/>
                <w:szCs w:val="20"/>
                <w:color w:val="auto"/>
              </w:rPr>
            </w:pPr>
            <w:r>
              <w:rPr>
                <w:rFonts w:ascii="Arial" w:cs="Arial" w:eastAsia="Arial" w:hAnsi="Arial"/>
                <w:sz w:val="14"/>
                <w:szCs w:val="14"/>
                <w:color w:val="auto"/>
              </w:rPr>
              <w:t>PPA</w:t>
            </w:r>
          </w:p>
        </w:tc>
        <w:tc>
          <w:tcPr>
            <w:tcW w:w="9140" w:type="dxa"/>
            <w:vAlign w:val="bottom"/>
          </w:tcPr>
          <w:p>
            <w:pPr>
              <w:ind w:left="500"/>
              <w:spacing w:after="0"/>
              <w:rPr>
                <w:sz w:val="20"/>
                <w:szCs w:val="20"/>
                <w:color w:val="auto"/>
              </w:rPr>
            </w:pPr>
            <w:r>
              <w:rPr>
                <w:rFonts w:ascii="Arial" w:cs="Arial" w:eastAsia="Arial" w:hAnsi="Arial"/>
                <w:sz w:val="14"/>
                <w:szCs w:val="14"/>
                <w:color w:val="auto"/>
              </w:rPr>
              <w:t>power purchase agreement</w:t>
            </w:r>
          </w:p>
        </w:tc>
      </w:tr>
      <w:tr>
        <w:trPr>
          <w:trHeight w:val="207"/>
        </w:trPr>
        <w:tc>
          <w:tcPr>
            <w:tcW w:w="2100" w:type="dxa"/>
            <w:vAlign w:val="bottom"/>
            <w:shd w:val="clear" w:color="auto" w:fill="D4F1F5"/>
          </w:tcPr>
          <w:p>
            <w:pPr>
              <w:ind w:left="20"/>
              <w:spacing w:after="0"/>
              <w:rPr>
                <w:sz w:val="20"/>
                <w:szCs w:val="20"/>
                <w:color w:val="auto"/>
              </w:rPr>
            </w:pPr>
            <w:r>
              <w:rPr>
                <w:rFonts w:ascii="Arial" w:cs="Arial" w:eastAsia="Arial" w:hAnsi="Arial"/>
                <w:sz w:val="14"/>
                <w:szCs w:val="14"/>
                <w:color w:val="auto"/>
              </w:rPr>
              <w:t>PSEP</w:t>
            </w:r>
          </w:p>
        </w:tc>
        <w:tc>
          <w:tcPr>
            <w:tcW w:w="9140" w:type="dxa"/>
            <w:vAlign w:val="bottom"/>
            <w:shd w:val="clear" w:color="auto" w:fill="D4F1F5"/>
          </w:tcPr>
          <w:p>
            <w:pPr>
              <w:ind w:left="500"/>
              <w:spacing w:after="0"/>
              <w:rPr>
                <w:sz w:val="20"/>
                <w:szCs w:val="20"/>
                <w:color w:val="auto"/>
              </w:rPr>
            </w:pPr>
            <w:r>
              <w:rPr>
                <w:rFonts w:ascii="Arial" w:cs="Arial" w:eastAsia="Arial" w:hAnsi="Arial"/>
                <w:sz w:val="14"/>
                <w:szCs w:val="14"/>
                <w:color w:val="auto"/>
              </w:rPr>
              <w:t>Pipeline Safety Enhancement Plan</w:t>
            </w:r>
          </w:p>
        </w:tc>
      </w:tr>
      <w:tr>
        <w:trPr>
          <w:trHeight w:val="198"/>
        </w:trPr>
        <w:tc>
          <w:tcPr>
            <w:tcW w:w="2100" w:type="dxa"/>
            <w:vAlign w:val="bottom"/>
          </w:tcPr>
          <w:p>
            <w:pPr>
              <w:ind w:left="20"/>
              <w:spacing w:after="0"/>
              <w:rPr>
                <w:sz w:val="20"/>
                <w:szCs w:val="20"/>
                <w:color w:val="auto"/>
              </w:rPr>
            </w:pPr>
            <w:r>
              <w:rPr>
                <w:rFonts w:ascii="Arial" w:cs="Arial" w:eastAsia="Arial" w:hAnsi="Arial"/>
                <w:sz w:val="14"/>
                <w:szCs w:val="14"/>
                <w:color w:val="auto"/>
              </w:rPr>
              <w:t>PUCT</w:t>
            </w:r>
          </w:p>
        </w:tc>
        <w:tc>
          <w:tcPr>
            <w:tcW w:w="9140" w:type="dxa"/>
            <w:vAlign w:val="bottom"/>
          </w:tcPr>
          <w:p>
            <w:pPr>
              <w:ind w:left="500"/>
              <w:spacing w:after="0"/>
              <w:rPr>
                <w:sz w:val="20"/>
                <w:szCs w:val="20"/>
                <w:color w:val="auto"/>
              </w:rPr>
            </w:pPr>
            <w:r>
              <w:rPr>
                <w:rFonts w:ascii="Arial" w:cs="Arial" w:eastAsia="Arial" w:hAnsi="Arial"/>
                <w:sz w:val="14"/>
                <w:szCs w:val="14"/>
                <w:color w:val="auto"/>
              </w:rPr>
              <w:t>Public Utility Commission of Texas</w:t>
            </w:r>
          </w:p>
        </w:tc>
      </w:tr>
      <w:tr>
        <w:trPr>
          <w:trHeight w:val="157"/>
        </w:trPr>
        <w:tc>
          <w:tcPr>
            <w:tcW w:w="2100" w:type="dxa"/>
            <w:vAlign w:val="bottom"/>
            <w:shd w:val="clear" w:color="auto" w:fill="D4F1F5"/>
          </w:tcPr>
          <w:p>
            <w:pPr>
              <w:ind w:left="20"/>
              <w:spacing w:after="0" w:line="157" w:lineRule="exact"/>
              <w:rPr>
                <w:sz w:val="20"/>
                <w:szCs w:val="20"/>
                <w:color w:val="auto"/>
              </w:rPr>
            </w:pPr>
            <w:r>
              <w:rPr>
                <w:rFonts w:ascii="Arial" w:cs="Arial" w:eastAsia="Arial" w:hAnsi="Arial"/>
                <w:sz w:val="14"/>
                <w:szCs w:val="14"/>
                <w:color w:val="auto"/>
              </w:rPr>
              <w:t>Registrants</w:t>
            </w:r>
          </w:p>
        </w:tc>
        <w:tc>
          <w:tcPr>
            <w:tcW w:w="9140" w:type="dxa"/>
            <w:vAlign w:val="bottom"/>
            <w:shd w:val="clear" w:color="auto" w:fill="D4F1F5"/>
          </w:tcPr>
          <w:p>
            <w:pPr>
              <w:ind w:left="500"/>
              <w:spacing w:after="0" w:line="157" w:lineRule="exact"/>
              <w:rPr>
                <w:sz w:val="20"/>
                <w:szCs w:val="20"/>
                <w:color w:val="auto"/>
              </w:rPr>
            </w:pPr>
            <w:r>
              <w:rPr>
                <w:rFonts w:ascii="Arial" w:cs="Arial" w:eastAsia="Arial" w:hAnsi="Arial"/>
                <w:sz w:val="14"/>
                <w:szCs w:val="14"/>
                <w:color w:val="auto"/>
              </w:rPr>
              <w:t>has the meaning set forth in Rule 12b-2 under the Exchange Act and consists of Sempra, SDG&amp;E and SoCalGas for purposes of this</w:t>
            </w:r>
          </w:p>
        </w:tc>
      </w:tr>
      <w:tr>
        <w:trPr>
          <w:trHeight w:val="185"/>
        </w:trPr>
        <w:tc>
          <w:tcPr>
            <w:tcW w:w="2100" w:type="dxa"/>
            <w:vAlign w:val="bottom"/>
            <w:shd w:val="clear" w:color="auto" w:fill="D4F1F5"/>
          </w:tcPr>
          <w:p>
            <w:pPr>
              <w:spacing w:after="0"/>
              <w:rPr>
                <w:sz w:val="16"/>
                <w:szCs w:val="16"/>
                <w:color w:val="auto"/>
              </w:rPr>
            </w:pPr>
          </w:p>
        </w:tc>
        <w:tc>
          <w:tcPr>
            <w:tcW w:w="9140" w:type="dxa"/>
            <w:vAlign w:val="bottom"/>
            <w:shd w:val="clear" w:color="auto" w:fill="D4F1F5"/>
          </w:tcPr>
          <w:p>
            <w:pPr>
              <w:ind w:left="500"/>
              <w:spacing w:after="0"/>
              <w:rPr>
                <w:sz w:val="20"/>
                <w:szCs w:val="20"/>
                <w:color w:val="auto"/>
              </w:rPr>
            </w:pPr>
            <w:r>
              <w:rPr>
                <w:rFonts w:ascii="Arial" w:cs="Arial" w:eastAsia="Arial" w:hAnsi="Arial"/>
                <w:sz w:val="14"/>
                <w:szCs w:val="14"/>
                <w:color w:val="auto"/>
              </w:rPr>
              <w:t>report</w:t>
            </w:r>
          </w:p>
        </w:tc>
      </w:tr>
      <w:tr>
        <w:trPr>
          <w:trHeight w:val="198"/>
        </w:trPr>
        <w:tc>
          <w:tcPr>
            <w:tcW w:w="2100" w:type="dxa"/>
            <w:vAlign w:val="bottom"/>
          </w:tcPr>
          <w:p>
            <w:pPr>
              <w:ind w:left="20"/>
              <w:spacing w:after="0"/>
              <w:rPr>
                <w:sz w:val="20"/>
                <w:szCs w:val="20"/>
                <w:color w:val="auto"/>
              </w:rPr>
            </w:pPr>
            <w:r>
              <w:rPr>
                <w:rFonts w:ascii="Arial" w:cs="Arial" w:eastAsia="Arial" w:hAnsi="Arial"/>
                <w:sz w:val="14"/>
                <w:szCs w:val="14"/>
                <w:color w:val="auto"/>
              </w:rPr>
              <w:t>ROE</w:t>
            </w:r>
          </w:p>
        </w:tc>
        <w:tc>
          <w:tcPr>
            <w:tcW w:w="9140" w:type="dxa"/>
            <w:vAlign w:val="bottom"/>
          </w:tcPr>
          <w:p>
            <w:pPr>
              <w:ind w:left="500"/>
              <w:spacing w:after="0"/>
              <w:rPr>
                <w:sz w:val="20"/>
                <w:szCs w:val="20"/>
                <w:color w:val="auto"/>
              </w:rPr>
            </w:pPr>
            <w:r>
              <w:rPr>
                <w:rFonts w:ascii="Arial" w:cs="Arial" w:eastAsia="Arial" w:hAnsi="Arial"/>
                <w:sz w:val="14"/>
                <w:szCs w:val="14"/>
                <w:color w:val="auto"/>
              </w:rPr>
              <w:t>return on equity</w:t>
            </w:r>
          </w:p>
        </w:tc>
      </w:tr>
      <w:tr>
        <w:trPr>
          <w:trHeight w:val="207"/>
        </w:trPr>
        <w:tc>
          <w:tcPr>
            <w:tcW w:w="2100" w:type="dxa"/>
            <w:vAlign w:val="bottom"/>
            <w:shd w:val="clear" w:color="auto" w:fill="D4F1F5"/>
          </w:tcPr>
          <w:p>
            <w:pPr>
              <w:ind w:left="20"/>
              <w:spacing w:after="0"/>
              <w:rPr>
                <w:sz w:val="20"/>
                <w:szCs w:val="20"/>
                <w:color w:val="auto"/>
              </w:rPr>
            </w:pPr>
            <w:r>
              <w:rPr>
                <w:rFonts w:ascii="Arial" w:cs="Arial" w:eastAsia="Arial" w:hAnsi="Arial"/>
                <w:sz w:val="14"/>
                <w:szCs w:val="14"/>
                <w:color w:val="auto"/>
              </w:rPr>
              <w:t>RSU</w:t>
            </w:r>
          </w:p>
        </w:tc>
        <w:tc>
          <w:tcPr>
            <w:tcW w:w="9140" w:type="dxa"/>
            <w:vAlign w:val="bottom"/>
            <w:shd w:val="clear" w:color="auto" w:fill="D4F1F5"/>
          </w:tcPr>
          <w:p>
            <w:pPr>
              <w:ind w:left="500"/>
              <w:spacing w:after="0"/>
              <w:rPr>
                <w:sz w:val="20"/>
                <w:szCs w:val="20"/>
                <w:color w:val="auto"/>
              </w:rPr>
            </w:pPr>
            <w:r>
              <w:rPr>
                <w:rFonts w:ascii="Arial" w:cs="Arial" w:eastAsia="Arial" w:hAnsi="Arial"/>
                <w:sz w:val="14"/>
                <w:szCs w:val="14"/>
                <w:color w:val="auto"/>
              </w:rPr>
              <w:t>restricted stock unit</w:t>
            </w:r>
          </w:p>
        </w:tc>
      </w:tr>
      <w:tr>
        <w:trPr>
          <w:trHeight w:val="198"/>
        </w:trPr>
        <w:tc>
          <w:tcPr>
            <w:tcW w:w="2100" w:type="dxa"/>
            <w:vAlign w:val="bottom"/>
          </w:tcPr>
          <w:p>
            <w:pPr>
              <w:ind w:left="20"/>
              <w:spacing w:after="0"/>
              <w:rPr>
                <w:sz w:val="20"/>
                <w:szCs w:val="20"/>
                <w:color w:val="auto"/>
              </w:rPr>
            </w:pPr>
            <w:r>
              <w:rPr>
                <w:rFonts w:ascii="Arial" w:cs="Arial" w:eastAsia="Arial" w:hAnsi="Arial"/>
                <w:sz w:val="14"/>
                <w:szCs w:val="14"/>
                <w:color w:val="auto"/>
              </w:rPr>
              <w:t>S&amp;P</w:t>
            </w:r>
          </w:p>
        </w:tc>
        <w:tc>
          <w:tcPr>
            <w:tcW w:w="9140" w:type="dxa"/>
            <w:vAlign w:val="bottom"/>
          </w:tcPr>
          <w:p>
            <w:pPr>
              <w:ind w:left="500"/>
              <w:spacing w:after="0"/>
              <w:rPr>
                <w:sz w:val="20"/>
                <w:szCs w:val="20"/>
                <w:color w:val="auto"/>
              </w:rPr>
            </w:pPr>
            <w:r>
              <w:rPr>
                <w:rFonts w:ascii="Arial" w:cs="Arial" w:eastAsia="Arial" w:hAnsi="Arial"/>
                <w:sz w:val="14"/>
                <w:szCs w:val="14"/>
                <w:color w:val="auto"/>
              </w:rPr>
              <w:t>S&amp;P Global Ratings, a division of S&amp;P Global Inc.</w:t>
            </w:r>
          </w:p>
        </w:tc>
      </w:tr>
      <w:tr>
        <w:trPr>
          <w:trHeight w:val="157"/>
        </w:trPr>
        <w:tc>
          <w:tcPr>
            <w:tcW w:w="2100" w:type="dxa"/>
            <w:vAlign w:val="bottom"/>
            <w:shd w:val="clear" w:color="auto" w:fill="D4F1F5"/>
          </w:tcPr>
          <w:p>
            <w:pPr>
              <w:ind w:left="20"/>
              <w:spacing w:after="0" w:line="157" w:lineRule="exact"/>
              <w:rPr>
                <w:sz w:val="20"/>
                <w:szCs w:val="20"/>
                <w:color w:val="auto"/>
              </w:rPr>
            </w:pPr>
            <w:r>
              <w:rPr>
                <w:rFonts w:ascii="Arial" w:cs="Arial" w:eastAsia="Arial" w:hAnsi="Arial"/>
                <w:sz w:val="14"/>
                <w:szCs w:val="14"/>
                <w:color w:val="auto"/>
              </w:rPr>
              <w:t>Sales Agreement</w:t>
            </w:r>
          </w:p>
        </w:tc>
        <w:tc>
          <w:tcPr>
            <w:tcW w:w="9140" w:type="dxa"/>
            <w:vAlign w:val="bottom"/>
            <w:shd w:val="clear" w:color="auto" w:fill="D4F1F5"/>
          </w:tcPr>
          <w:p>
            <w:pPr>
              <w:ind w:left="500"/>
              <w:spacing w:after="0" w:line="157" w:lineRule="exact"/>
              <w:rPr>
                <w:sz w:val="20"/>
                <w:szCs w:val="20"/>
                <w:color w:val="auto"/>
              </w:rPr>
            </w:pPr>
            <w:r>
              <w:rPr>
                <w:rFonts w:ascii="Arial" w:cs="Arial" w:eastAsia="Arial" w:hAnsi="Arial"/>
                <w:sz w:val="14"/>
                <w:szCs w:val="14"/>
                <w:color w:val="auto"/>
              </w:rPr>
              <w:t>ATM Equity Offering Sales Agreement, dated November 6, 2024 and amended May 6, 2026, among Sempra and Barclays Capital Inc.,</w:t>
            </w:r>
          </w:p>
        </w:tc>
      </w:tr>
      <w:tr>
        <w:trPr>
          <w:trHeight w:val="144"/>
        </w:trPr>
        <w:tc>
          <w:tcPr>
            <w:tcW w:w="2100" w:type="dxa"/>
            <w:vAlign w:val="bottom"/>
            <w:shd w:val="clear" w:color="auto" w:fill="D4F1F5"/>
          </w:tcPr>
          <w:p>
            <w:pPr>
              <w:spacing w:after="0"/>
              <w:rPr>
                <w:sz w:val="12"/>
                <w:szCs w:val="12"/>
                <w:color w:val="auto"/>
              </w:rPr>
            </w:pPr>
          </w:p>
        </w:tc>
        <w:tc>
          <w:tcPr>
            <w:tcW w:w="9140" w:type="dxa"/>
            <w:vAlign w:val="bottom"/>
            <w:shd w:val="clear" w:color="auto" w:fill="D4F1F5"/>
          </w:tcPr>
          <w:p>
            <w:pPr>
              <w:ind w:left="500"/>
              <w:spacing w:after="0" w:line="145" w:lineRule="exact"/>
              <w:rPr>
                <w:sz w:val="20"/>
                <w:szCs w:val="20"/>
                <w:color w:val="auto"/>
              </w:rPr>
            </w:pPr>
            <w:r>
              <w:rPr>
                <w:rFonts w:ascii="Arial" w:cs="Arial" w:eastAsia="Arial" w:hAnsi="Arial"/>
                <w:sz w:val="14"/>
                <w:szCs w:val="14"/>
                <w:color w:val="auto"/>
              </w:rPr>
              <w:t>BMO Capital Markets Corp., BNP Paribas Securities Corp., BofA Securities, Inc., Citigroup Global Markets Inc., Credit Agricole</w:t>
            </w:r>
          </w:p>
        </w:tc>
      </w:tr>
      <w:tr>
        <w:trPr>
          <w:trHeight w:val="139"/>
        </w:trPr>
        <w:tc>
          <w:tcPr>
            <w:tcW w:w="2100" w:type="dxa"/>
            <w:vAlign w:val="bottom"/>
            <w:shd w:val="clear" w:color="auto" w:fill="D4F1F5"/>
          </w:tcPr>
          <w:p>
            <w:pPr>
              <w:spacing w:after="0"/>
              <w:rPr>
                <w:sz w:val="12"/>
                <w:szCs w:val="12"/>
                <w:color w:val="auto"/>
              </w:rPr>
            </w:pPr>
          </w:p>
        </w:tc>
        <w:tc>
          <w:tcPr>
            <w:tcW w:w="9140" w:type="dxa"/>
            <w:vAlign w:val="bottom"/>
            <w:shd w:val="clear" w:color="auto" w:fill="D4F1F5"/>
          </w:tcPr>
          <w:p>
            <w:pPr>
              <w:ind w:left="500"/>
              <w:spacing w:after="0" w:line="139" w:lineRule="exact"/>
              <w:rPr>
                <w:sz w:val="20"/>
                <w:szCs w:val="20"/>
                <w:color w:val="auto"/>
              </w:rPr>
            </w:pPr>
            <w:r>
              <w:rPr>
                <w:rFonts w:ascii="Arial" w:cs="Arial" w:eastAsia="Arial" w:hAnsi="Arial"/>
                <w:sz w:val="14"/>
                <w:szCs w:val="14"/>
                <w:color w:val="auto"/>
              </w:rPr>
              <w:t>Securities (USA) Inc., Goldman Sachs &amp; Co. LLC, J.P. Morgan Securities LLC, Mizuho Securities USA LLC, Morgan Stanley &amp; Co.</w:t>
            </w:r>
          </w:p>
        </w:tc>
      </w:tr>
      <w:tr>
        <w:trPr>
          <w:trHeight w:val="149"/>
        </w:trPr>
        <w:tc>
          <w:tcPr>
            <w:tcW w:w="2100" w:type="dxa"/>
            <w:vAlign w:val="bottom"/>
            <w:shd w:val="clear" w:color="auto" w:fill="D4F1F5"/>
          </w:tcPr>
          <w:p>
            <w:pPr>
              <w:spacing w:after="0"/>
              <w:rPr>
                <w:sz w:val="12"/>
                <w:szCs w:val="12"/>
                <w:color w:val="auto"/>
              </w:rPr>
            </w:pPr>
          </w:p>
        </w:tc>
        <w:tc>
          <w:tcPr>
            <w:tcW w:w="9140" w:type="dxa"/>
            <w:vAlign w:val="bottom"/>
            <w:shd w:val="clear" w:color="auto" w:fill="D4F1F5"/>
          </w:tcPr>
          <w:p>
            <w:pPr>
              <w:ind w:left="500"/>
              <w:spacing w:after="0" w:line="149" w:lineRule="exact"/>
              <w:rPr>
                <w:sz w:val="20"/>
                <w:szCs w:val="20"/>
                <w:color w:val="auto"/>
              </w:rPr>
            </w:pPr>
            <w:r>
              <w:rPr>
                <w:rFonts w:ascii="Arial" w:cs="Arial" w:eastAsia="Arial" w:hAnsi="Arial"/>
                <w:sz w:val="14"/>
                <w:szCs w:val="14"/>
                <w:color w:val="auto"/>
              </w:rPr>
              <w:t>LLC, MUFG Securities Americas Inc., RBC Capital Markets, LLC, Scotia Capital (USA) Inc., Truist Securities, Inc. and Wells Fargo</w:t>
            </w:r>
          </w:p>
        </w:tc>
      </w:tr>
      <w:tr>
        <w:trPr>
          <w:trHeight w:val="144"/>
        </w:trPr>
        <w:tc>
          <w:tcPr>
            <w:tcW w:w="2100" w:type="dxa"/>
            <w:vAlign w:val="bottom"/>
            <w:shd w:val="clear" w:color="auto" w:fill="D4F1F5"/>
          </w:tcPr>
          <w:p>
            <w:pPr>
              <w:spacing w:after="0"/>
              <w:rPr>
                <w:sz w:val="12"/>
                <w:szCs w:val="12"/>
                <w:color w:val="auto"/>
              </w:rPr>
            </w:pPr>
          </w:p>
        </w:tc>
        <w:tc>
          <w:tcPr>
            <w:tcW w:w="9140" w:type="dxa"/>
            <w:vAlign w:val="bottom"/>
            <w:shd w:val="clear" w:color="auto" w:fill="D4F1F5"/>
          </w:tcPr>
          <w:p>
            <w:pPr>
              <w:ind w:left="500"/>
              <w:spacing w:after="0" w:line="145" w:lineRule="exact"/>
              <w:rPr>
                <w:sz w:val="20"/>
                <w:szCs w:val="20"/>
                <w:color w:val="auto"/>
              </w:rPr>
            </w:pPr>
            <w:r>
              <w:rPr>
                <w:rFonts w:ascii="Arial" w:cs="Arial" w:eastAsia="Arial" w:hAnsi="Arial"/>
                <w:sz w:val="14"/>
                <w:szCs w:val="14"/>
                <w:color w:val="auto"/>
              </w:rPr>
              <w:t>Securities, LLC (each a sales agent or forward seller) and Barclays Bank PLC, Bank of Montreal, BNP Paribas, Bank of America, N.A.,</w:t>
            </w:r>
          </w:p>
        </w:tc>
      </w:tr>
      <w:tr>
        <w:trPr>
          <w:trHeight w:val="139"/>
        </w:trPr>
        <w:tc>
          <w:tcPr>
            <w:tcW w:w="2100" w:type="dxa"/>
            <w:vAlign w:val="bottom"/>
            <w:shd w:val="clear" w:color="auto" w:fill="D4F1F5"/>
          </w:tcPr>
          <w:p>
            <w:pPr>
              <w:spacing w:after="0"/>
              <w:rPr>
                <w:sz w:val="12"/>
                <w:szCs w:val="12"/>
                <w:color w:val="auto"/>
              </w:rPr>
            </w:pPr>
          </w:p>
        </w:tc>
        <w:tc>
          <w:tcPr>
            <w:tcW w:w="9140" w:type="dxa"/>
            <w:vAlign w:val="bottom"/>
            <w:shd w:val="clear" w:color="auto" w:fill="D4F1F5"/>
          </w:tcPr>
          <w:p>
            <w:pPr>
              <w:ind w:left="500"/>
              <w:spacing w:after="0" w:line="139" w:lineRule="exact"/>
              <w:rPr>
                <w:sz w:val="20"/>
                <w:szCs w:val="20"/>
                <w:color w:val="auto"/>
              </w:rPr>
            </w:pPr>
            <w:r>
              <w:rPr>
                <w:rFonts w:ascii="Arial" w:cs="Arial" w:eastAsia="Arial" w:hAnsi="Arial"/>
                <w:sz w:val="14"/>
                <w:szCs w:val="14"/>
                <w:color w:val="auto"/>
              </w:rPr>
              <w:t>Citibank, N.A., Crédit Agricole Corporate and Investment Bank, Goldman Sachs &amp; Co. LLC, JPMorgan Chase Bank, National</w:t>
            </w:r>
          </w:p>
        </w:tc>
      </w:tr>
      <w:tr>
        <w:trPr>
          <w:trHeight w:val="148"/>
        </w:trPr>
        <w:tc>
          <w:tcPr>
            <w:tcW w:w="2100" w:type="dxa"/>
            <w:vAlign w:val="bottom"/>
            <w:shd w:val="clear" w:color="auto" w:fill="D4F1F5"/>
          </w:tcPr>
          <w:p>
            <w:pPr>
              <w:spacing w:after="0"/>
              <w:rPr>
                <w:sz w:val="12"/>
                <w:szCs w:val="12"/>
                <w:color w:val="auto"/>
              </w:rPr>
            </w:pPr>
          </w:p>
        </w:tc>
        <w:tc>
          <w:tcPr>
            <w:tcW w:w="9140" w:type="dxa"/>
            <w:vAlign w:val="bottom"/>
            <w:shd w:val="clear" w:color="auto" w:fill="D4F1F5"/>
          </w:tcPr>
          <w:p>
            <w:pPr>
              <w:ind w:left="500"/>
              <w:spacing w:after="0" w:line="149" w:lineRule="exact"/>
              <w:rPr>
                <w:sz w:val="20"/>
                <w:szCs w:val="20"/>
                <w:color w:val="auto"/>
              </w:rPr>
            </w:pPr>
            <w:r>
              <w:rPr>
                <w:rFonts w:ascii="Arial" w:cs="Arial" w:eastAsia="Arial" w:hAnsi="Arial"/>
                <w:sz w:val="14"/>
                <w:szCs w:val="14"/>
                <w:color w:val="auto"/>
              </w:rPr>
              <w:t>Association, Mizuho Markets Americas LLC, Morgan Stanley &amp; Co. LLC, MUFG Securities EMEA plc, Royal Bank of Canada, The</w:t>
            </w:r>
          </w:p>
        </w:tc>
      </w:tr>
      <w:tr>
        <w:trPr>
          <w:trHeight w:val="144"/>
        </w:trPr>
        <w:tc>
          <w:tcPr>
            <w:tcW w:w="2100" w:type="dxa"/>
            <w:vAlign w:val="bottom"/>
            <w:shd w:val="clear" w:color="auto" w:fill="D4F1F5"/>
          </w:tcPr>
          <w:p>
            <w:pPr>
              <w:spacing w:after="0"/>
              <w:rPr>
                <w:sz w:val="12"/>
                <w:szCs w:val="12"/>
                <w:color w:val="auto"/>
              </w:rPr>
            </w:pPr>
          </w:p>
        </w:tc>
        <w:tc>
          <w:tcPr>
            <w:tcW w:w="9140" w:type="dxa"/>
            <w:vAlign w:val="bottom"/>
            <w:shd w:val="clear" w:color="auto" w:fill="D4F1F5"/>
          </w:tcPr>
          <w:p>
            <w:pPr>
              <w:ind w:left="500"/>
              <w:spacing w:after="0" w:line="145" w:lineRule="exact"/>
              <w:rPr>
                <w:sz w:val="20"/>
                <w:szCs w:val="20"/>
                <w:color w:val="auto"/>
              </w:rPr>
            </w:pPr>
            <w:r>
              <w:rPr>
                <w:rFonts w:ascii="Arial" w:cs="Arial" w:eastAsia="Arial" w:hAnsi="Arial"/>
                <w:sz w:val="14"/>
                <w:szCs w:val="14"/>
                <w:color w:val="auto"/>
              </w:rPr>
              <w:t>Bank of Nova Scotia, Truist Bank and Wells Fargo Bank, National Association, or one of their respective affiliates (each a forward</w:t>
            </w:r>
          </w:p>
        </w:tc>
      </w:tr>
      <w:tr>
        <w:trPr>
          <w:trHeight w:val="189"/>
        </w:trPr>
        <w:tc>
          <w:tcPr>
            <w:tcW w:w="2100" w:type="dxa"/>
            <w:vAlign w:val="bottom"/>
            <w:shd w:val="clear" w:color="auto" w:fill="D4F1F5"/>
          </w:tcPr>
          <w:p>
            <w:pPr>
              <w:spacing w:after="0"/>
              <w:rPr>
                <w:sz w:val="16"/>
                <w:szCs w:val="16"/>
                <w:color w:val="auto"/>
              </w:rPr>
            </w:pPr>
          </w:p>
        </w:tc>
        <w:tc>
          <w:tcPr>
            <w:tcW w:w="9140" w:type="dxa"/>
            <w:vAlign w:val="bottom"/>
            <w:shd w:val="clear" w:color="auto" w:fill="D4F1F5"/>
          </w:tcPr>
          <w:p>
            <w:pPr>
              <w:ind w:left="500"/>
              <w:spacing w:after="0"/>
              <w:rPr>
                <w:sz w:val="20"/>
                <w:szCs w:val="20"/>
                <w:color w:val="auto"/>
              </w:rPr>
            </w:pPr>
            <w:r>
              <w:rPr>
                <w:rFonts w:ascii="Arial" w:cs="Arial" w:eastAsia="Arial" w:hAnsi="Arial"/>
                <w:sz w:val="14"/>
                <w:szCs w:val="14"/>
                <w:color w:val="auto"/>
              </w:rPr>
              <w:t>purchaser)</w:t>
            </w:r>
          </w:p>
        </w:tc>
      </w:tr>
      <w:tr>
        <w:trPr>
          <w:trHeight w:val="198"/>
        </w:trPr>
        <w:tc>
          <w:tcPr>
            <w:tcW w:w="2100" w:type="dxa"/>
            <w:vAlign w:val="bottom"/>
          </w:tcPr>
          <w:p>
            <w:pPr>
              <w:ind w:left="20"/>
              <w:spacing w:after="0"/>
              <w:rPr>
                <w:sz w:val="20"/>
                <w:szCs w:val="20"/>
                <w:color w:val="auto"/>
              </w:rPr>
            </w:pPr>
            <w:r>
              <w:rPr>
                <w:rFonts w:ascii="Arial" w:cs="Arial" w:eastAsia="Arial" w:hAnsi="Arial"/>
                <w:sz w:val="14"/>
                <w:szCs w:val="14"/>
                <w:color w:val="auto"/>
              </w:rPr>
              <w:t>SDG&amp;E</w:t>
            </w:r>
          </w:p>
        </w:tc>
        <w:tc>
          <w:tcPr>
            <w:tcW w:w="9140" w:type="dxa"/>
            <w:vAlign w:val="bottom"/>
          </w:tcPr>
          <w:p>
            <w:pPr>
              <w:ind w:left="500"/>
              <w:spacing w:after="0"/>
              <w:rPr>
                <w:sz w:val="20"/>
                <w:szCs w:val="20"/>
                <w:color w:val="auto"/>
              </w:rPr>
            </w:pPr>
            <w:r>
              <w:rPr>
                <w:rFonts w:ascii="Arial" w:cs="Arial" w:eastAsia="Arial" w:hAnsi="Arial"/>
                <w:sz w:val="14"/>
                <w:szCs w:val="14"/>
                <w:color w:val="auto"/>
              </w:rPr>
              <w:t>San Diego Gas &amp; Electric Company</w:t>
            </w:r>
          </w:p>
        </w:tc>
      </w:tr>
      <w:tr>
        <w:trPr>
          <w:trHeight w:val="207"/>
        </w:trPr>
        <w:tc>
          <w:tcPr>
            <w:tcW w:w="2100" w:type="dxa"/>
            <w:vAlign w:val="bottom"/>
            <w:shd w:val="clear" w:color="auto" w:fill="D4F1F5"/>
          </w:tcPr>
          <w:p>
            <w:pPr>
              <w:ind w:left="20"/>
              <w:spacing w:after="0"/>
              <w:rPr>
                <w:sz w:val="20"/>
                <w:szCs w:val="20"/>
                <w:color w:val="auto"/>
              </w:rPr>
            </w:pPr>
            <w:r>
              <w:rPr>
                <w:rFonts w:ascii="Arial" w:cs="Arial" w:eastAsia="Arial" w:hAnsi="Arial"/>
                <w:sz w:val="14"/>
                <w:szCs w:val="14"/>
                <w:color w:val="auto"/>
              </w:rPr>
              <w:t>SDSRA</w:t>
            </w:r>
          </w:p>
        </w:tc>
        <w:tc>
          <w:tcPr>
            <w:tcW w:w="9140" w:type="dxa"/>
            <w:vAlign w:val="bottom"/>
            <w:shd w:val="clear" w:color="auto" w:fill="D4F1F5"/>
          </w:tcPr>
          <w:p>
            <w:pPr>
              <w:ind w:left="500"/>
              <w:spacing w:after="0"/>
              <w:rPr>
                <w:sz w:val="20"/>
                <w:szCs w:val="20"/>
                <w:color w:val="auto"/>
              </w:rPr>
            </w:pPr>
            <w:r>
              <w:rPr>
                <w:rFonts w:ascii="Arial" w:cs="Arial" w:eastAsia="Arial" w:hAnsi="Arial"/>
                <w:sz w:val="14"/>
                <w:szCs w:val="14"/>
                <w:color w:val="auto"/>
              </w:rPr>
              <w:t>Senior Debt Service Reserve Account</w:t>
            </w:r>
          </w:p>
        </w:tc>
      </w:tr>
      <w:tr>
        <w:trPr>
          <w:trHeight w:val="198"/>
        </w:trPr>
        <w:tc>
          <w:tcPr>
            <w:tcW w:w="2100" w:type="dxa"/>
            <w:vAlign w:val="bottom"/>
          </w:tcPr>
          <w:p>
            <w:pPr>
              <w:ind w:left="20"/>
              <w:spacing w:after="0"/>
              <w:rPr>
                <w:sz w:val="20"/>
                <w:szCs w:val="20"/>
                <w:color w:val="auto"/>
              </w:rPr>
            </w:pPr>
            <w:r>
              <w:rPr>
                <w:rFonts w:ascii="Arial" w:cs="Arial" w:eastAsia="Arial" w:hAnsi="Arial"/>
                <w:sz w:val="14"/>
                <w:szCs w:val="14"/>
                <w:color w:val="auto"/>
              </w:rPr>
              <w:t>SEC</w:t>
            </w:r>
          </w:p>
        </w:tc>
        <w:tc>
          <w:tcPr>
            <w:tcW w:w="9140" w:type="dxa"/>
            <w:vAlign w:val="bottom"/>
          </w:tcPr>
          <w:p>
            <w:pPr>
              <w:ind w:left="500"/>
              <w:spacing w:after="0"/>
              <w:rPr>
                <w:sz w:val="20"/>
                <w:szCs w:val="20"/>
                <w:color w:val="auto"/>
              </w:rPr>
            </w:pPr>
            <w:r>
              <w:rPr>
                <w:rFonts w:ascii="Arial" w:cs="Arial" w:eastAsia="Arial" w:hAnsi="Arial"/>
                <w:sz w:val="14"/>
                <w:szCs w:val="14"/>
                <w:color w:val="auto"/>
              </w:rPr>
              <w:t>U.S. Securities and Exchange Commission</w:t>
            </w:r>
          </w:p>
        </w:tc>
      </w:tr>
      <w:tr>
        <w:trPr>
          <w:trHeight w:val="207"/>
        </w:trPr>
        <w:tc>
          <w:tcPr>
            <w:tcW w:w="2100" w:type="dxa"/>
            <w:vAlign w:val="bottom"/>
            <w:shd w:val="clear" w:color="auto" w:fill="D4F1F5"/>
          </w:tcPr>
          <w:p>
            <w:pPr>
              <w:ind w:left="20"/>
              <w:spacing w:after="0"/>
              <w:rPr>
                <w:sz w:val="20"/>
                <w:szCs w:val="20"/>
                <w:color w:val="auto"/>
              </w:rPr>
            </w:pPr>
            <w:r>
              <w:rPr>
                <w:rFonts w:ascii="Arial" w:cs="Arial" w:eastAsia="Arial" w:hAnsi="Arial"/>
                <w:sz w:val="14"/>
                <w:szCs w:val="14"/>
                <w:color w:val="auto"/>
              </w:rPr>
              <w:t>SEDATU</w:t>
            </w:r>
          </w:p>
        </w:tc>
        <w:tc>
          <w:tcPr>
            <w:tcW w:w="9140" w:type="dxa"/>
            <w:vAlign w:val="bottom"/>
            <w:shd w:val="clear" w:color="auto" w:fill="D4F1F5"/>
          </w:tcPr>
          <w:p>
            <w:pPr>
              <w:ind w:left="500"/>
              <w:spacing w:after="0"/>
              <w:rPr>
                <w:sz w:val="20"/>
                <w:szCs w:val="20"/>
                <w:color w:val="auto"/>
              </w:rPr>
            </w:pPr>
            <w:r>
              <w:rPr>
                <w:rFonts w:ascii="Arial" w:cs="Arial" w:eastAsia="Arial" w:hAnsi="Arial"/>
                <w:sz w:val="14"/>
                <w:szCs w:val="14"/>
                <w:color w:val="auto"/>
              </w:rPr>
              <w:t>Secretaría de Desarrollo Agrario, Territorial y Urbano (Mexico’s agency in charge of agriculture, land and urban development)</w:t>
            </w:r>
          </w:p>
        </w:tc>
      </w:tr>
      <w:tr>
        <w:trPr>
          <w:trHeight w:val="198"/>
        </w:trPr>
        <w:tc>
          <w:tcPr>
            <w:tcW w:w="2100" w:type="dxa"/>
            <w:vAlign w:val="bottom"/>
          </w:tcPr>
          <w:p>
            <w:pPr>
              <w:ind w:left="20"/>
              <w:spacing w:after="0"/>
              <w:rPr>
                <w:sz w:val="20"/>
                <w:szCs w:val="20"/>
                <w:color w:val="auto"/>
              </w:rPr>
            </w:pPr>
            <w:r>
              <w:rPr>
                <w:rFonts w:ascii="Arial" w:cs="Arial" w:eastAsia="Arial" w:hAnsi="Arial"/>
                <w:sz w:val="14"/>
                <w:szCs w:val="14"/>
                <w:color w:val="auto"/>
              </w:rPr>
              <w:t>SENER</w:t>
            </w:r>
          </w:p>
        </w:tc>
        <w:tc>
          <w:tcPr>
            <w:tcW w:w="9140" w:type="dxa"/>
            <w:vAlign w:val="bottom"/>
          </w:tcPr>
          <w:p>
            <w:pPr>
              <w:ind w:left="500"/>
              <w:spacing w:after="0"/>
              <w:rPr>
                <w:sz w:val="20"/>
                <w:szCs w:val="20"/>
                <w:color w:val="auto"/>
              </w:rPr>
            </w:pPr>
            <w:r>
              <w:rPr>
                <w:rFonts w:ascii="Arial" w:cs="Arial" w:eastAsia="Arial" w:hAnsi="Arial"/>
                <w:sz w:val="14"/>
                <w:szCs w:val="14"/>
                <w:color w:val="auto"/>
              </w:rPr>
              <w:t>Secretaría de Energía de México (Mexico’s Ministry of Energy)</w:t>
            </w:r>
          </w:p>
        </w:tc>
      </w:tr>
      <w:tr>
        <w:trPr>
          <w:trHeight w:val="157"/>
        </w:trPr>
        <w:tc>
          <w:tcPr>
            <w:tcW w:w="2100" w:type="dxa"/>
            <w:vAlign w:val="bottom"/>
            <w:shd w:val="clear" w:color="auto" w:fill="D4F1F5"/>
          </w:tcPr>
          <w:p>
            <w:pPr>
              <w:ind w:left="20"/>
              <w:spacing w:after="0" w:line="157" w:lineRule="exact"/>
              <w:rPr>
                <w:sz w:val="20"/>
                <w:szCs w:val="20"/>
                <w:color w:val="auto"/>
              </w:rPr>
            </w:pPr>
            <w:r>
              <w:rPr>
                <w:rFonts w:ascii="Arial" w:cs="Arial" w:eastAsia="Arial" w:hAnsi="Arial"/>
                <w:sz w:val="14"/>
                <w:szCs w:val="14"/>
                <w:color w:val="auto"/>
              </w:rPr>
              <w:t>series C preferred stock</w:t>
            </w:r>
          </w:p>
        </w:tc>
        <w:tc>
          <w:tcPr>
            <w:tcW w:w="9140" w:type="dxa"/>
            <w:vAlign w:val="bottom"/>
            <w:shd w:val="clear" w:color="auto" w:fill="D4F1F5"/>
          </w:tcPr>
          <w:p>
            <w:pPr>
              <w:ind w:left="500"/>
              <w:spacing w:after="0" w:line="157" w:lineRule="exact"/>
              <w:rPr>
                <w:sz w:val="20"/>
                <w:szCs w:val="20"/>
                <w:color w:val="auto"/>
              </w:rPr>
            </w:pPr>
            <w:r>
              <w:rPr>
                <w:rFonts w:ascii="Arial" w:cs="Arial" w:eastAsia="Arial" w:hAnsi="Arial"/>
                <w:sz w:val="14"/>
                <w:szCs w:val="14"/>
                <w:color w:val="auto"/>
              </w:rPr>
              <w:t>Sempra’s 4.875% fixed-rate reset cumulative redeemable perpetual preferred stock, series C, which we redeemed in October 2025 and</w:t>
            </w:r>
          </w:p>
        </w:tc>
      </w:tr>
      <w:tr>
        <w:trPr>
          <w:trHeight w:val="185"/>
        </w:trPr>
        <w:tc>
          <w:tcPr>
            <w:tcW w:w="2100" w:type="dxa"/>
            <w:vAlign w:val="bottom"/>
            <w:shd w:val="clear" w:color="auto" w:fill="D4F1F5"/>
          </w:tcPr>
          <w:p>
            <w:pPr>
              <w:spacing w:after="0"/>
              <w:rPr>
                <w:sz w:val="16"/>
                <w:szCs w:val="16"/>
                <w:color w:val="auto"/>
              </w:rPr>
            </w:pPr>
          </w:p>
        </w:tc>
        <w:tc>
          <w:tcPr>
            <w:tcW w:w="9140" w:type="dxa"/>
            <w:vAlign w:val="bottom"/>
            <w:shd w:val="clear" w:color="auto" w:fill="D4F1F5"/>
          </w:tcPr>
          <w:p>
            <w:pPr>
              <w:ind w:left="500"/>
              <w:spacing w:after="0"/>
              <w:rPr>
                <w:sz w:val="20"/>
                <w:szCs w:val="20"/>
                <w:color w:val="auto"/>
              </w:rPr>
            </w:pPr>
            <w:r>
              <w:rPr>
                <w:rFonts w:ascii="Arial" w:cs="Arial" w:eastAsia="Arial" w:hAnsi="Arial"/>
                <w:sz w:val="14"/>
                <w:szCs w:val="14"/>
                <w:color w:val="auto"/>
              </w:rPr>
              <w:t>which is no longer an authorized series of Sempra’s capital stock</w:t>
            </w:r>
          </w:p>
        </w:tc>
      </w:tr>
      <w:tr>
        <w:trPr>
          <w:trHeight w:val="195"/>
        </w:trPr>
        <w:tc>
          <w:tcPr>
            <w:tcW w:w="2100" w:type="dxa"/>
            <w:vAlign w:val="bottom"/>
          </w:tcPr>
          <w:p>
            <w:pPr>
              <w:ind w:left="20"/>
              <w:spacing w:after="0"/>
              <w:rPr>
                <w:sz w:val="20"/>
                <w:szCs w:val="20"/>
                <w:color w:val="auto"/>
              </w:rPr>
            </w:pPr>
            <w:r>
              <w:rPr>
                <w:rFonts w:ascii="Arial" w:cs="Arial" w:eastAsia="Arial" w:hAnsi="Arial"/>
                <w:sz w:val="14"/>
                <w:szCs w:val="14"/>
                <w:color w:val="auto"/>
              </w:rPr>
              <w:t>Sharyland Utilities</w:t>
            </w:r>
          </w:p>
        </w:tc>
        <w:tc>
          <w:tcPr>
            <w:tcW w:w="9140" w:type="dxa"/>
            <w:vAlign w:val="bottom"/>
          </w:tcPr>
          <w:p>
            <w:pPr>
              <w:ind w:left="500"/>
              <w:spacing w:after="0"/>
              <w:rPr>
                <w:sz w:val="20"/>
                <w:szCs w:val="20"/>
                <w:color w:val="auto"/>
              </w:rPr>
            </w:pPr>
            <w:r>
              <w:rPr>
                <w:rFonts w:ascii="Arial" w:cs="Arial" w:eastAsia="Arial" w:hAnsi="Arial"/>
                <w:sz w:val="14"/>
                <w:szCs w:val="14"/>
                <w:color w:val="auto"/>
              </w:rPr>
              <w:t>Sharyland Utilities, L.L.C.</w:t>
            </w:r>
          </w:p>
        </w:tc>
      </w:tr>
    </w:tbl>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150495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FFFFFF"/>
        </w:rPr>
        <w:t>GLOSSARY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-115570</wp:posOffset>
            </wp:positionV>
            <wp:extent cx="7132320" cy="27432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274320"/>
                    </a:xfrm>
                    <a:prstGeom prst="rect">
                      <a:avLst/>
                    </a:prstGeom>
                    <a:noFill/>
                  </pic:spPr>
                </pic:pic>
              </a:graphicData>
            </a:graphic>
          </wp:anchor>
        </w:drawing>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180" w:type="dxa"/>
            <w:vAlign w:val="bottom"/>
            <w:shd w:val="clear" w:color="auto" w:fill="D4F1F5"/>
          </w:tcPr>
          <w:p>
            <w:pPr>
              <w:ind w:left="20"/>
              <w:spacing w:after="0"/>
              <w:rPr>
                <w:sz w:val="20"/>
                <w:szCs w:val="20"/>
                <w:color w:val="auto"/>
              </w:rPr>
            </w:pPr>
            <w:r>
              <w:rPr>
                <w:rFonts w:ascii="Arial" w:cs="Arial" w:eastAsia="Arial" w:hAnsi="Arial"/>
                <w:sz w:val="14"/>
                <w:szCs w:val="14"/>
                <w:color w:val="auto"/>
              </w:rPr>
              <w:t>SI Partners</w:t>
            </w:r>
          </w:p>
        </w:tc>
        <w:tc>
          <w:tcPr>
            <w:tcW w:w="9060" w:type="dxa"/>
            <w:vAlign w:val="bottom"/>
            <w:shd w:val="clear" w:color="auto" w:fill="D4F1F5"/>
          </w:tcPr>
          <w:p>
            <w:pPr>
              <w:ind w:left="420"/>
              <w:spacing w:after="0"/>
              <w:rPr>
                <w:sz w:val="20"/>
                <w:szCs w:val="20"/>
                <w:color w:val="auto"/>
              </w:rPr>
            </w:pPr>
            <w:r>
              <w:rPr>
                <w:rFonts w:ascii="Arial" w:cs="Arial" w:eastAsia="Arial" w:hAnsi="Arial"/>
                <w:sz w:val="14"/>
                <w:szCs w:val="14"/>
                <w:color w:val="auto"/>
              </w:rPr>
              <w:t>Sempra Infrastructure Partners, LP, the holding company for most of Sempra’s businesses not subject to California or Texas utility</w:t>
            </w:r>
          </w:p>
        </w:tc>
      </w:tr>
      <w:tr>
        <w:trPr>
          <w:trHeight w:val="185"/>
        </w:trPr>
        <w:tc>
          <w:tcPr>
            <w:tcW w:w="2180" w:type="dxa"/>
            <w:vAlign w:val="bottom"/>
            <w:shd w:val="clear" w:color="auto" w:fill="D4F1F5"/>
          </w:tcPr>
          <w:p>
            <w:pPr>
              <w:spacing w:after="0"/>
              <w:rPr>
                <w:sz w:val="16"/>
                <w:szCs w:val="16"/>
                <w:color w:val="auto"/>
              </w:rPr>
            </w:pPr>
          </w:p>
        </w:tc>
        <w:tc>
          <w:tcPr>
            <w:tcW w:w="9060" w:type="dxa"/>
            <w:vAlign w:val="bottom"/>
            <w:shd w:val="clear" w:color="auto" w:fill="D4F1F5"/>
          </w:tcPr>
          <w:p>
            <w:pPr>
              <w:ind w:left="420"/>
              <w:spacing w:after="0"/>
              <w:rPr>
                <w:sz w:val="20"/>
                <w:szCs w:val="20"/>
                <w:color w:val="auto"/>
              </w:rPr>
            </w:pPr>
            <w:r>
              <w:rPr>
                <w:rFonts w:ascii="Arial" w:cs="Arial" w:eastAsia="Arial" w:hAnsi="Arial"/>
                <w:sz w:val="14"/>
                <w:szCs w:val="14"/>
                <w:color w:val="auto"/>
              </w:rPr>
              <w:t>regulation</w:t>
            </w:r>
          </w:p>
        </w:tc>
      </w:tr>
      <w:tr>
        <w:trPr>
          <w:trHeight w:val="198"/>
        </w:trPr>
        <w:tc>
          <w:tcPr>
            <w:tcW w:w="2180" w:type="dxa"/>
            <w:vAlign w:val="bottom"/>
          </w:tcPr>
          <w:p>
            <w:pPr>
              <w:ind w:left="20"/>
              <w:spacing w:after="0"/>
              <w:rPr>
                <w:sz w:val="20"/>
                <w:szCs w:val="20"/>
                <w:color w:val="auto"/>
              </w:rPr>
            </w:pPr>
            <w:r>
              <w:rPr>
                <w:rFonts w:ascii="Arial" w:cs="Arial" w:eastAsia="Arial" w:hAnsi="Arial"/>
                <w:sz w:val="14"/>
                <w:szCs w:val="14"/>
                <w:color w:val="auto"/>
              </w:rPr>
              <w:t>SoCalGas</w:t>
            </w:r>
          </w:p>
        </w:tc>
        <w:tc>
          <w:tcPr>
            <w:tcW w:w="9060" w:type="dxa"/>
            <w:vAlign w:val="bottom"/>
          </w:tcPr>
          <w:p>
            <w:pPr>
              <w:ind w:left="420"/>
              <w:spacing w:after="0"/>
              <w:rPr>
                <w:sz w:val="20"/>
                <w:szCs w:val="20"/>
                <w:color w:val="auto"/>
              </w:rPr>
            </w:pPr>
            <w:r>
              <w:rPr>
                <w:rFonts w:ascii="Arial" w:cs="Arial" w:eastAsia="Arial" w:hAnsi="Arial"/>
                <w:sz w:val="14"/>
                <w:szCs w:val="14"/>
                <w:color w:val="auto"/>
              </w:rPr>
              <w:t>Southern California Gas Company</w:t>
            </w:r>
          </w:p>
        </w:tc>
      </w:tr>
      <w:tr>
        <w:trPr>
          <w:trHeight w:val="207"/>
        </w:trPr>
        <w:tc>
          <w:tcPr>
            <w:tcW w:w="2180" w:type="dxa"/>
            <w:vAlign w:val="bottom"/>
            <w:shd w:val="clear" w:color="auto" w:fill="D4F1F5"/>
          </w:tcPr>
          <w:p>
            <w:pPr>
              <w:ind w:left="20"/>
              <w:spacing w:after="0"/>
              <w:rPr>
                <w:sz w:val="20"/>
                <w:szCs w:val="20"/>
                <w:color w:val="auto"/>
              </w:rPr>
            </w:pPr>
            <w:r>
              <w:rPr>
                <w:rFonts w:ascii="Arial" w:cs="Arial" w:eastAsia="Arial" w:hAnsi="Arial"/>
                <w:sz w:val="14"/>
                <w:szCs w:val="14"/>
                <w:color w:val="auto"/>
              </w:rPr>
              <w:t>SOFR</w:t>
            </w:r>
          </w:p>
        </w:tc>
        <w:tc>
          <w:tcPr>
            <w:tcW w:w="9060" w:type="dxa"/>
            <w:vAlign w:val="bottom"/>
            <w:shd w:val="clear" w:color="auto" w:fill="D4F1F5"/>
          </w:tcPr>
          <w:p>
            <w:pPr>
              <w:ind w:left="420"/>
              <w:spacing w:after="0"/>
              <w:rPr>
                <w:sz w:val="20"/>
                <w:szCs w:val="20"/>
                <w:color w:val="auto"/>
              </w:rPr>
            </w:pPr>
            <w:r>
              <w:rPr>
                <w:rFonts w:ascii="Arial" w:cs="Arial" w:eastAsia="Arial" w:hAnsi="Arial"/>
                <w:sz w:val="14"/>
                <w:szCs w:val="14"/>
                <w:color w:val="auto"/>
              </w:rPr>
              <w:t>Secured Overnight Financing Rate</w:t>
            </w:r>
          </w:p>
        </w:tc>
      </w:tr>
      <w:tr>
        <w:trPr>
          <w:trHeight w:val="198"/>
        </w:trPr>
        <w:tc>
          <w:tcPr>
            <w:tcW w:w="2180" w:type="dxa"/>
            <w:vAlign w:val="bottom"/>
          </w:tcPr>
          <w:p>
            <w:pPr>
              <w:ind w:left="20"/>
              <w:spacing w:after="0"/>
              <w:rPr>
                <w:sz w:val="20"/>
                <w:szCs w:val="20"/>
                <w:color w:val="auto"/>
              </w:rPr>
            </w:pPr>
            <w:r>
              <w:rPr>
                <w:rFonts w:ascii="Arial" w:cs="Arial" w:eastAsia="Arial" w:hAnsi="Arial"/>
                <w:sz w:val="14"/>
                <w:szCs w:val="14"/>
                <w:color w:val="auto"/>
              </w:rPr>
              <w:t>SONGS</w:t>
            </w:r>
          </w:p>
        </w:tc>
        <w:tc>
          <w:tcPr>
            <w:tcW w:w="9060" w:type="dxa"/>
            <w:vAlign w:val="bottom"/>
          </w:tcPr>
          <w:p>
            <w:pPr>
              <w:ind w:left="420"/>
              <w:spacing w:after="0"/>
              <w:rPr>
                <w:sz w:val="20"/>
                <w:szCs w:val="20"/>
                <w:color w:val="auto"/>
              </w:rPr>
            </w:pPr>
            <w:r>
              <w:rPr>
                <w:rFonts w:ascii="Arial" w:cs="Arial" w:eastAsia="Arial" w:hAnsi="Arial"/>
                <w:sz w:val="14"/>
                <w:szCs w:val="14"/>
                <w:color w:val="auto"/>
              </w:rPr>
              <w:t>San Onofre Nuclear Generating Station</w:t>
            </w:r>
          </w:p>
        </w:tc>
      </w:tr>
      <w:tr>
        <w:trPr>
          <w:trHeight w:val="207"/>
        </w:trPr>
        <w:tc>
          <w:tcPr>
            <w:tcW w:w="2180" w:type="dxa"/>
            <w:vAlign w:val="bottom"/>
            <w:shd w:val="clear" w:color="auto" w:fill="D4F1F5"/>
          </w:tcPr>
          <w:p>
            <w:pPr>
              <w:ind w:left="20"/>
              <w:spacing w:after="0"/>
              <w:rPr>
                <w:sz w:val="20"/>
                <w:szCs w:val="20"/>
                <w:color w:val="auto"/>
              </w:rPr>
            </w:pPr>
            <w:r>
              <w:rPr>
                <w:rFonts w:ascii="Arial" w:cs="Arial" w:eastAsia="Arial" w:hAnsi="Arial"/>
                <w:sz w:val="14"/>
                <w:szCs w:val="14"/>
                <w:color w:val="auto"/>
              </w:rPr>
              <w:t>SPA</w:t>
            </w:r>
          </w:p>
        </w:tc>
        <w:tc>
          <w:tcPr>
            <w:tcW w:w="9060" w:type="dxa"/>
            <w:vAlign w:val="bottom"/>
            <w:shd w:val="clear" w:color="auto" w:fill="D4F1F5"/>
          </w:tcPr>
          <w:p>
            <w:pPr>
              <w:ind w:left="420"/>
              <w:spacing w:after="0"/>
              <w:rPr>
                <w:sz w:val="20"/>
                <w:szCs w:val="20"/>
                <w:color w:val="auto"/>
              </w:rPr>
            </w:pPr>
            <w:r>
              <w:rPr>
                <w:rFonts w:ascii="Arial" w:cs="Arial" w:eastAsia="Arial" w:hAnsi="Arial"/>
                <w:sz w:val="14"/>
                <w:szCs w:val="14"/>
                <w:color w:val="auto"/>
              </w:rPr>
              <w:t>sale and purchase agreement</w:t>
            </w:r>
          </w:p>
        </w:tc>
      </w:tr>
      <w:tr>
        <w:trPr>
          <w:trHeight w:val="198"/>
        </w:trPr>
        <w:tc>
          <w:tcPr>
            <w:tcW w:w="2180" w:type="dxa"/>
            <w:vAlign w:val="bottom"/>
          </w:tcPr>
          <w:p>
            <w:pPr>
              <w:ind w:left="20"/>
              <w:spacing w:after="0"/>
              <w:rPr>
                <w:sz w:val="20"/>
                <w:szCs w:val="20"/>
                <w:color w:val="auto"/>
              </w:rPr>
            </w:pPr>
            <w:r>
              <w:rPr>
                <w:rFonts w:ascii="Arial" w:cs="Arial" w:eastAsia="Arial" w:hAnsi="Arial"/>
                <w:sz w:val="14"/>
                <w:szCs w:val="14"/>
                <w:color w:val="auto"/>
              </w:rPr>
              <w:t>SRP</w:t>
            </w:r>
          </w:p>
        </w:tc>
        <w:tc>
          <w:tcPr>
            <w:tcW w:w="9060" w:type="dxa"/>
            <w:vAlign w:val="bottom"/>
          </w:tcPr>
          <w:p>
            <w:pPr>
              <w:ind w:left="420"/>
              <w:spacing w:after="0"/>
              <w:rPr>
                <w:sz w:val="20"/>
                <w:szCs w:val="20"/>
                <w:color w:val="auto"/>
              </w:rPr>
            </w:pPr>
            <w:r>
              <w:rPr>
                <w:rFonts w:ascii="Arial" w:cs="Arial" w:eastAsia="Arial" w:hAnsi="Arial"/>
                <w:sz w:val="14"/>
                <w:szCs w:val="14"/>
                <w:color w:val="auto"/>
              </w:rPr>
              <w:t>Oncor’s system resiliency plan approved by the PUCT in November 2024</w:t>
            </w:r>
          </w:p>
        </w:tc>
      </w:tr>
      <w:tr>
        <w:trPr>
          <w:trHeight w:val="157"/>
        </w:trPr>
        <w:tc>
          <w:tcPr>
            <w:tcW w:w="2180" w:type="dxa"/>
            <w:vAlign w:val="bottom"/>
            <w:shd w:val="clear" w:color="auto" w:fill="D4F1F5"/>
          </w:tcPr>
          <w:p>
            <w:pPr>
              <w:ind w:left="20"/>
              <w:spacing w:after="0" w:line="157" w:lineRule="exact"/>
              <w:rPr>
                <w:sz w:val="20"/>
                <w:szCs w:val="20"/>
                <w:color w:val="auto"/>
              </w:rPr>
            </w:pPr>
            <w:r>
              <w:rPr>
                <w:rFonts w:ascii="Arial" w:cs="Arial" w:eastAsia="Arial" w:hAnsi="Arial"/>
                <w:sz w:val="14"/>
                <w:szCs w:val="14"/>
                <w:color w:val="auto"/>
              </w:rPr>
              <w:t>Support Agreement</w:t>
            </w:r>
          </w:p>
        </w:tc>
        <w:tc>
          <w:tcPr>
            <w:tcW w:w="9060" w:type="dxa"/>
            <w:vAlign w:val="bottom"/>
            <w:shd w:val="clear" w:color="auto" w:fill="D4F1F5"/>
          </w:tcPr>
          <w:p>
            <w:pPr>
              <w:ind w:left="420"/>
              <w:spacing w:after="0" w:line="157" w:lineRule="exact"/>
              <w:rPr>
                <w:sz w:val="20"/>
                <w:szCs w:val="20"/>
                <w:color w:val="auto"/>
              </w:rPr>
            </w:pPr>
            <w:r>
              <w:rPr>
                <w:rFonts w:ascii="Arial" w:cs="Arial" w:eastAsia="Arial" w:hAnsi="Arial"/>
                <w:sz w:val="14"/>
                <w:szCs w:val="14"/>
                <w:color w:val="auto"/>
              </w:rPr>
              <w:t>support agreement, dated July 28, 2020 and amended in June 2021 and January 2025, between Sempra and Sumitomo Mitsui</w:t>
            </w:r>
          </w:p>
        </w:tc>
      </w:tr>
      <w:tr>
        <w:trPr>
          <w:trHeight w:val="185"/>
        </w:trPr>
        <w:tc>
          <w:tcPr>
            <w:tcW w:w="2180" w:type="dxa"/>
            <w:vAlign w:val="bottom"/>
            <w:shd w:val="clear" w:color="auto" w:fill="D4F1F5"/>
          </w:tcPr>
          <w:p>
            <w:pPr>
              <w:spacing w:after="0"/>
              <w:rPr>
                <w:sz w:val="16"/>
                <w:szCs w:val="16"/>
                <w:color w:val="auto"/>
              </w:rPr>
            </w:pPr>
          </w:p>
        </w:tc>
        <w:tc>
          <w:tcPr>
            <w:tcW w:w="9060" w:type="dxa"/>
            <w:vAlign w:val="bottom"/>
            <w:shd w:val="clear" w:color="auto" w:fill="D4F1F5"/>
          </w:tcPr>
          <w:p>
            <w:pPr>
              <w:ind w:left="420"/>
              <w:spacing w:after="0"/>
              <w:rPr>
                <w:sz w:val="20"/>
                <w:szCs w:val="20"/>
                <w:color w:val="auto"/>
              </w:rPr>
            </w:pPr>
            <w:r>
              <w:rPr>
                <w:rFonts w:ascii="Arial" w:cs="Arial" w:eastAsia="Arial" w:hAnsi="Arial"/>
                <w:sz w:val="14"/>
                <w:szCs w:val="14"/>
                <w:color w:val="auto"/>
              </w:rPr>
              <w:t>Banking Corporation</w:t>
            </w:r>
          </w:p>
        </w:tc>
      </w:tr>
      <w:tr>
        <w:trPr>
          <w:trHeight w:val="198"/>
        </w:trPr>
        <w:tc>
          <w:tcPr>
            <w:tcW w:w="2180" w:type="dxa"/>
            <w:vAlign w:val="bottom"/>
          </w:tcPr>
          <w:p>
            <w:pPr>
              <w:ind w:left="20"/>
              <w:spacing w:after="0"/>
              <w:rPr>
                <w:sz w:val="20"/>
                <w:szCs w:val="20"/>
                <w:color w:val="auto"/>
              </w:rPr>
            </w:pPr>
            <w:r>
              <w:rPr>
                <w:rFonts w:ascii="Arial" w:cs="Arial" w:eastAsia="Arial" w:hAnsi="Arial"/>
                <w:sz w:val="14"/>
                <w:szCs w:val="14"/>
                <w:color w:val="auto"/>
              </w:rPr>
              <w:t>TAG Norte</w:t>
            </w:r>
          </w:p>
        </w:tc>
        <w:tc>
          <w:tcPr>
            <w:tcW w:w="9060" w:type="dxa"/>
            <w:vAlign w:val="bottom"/>
          </w:tcPr>
          <w:p>
            <w:pPr>
              <w:ind w:left="420"/>
              <w:spacing w:after="0"/>
              <w:rPr>
                <w:sz w:val="20"/>
                <w:szCs w:val="20"/>
                <w:color w:val="auto"/>
              </w:rPr>
            </w:pPr>
            <w:r>
              <w:rPr>
                <w:rFonts w:ascii="Arial" w:cs="Arial" w:eastAsia="Arial" w:hAnsi="Arial"/>
                <w:sz w:val="14"/>
                <w:szCs w:val="14"/>
                <w:color w:val="auto"/>
              </w:rPr>
              <w:t>TAG Norte Holding, S. de R.L. de C.V.</w:t>
            </w:r>
          </w:p>
        </w:tc>
      </w:tr>
      <w:tr>
        <w:trPr>
          <w:trHeight w:val="207"/>
        </w:trPr>
        <w:tc>
          <w:tcPr>
            <w:tcW w:w="2180" w:type="dxa"/>
            <w:vAlign w:val="bottom"/>
            <w:shd w:val="clear" w:color="auto" w:fill="D4F1F5"/>
          </w:tcPr>
          <w:p>
            <w:pPr>
              <w:ind w:left="20"/>
              <w:spacing w:after="0"/>
              <w:rPr>
                <w:sz w:val="20"/>
                <w:szCs w:val="20"/>
                <w:color w:val="auto"/>
              </w:rPr>
            </w:pPr>
            <w:r>
              <w:rPr>
                <w:rFonts w:ascii="Arial" w:cs="Arial" w:eastAsia="Arial" w:hAnsi="Arial"/>
                <w:sz w:val="14"/>
                <w:szCs w:val="14"/>
                <w:color w:val="auto"/>
              </w:rPr>
              <w:t>TAG Pipelines</w:t>
            </w:r>
          </w:p>
        </w:tc>
        <w:tc>
          <w:tcPr>
            <w:tcW w:w="9060" w:type="dxa"/>
            <w:vAlign w:val="bottom"/>
            <w:shd w:val="clear" w:color="auto" w:fill="D4F1F5"/>
          </w:tcPr>
          <w:p>
            <w:pPr>
              <w:ind w:left="420"/>
              <w:spacing w:after="0"/>
              <w:rPr>
                <w:sz w:val="20"/>
                <w:szCs w:val="20"/>
                <w:color w:val="auto"/>
              </w:rPr>
            </w:pPr>
            <w:r>
              <w:rPr>
                <w:rFonts w:ascii="Arial" w:cs="Arial" w:eastAsia="Arial" w:hAnsi="Arial"/>
                <w:sz w:val="14"/>
                <w:szCs w:val="14"/>
                <w:color w:val="auto"/>
              </w:rPr>
              <w:t>TAG Pipelines Norte, S. de R.L. de C.V.</w:t>
            </w:r>
          </w:p>
        </w:tc>
      </w:tr>
      <w:tr>
        <w:trPr>
          <w:trHeight w:val="198"/>
        </w:trPr>
        <w:tc>
          <w:tcPr>
            <w:tcW w:w="2180" w:type="dxa"/>
            <w:vAlign w:val="bottom"/>
          </w:tcPr>
          <w:p>
            <w:pPr>
              <w:ind w:left="20"/>
              <w:spacing w:after="0"/>
              <w:rPr>
                <w:sz w:val="20"/>
                <w:szCs w:val="20"/>
                <w:color w:val="auto"/>
              </w:rPr>
            </w:pPr>
            <w:r>
              <w:rPr>
                <w:rFonts w:ascii="Arial" w:cs="Arial" w:eastAsia="Arial" w:hAnsi="Arial"/>
                <w:sz w:val="14"/>
                <w:szCs w:val="14"/>
                <w:color w:val="auto"/>
              </w:rPr>
              <w:t>TO5</w:t>
            </w:r>
          </w:p>
        </w:tc>
        <w:tc>
          <w:tcPr>
            <w:tcW w:w="9060" w:type="dxa"/>
            <w:vAlign w:val="bottom"/>
          </w:tcPr>
          <w:p>
            <w:pPr>
              <w:ind w:left="420"/>
              <w:spacing w:after="0"/>
              <w:rPr>
                <w:sz w:val="20"/>
                <w:szCs w:val="20"/>
                <w:color w:val="auto"/>
              </w:rPr>
            </w:pPr>
            <w:r>
              <w:rPr>
                <w:rFonts w:ascii="Arial" w:cs="Arial" w:eastAsia="Arial" w:hAnsi="Arial"/>
                <w:sz w:val="14"/>
                <w:szCs w:val="14"/>
                <w:color w:val="auto"/>
              </w:rPr>
              <w:t>Electric Transmission Owner Formula Rate, effective June 1, 2019 through May 31, 2025</w:t>
            </w:r>
          </w:p>
        </w:tc>
      </w:tr>
      <w:tr>
        <w:trPr>
          <w:trHeight w:val="157"/>
        </w:trPr>
        <w:tc>
          <w:tcPr>
            <w:tcW w:w="2180" w:type="dxa"/>
            <w:vAlign w:val="bottom"/>
            <w:shd w:val="clear" w:color="auto" w:fill="D4F1F5"/>
          </w:tcPr>
          <w:p>
            <w:pPr>
              <w:ind w:left="20"/>
              <w:spacing w:after="0" w:line="157" w:lineRule="exact"/>
              <w:rPr>
                <w:sz w:val="20"/>
                <w:szCs w:val="20"/>
                <w:color w:val="auto"/>
              </w:rPr>
            </w:pPr>
            <w:r>
              <w:rPr>
                <w:rFonts w:ascii="Arial" w:cs="Arial" w:eastAsia="Arial" w:hAnsi="Arial"/>
                <w:sz w:val="14"/>
                <w:szCs w:val="14"/>
                <w:color w:val="auto"/>
              </w:rPr>
              <w:t>TO5 adder refund provision</w:t>
            </w:r>
          </w:p>
        </w:tc>
        <w:tc>
          <w:tcPr>
            <w:tcW w:w="9060" w:type="dxa"/>
            <w:vAlign w:val="bottom"/>
            <w:shd w:val="clear" w:color="auto" w:fill="D4F1F5"/>
          </w:tcPr>
          <w:p>
            <w:pPr>
              <w:ind w:left="420"/>
              <w:spacing w:after="0" w:line="157" w:lineRule="exact"/>
              <w:rPr>
                <w:sz w:val="20"/>
                <w:szCs w:val="20"/>
                <w:color w:val="auto"/>
              </w:rPr>
            </w:pPr>
            <w:r>
              <w:rPr>
                <w:rFonts w:ascii="Arial" w:cs="Arial" w:eastAsia="Arial" w:hAnsi="Arial"/>
                <w:sz w:val="14"/>
                <w:szCs w:val="14"/>
                <w:color w:val="auto"/>
              </w:rPr>
              <w:t>the provision in the TO5 settlement providing that SDG&amp;E will refund the California ISO adder as of June 1, 2019 if the FERC issues an</w:t>
            </w:r>
          </w:p>
        </w:tc>
      </w:tr>
      <w:tr>
        <w:trPr>
          <w:trHeight w:val="185"/>
        </w:trPr>
        <w:tc>
          <w:tcPr>
            <w:tcW w:w="2180" w:type="dxa"/>
            <w:vAlign w:val="bottom"/>
            <w:shd w:val="clear" w:color="auto" w:fill="D4F1F5"/>
          </w:tcPr>
          <w:p>
            <w:pPr>
              <w:spacing w:after="0"/>
              <w:rPr>
                <w:sz w:val="16"/>
                <w:szCs w:val="16"/>
                <w:color w:val="auto"/>
              </w:rPr>
            </w:pPr>
          </w:p>
        </w:tc>
        <w:tc>
          <w:tcPr>
            <w:tcW w:w="9060" w:type="dxa"/>
            <w:vAlign w:val="bottom"/>
            <w:shd w:val="clear" w:color="auto" w:fill="D4F1F5"/>
          </w:tcPr>
          <w:p>
            <w:pPr>
              <w:ind w:left="420"/>
              <w:spacing w:after="0"/>
              <w:rPr>
                <w:sz w:val="20"/>
                <w:szCs w:val="20"/>
                <w:color w:val="auto"/>
              </w:rPr>
            </w:pPr>
            <w:r>
              <w:rPr>
                <w:rFonts w:ascii="Arial" w:cs="Arial" w:eastAsia="Arial" w:hAnsi="Arial"/>
                <w:sz w:val="14"/>
                <w:szCs w:val="14"/>
                <w:color w:val="auto"/>
              </w:rPr>
              <w:t>order ruling that California IOUs are no longer eligible for the California ISO adder</w:t>
            </w:r>
          </w:p>
        </w:tc>
      </w:tr>
      <w:tr>
        <w:trPr>
          <w:trHeight w:val="198"/>
        </w:trPr>
        <w:tc>
          <w:tcPr>
            <w:tcW w:w="2180" w:type="dxa"/>
            <w:vAlign w:val="bottom"/>
          </w:tcPr>
          <w:p>
            <w:pPr>
              <w:ind w:left="20"/>
              <w:spacing w:after="0"/>
              <w:rPr>
                <w:sz w:val="20"/>
                <w:szCs w:val="20"/>
                <w:color w:val="auto"/>
              </w:rPr>
            </w:pPr>
            <w:r>
              <w:rPr>
                <w:rFonts w:ascii="Arial" w:cs="Arial" w:eastAsia="Arial" w:hAnsi="Arial"/>
                <w:sz w:val="14"/>
                <w:szCs w:val="14"/>
                <w:color w:val="auto"/>
              </w:rPr>
              <w:t>TO6</w:t>
            </w:r>
          </w:p>
        </w:tc>
        <w:tc>
          <w:tcPr>
            <w:tcW w:w="9060" w:type="dxa"/>
            <w:vAlign w:val="bottom"/>
          </w:tcPr>
          <w:p>
            <w:pPr>
              <w:ind w:left="420"/>
              <w:spacing w:after="0"/>
              <w:rPr>
                <w:sz w:val="20"/>
                <w:szCs w:val="20"/>
                <w:color w:val="auto"/>
              </w:rPr>
            </w:pPr>
            <w:r>
              <w:rPr>
                <w:rFonts w:ascii="Arial" w:cs="Arial" w:eastAsia="Arial" w:hAnsi="Arial"/>
                <w:sz w:val="14"/>
                <w:szCs w:val="14"/>
                <w:color w:val="auto"/>
              </w:rPr>
              <w:t>Electric Transmission Owner Formula Rate, effective June 1, 2025, subject to refund</w:t>
            </w:r>
          </w:p>
        </w:tc>
      </w:tr>
      <w:tr>
        <w:trPr>
          <w:trHeight w:val="157"/>
        </w:trPr>
        <w:tc>
          <w:tcPr>
            <w:tcW w:w="2180" w:type="dxa"/>
            <w:vAlign w:val="bottom"/>
            <w:shd w:val="clear" w:color="auto" w:fill="D4F1F5"/>
          </w:tcPr>
          <w:p>
            <w:pPr>
              <w:ind w:left="20"/>
              <w:spacing w:after="0" w:line="157" w:lineRule="exact"/>
              <w:rPr>
                <w:sz w:val="20"/>
                <w:szCs w:val="20"/>
                <w:color w:val="auto"/>
              </w:rPr>
            </w:pPr>
            <w:r>
              <w:rPr>
                <w:rFonts w:ascii="Arial" w:cs="Arial" w:eastAsia="Arial" w:hAnsi="Arial"/>
                <w:sz w:val="14"/>
                <w:szCs w:val="14"/>
                <w:color w:val="auto"/>
              </w:rPr>
              <w:t>TTI</w:t>
            </w:r>
          </w:p>
        </w:tc>
        <w:tc>
          <w:tcPr>
            <w:tcW w:w="9060" w:type="dxa"/>
            <w:vAlign w:val="bottom"/>
            <w:shd w:val="clear" w:color="auto" w:fill="D4F1F5"/>
          </w:tcPr>
          <w:p>
            <w:pPr>
              <w:ind w:left="420"/>
              <w:spacing w:after="0" w:line="157" w:lineRule="exact"/>
              <w:rPr>
                <w:sz w:val="20"/>
                <w:szCs w:val="20"/>
                <w:color w:val="auto"/>
              </w:rPr>
            </w:pPr>
            <w:r>
              <w:rPr>
                <w:rFonts w:ascii="Arial" w:cs="Arial" w:eastAsia="Arial" w:hAnsi="Arial"/>
                <w:sz w:val="14"/>
                <w:szCs w:val="14"/>
                <w:color w:val="auto"/>
              </w:rPr>
              <w:t>Texas Transmission Investment LLC, an entity that owns a 19.75% interest in Oncor and is indirectly owned by OMERS Administration</w:t>
            </w:r>
          </w:p>
        </w:tc>
      </w:tr>
      <w:tr>
        <w:trPr>
          <w:trHeight w:val="185"/>
        </w:trPr>
        <w:tc>
          <w:tcPr>
            <w:tcW w:w="2180" w:type="dxa"/>
            <w:vAlign w:val="bottom"/>
            <w:shd w:val="clear" w:color="auto" w:fill="D4F1F5"/>
          </w:tcPr>
          <w:p>
            <w:pPr>
              <w:spacing w:after="0"/>
              <w:rPr>
                <w:sz w:val="16"/>
                <w:szCs w:val="16"/>
                <w:color w:val="auto"/>
              </w:rPr>
            </w:pPr>
          </w:p>
        </w:tc>
        <w:tc>
          <w:tcPr>
            <w:tcW w:w="9060" w:type="dxa"/>
            <w:vAlign w:val="bottom"/>
            <w:shd w:val="clear" w:color="auto" w:fill="D4F1F5"/>
          </w:tcPr>
          <w:p>
            <w:pPr>
              <w:ind w:left="420"/>
              <w:spacing w:after="0"/>
              <w:rPr>
                <w:sz w:val="20"/>
                <w:szCs w:val="20"/>
                <w:color w:val="auto"/>
              </w:rPr>
            </w:pPr>
            <w:r>
              <w:rPr>
                <w:rFonts w:ascii="Arial" w:cs="Arial" w:eastAsia="Arial" w:hAnsi="Arial"/>
                <w:sz w:val="14"/>
                <w:szCs w:val="14"/>
                <w:color w:val="auto"/>
              </w:rPr>
              <w:t>Corporation (acting through its infrastructure investment entity, OMERS Infrastructure Management Inc.) and GIC Private Limited</w:t>
            </w:r>
          </w:p>
        </w:tc>
      </w:tr>
      <w:tr>
        <w:trPr>
          <w:trHeight w:val="198"/>
        </w:trPr>
        <w:tc>
          <w:tcPr>
            <w:tcW w:w="2180" w:type="dxa"/>
            <w:vAlign w:val="bottom"/>
          </w:tcPr>
          <w:p>
            <w:pPr>
              <w:ind w:left="20"/>
              <w:spacing w:after="0"/>
              <w:rPr>
                <w:sz w:val="20"/>
                <w:szCs w:val="20"/>
                <w:color w:val="auto"/>
              </w:rPr>
            </w:pPr>
            <w:r>
              <w:rPr>
                <w:rFonts w:ascii="Arial" w:cs="Arial" w:eastAsia="Arial" w:hAnsi="Arial"/>
                <w:sz w:val="14"/>
                <w:szCs w:val="14"/>
                <w:color w:val="auto"/>
              </w:rPr>
              <w:t>U.S. GAAP</w:t>
            </w:r>
          </w:p>
        </w:tc>
        <w:tc>
          <w:tcPr>
            <w:tcW w:w="9060" w:type="dxa"/>
            <w:vAlign w:val="bottom"/>
          </w:tcPr>
          <w:p>
            <w:pPr>
              <w:ind w:left="420"/>
              <w:spacing w:after="0"/>
              <w:rPr>
                <w:sz w:val="20"/>
                <w:szCs w:val="20"/>
                <w:color w:val="auto"/>
              </w:rPr>
            </w:pPr>
            <w:r>
              <w:rPr>
                <w:rFonts w:ascii="Arial" w:cs="Arial" w:eastAsia="Arial" w:hAnsi="Arial"/>
                <w:sz w:val="14"/>
                <w:szCs w:val="14"/>
                <w:color w:val="auto"/>
              </w:rPr>
              <w:t>generally accepted accounting principles in the United States of America</w:t>
            </w:r>
          </w:p>
        </w:tc>
      </w:tr>
      <w:tr>
        <w:trPr>
          <w:trHeight w:val="207"/>
        </w:trPr>
        <w:tc>
          <w:tcPr>
            <w:tcW w:w="2180" w:type="dxa"/>
            <w:vAlign w:val="bottom"/>
            <w:shd w:val="clear" w:color="auto" w:fill="D4F1F5"/>
          </w:tcPr>
          <w:p>
            <w:pPr>
              <w:ind w:left="20"/>
              <w:spacing w:after="0"/>
              <w:rPr>
                <w:sz w:val="20"/>
                <w:szCs w:val="20"/>
                <w:color w:val="auto"/>
              </w:rPr>
            </w:pPr>
            <w:r>
              <w:rPr>
                <w:rFonts w:ascii="Arial" w:cs="Arial" w:eastAsia="Arial" w:hAnsi="Arial"/>
                <w:sz w:val="14"/>
                <w:szCs w:val="14"/>
                <w:color w:val="auto"/>
              </w:rPr>
              <w:t>UTM</w:t>
            </w:r>
          </w:p>
        </w:tc>
        <w:tc>
          <w:tcPr>
            <w:tcW w:w="9060" w:type="dxa"/>
            <w:vAlign w:val="bottom"/>
            <w:shd w:val="clear" w:color="auto" w:fill="D4F1F5"/>
          </w:tcPr>
          <w:p>
            <w:pPr>
              <w:ind w:left="420"/>
              <w:spacing w:after="0"/>
              <w:rPr>
                <w:sz w:val="20"/>
                <w:szCs w:val="20"/>
                <w:color w:val="auto"/>
              </w:rPr>
            </w:pPr>
            <w:r>
              <w:rPr>
                <w:rFonts w:ascii="Arial" w:cs="Arial" w:eastAsia="Arial" w:hAnsi="Arial"/>
                <w:sz w:val="14"/>
                <w:szCs w:val="14"/>
                <w:color w:val="auto"/>
              </w:rPr>
              <w:t>unified tracker mechanism</w:t>
            </w:r>
          </w:p>
        </w:tc>
      </w:tr>
      <w:tr>
        <w:trPr>
          <w:trHeight w:val="198"/>
        </w:trPr>
        <w:tc>
          <w:tcPr>
            <w:tcW w:w="2180" w:type="dxa"/>
            <w:vAlign w:val="bottom"/>
          </w:tcPr>
          <w:p>
            <w:pPr>
              <w:ind w:left="20"/>
              <w:spacing w:after="0"/>
              <w:rPr>
                <w:sz w:val="20"/>
                <w:szCs w:val="20"/>
                <w:color w:val="auto"/>
              </w:rPr>
            </w:pPr>
            <w:r>
              <w:rPr>
                <w:rFonts w:ascii="Arial" w:cs="Arial" w:eastAsia="Arial" w:hAnsi="Arial"/>
                <w:sz w:val="14"/>
                <w:szCs w:val="14"/>
                <w:color w:val="auto"/>
              </w:rPr>
              <w:t>VIE</w:t>
            </w:r>
          </w:p>
        </w:tc>
        <w:tc>
          <w:tcPr>
            <w:tcW w:w="9060" w:type="dxa"/>
            <w:vAlign w:val="bottom"/>
          </w:tcPr>
          <w:p>
            <w:pPr>
              <w:ind w:left="420"/>
              <w:spacing w:after="0"/>
              <w:rPr>
                <w:sz w:val="20"/>
                <w:szCs w:val="20"/>
                <w:color w:val="auto"/>
              </w:rPr>
            </w:pPr>
            <w:r>
              <w:rPr>
                <w:rFonts w:ascii="Arial" w:cs="Arial" w:eastAsia="Arial" w:hAnsi="Arial"/>
                <w:sz w:val="14"/>
                <w:szCs w:val="14"/>
                <w:color w:val="auto"/>
              </w:rPr>
              <w:t>variable interest entity</w:t>
            </w:r>
          </w:p>
        </w:tc>
      </w:tr>
      <w:tr>
        <w:trPr>
          <w:trHeight w:val="207"/>
        </w:trPr>
        <w:tc>
          <w:tcPr>
            <w:tcW w:w="2180" w:type="dxa"/>
            <w:vAlign w:val="bottom"/>
            <w:shd w:val="clear" w:color="auto" w:fill="D4F1F5"/>
          </w:tcPr>
          <w:p>
            <w:pPr>
              <w:ind w:left="20"/>
              <w:spacing w:after="0"/>
              <w:rPr>
                <w:sz w:val="20"/>
                <w:szCs w:val="20"/>
                <w:color w:val="auto"/>
              </w:rPr>
            </w:pPr>
            <w:r>
              <w:rPr>
                <w:rFonts w:ascii="Arial" w:cs="Arial" w:eastAsia="Arial" w:hAnsi="Arial"/>
                <w:sz w:val="14"/>
                <w:szCs w:val="14"/>
                <w:color w:val="auto"/>
              </w:rPr>
              <w:t>VREP</w:t>
            </w:r>
          </w:p>
        </w:tc>
        <w:tc>
          <w:tcPr>
            <w:tcW w:w="9060" w:type="dxa"/>
            <w:vAlign w:val="bottom"/>
            <w:shd w:val="clear" w:color="auto" w:fill="D4F1F5"/>
          </w:tcPr>
          <w:p>
            <w:pPr>
              <w:ind w:left="420"/>
              <w:spacing w:after="0"/>
              <w:rPr>
                <w:sz w:val="20"/>
                <w:szCs w:val="20"/>
                <w:color w:val="auto"/>
              </w:rPr>
            </w:pPr>
            <w:r>
              <w:rPr>
                <w:rFonts w:ascii="Arial" w:cs="Arial" w:eastAsia="Arial" w:hAnsi="Arial"/>
                <w:sz w:val="14"/>
                <w:szCs w:val="14"/>
                <w:color w:val="auto"/>
              </w:rPr>
              <w:t>Voluntary Retirement Enhancement Program</w:t>
            </w:r>
          </w:p>
        </w:tc>
      </w:tr>
      <w:tr>
        <w:trPr>
          <w:trHeight w:val="198"/>
        </w:trPr>
        <w:tc>
          <w:tcPr>
            <w:tcW w:w="2180" w:type="dxa"/>
            <w:vAlign w:val="bottom"/>
          </w:tcPr>
          <w:p>
            <w:pPr>
              <w:ind w:left="20"/>
              <w:spacing w:after="0"/>
              <w:rPr>
                <w:sz w:val="20"/>
                <w:szCs w:val="20"/>
                <w:color w:val="auto"/>
              </w:rPr>
            </w:pPr>
            <w:r>
              <w:rPr>
                <w:rFonts w:ascii="Arial" w:cs="Arial" w:eastAsia="Arial" w:hAnsi="Arial"/>
                <w:sz w:val="14"/>
                <w:szCs w:val="14"/>
                <w:color w:val="auto"/>
              </w:rPr>
              <w:t>Wildfire Fund</w:t>
            </w:r>
          </w:p>
        </w:tc>
        <w:tc>
          <w:tcPr>
            <w:tcW w:w="9060" w:type="dxa"/>
            <w:vAlign w:val="bottom"/>
          </w:tcPr>
          <w:p>
            <w:pPr>
              <w:ind w:left="420"/>
              <w:spacing w:after="0"/>
              <w:rPr>
                <w:sz w:val="20"/>
                <w:szCs w:val="20"/>
                <w:color w:val="auto"/>
              </w:rPr>
            </w:pPr>
            <w:r>
              <w:rPr>
                <w:rFonts w:ascii="Arial" w:cs="Arial" w:eastAsia="Arial" w:hAnsi="Arial"/>
                <w:sz w:val="14"/>
                <w:szCs w:val="14"/>
                <w:color w:val="auto"/>
              </w:rPr>
              <w:t>the fund established pursuant to AB 1054</w:t>
            </w:r>
          </w:p>
        </w:tc>
      </w:tr>
      <w:tr>
        <w:trPr>
          <w:trHeight w:val="207"/>
        </w:trPr>
        <w:tc>
          <w:tcPr>
            <w:tcW w:w="2180" w:type="dxa"/>
            <w:vAlign w:val="bottom"/>
            <w:shd w:val="clear" w:color="auto" w:fill="D4F1F5"/>
          </w:tcPr>
          <w:p>
            <w:pPr>
              <w:ind w:left="20"/>
              <w:spacing w:after="0"/>
              <w:rPr>
                <w:sz w:val="20"/>
                <w:szCs w:val="20"/>
                <w:color w:val="auto"/>
              </w:rPr>
            </w:pPr>
            <w:r>
              <w:rPr>
                <w:rFonts w:ascii="Arial" w:cs="Arial" w:eastAsia="Arial" w:hAnsi="Arial"/>
                <w:sz w:val="14"/>
                <w:szCs w:val="14"/>
                <w:color w:val="auto"/>
              </w:rPr>
              <w:t>WMP</w:t>
            </w:r>
          </w:p>
        </w:tc>
        <w:tc>
          <w:tcPr>
            <w:tcW w:w="9060" w:type="dxa"/>
            <w:vAlign w:val="bottom"/>
            <w:shd w:val="clear" w:color="auto" w:fill="D4F1F5"/>
          </w:tcPr>
          <w:p>
            <w:pPr>
              <w:ind w:left="420"/>
              <w:spacing w:after="0"/>
              <w:rPr>
                <w:sz w:val="20"/>
                <w:szCs w:val="20"/>
                <w:color w:val="auto"/>
              </w:rPr>
            </w:pPr>
            <w:r>
              <w:rPr>
                <w:rFonts w:ascii="Arial" w:cs="Arial" w:eastAsia="Arial" w:hAnsi="Arial"/>
                <w:sz w:val="14"/>
                <w:szCs w:val="14"/>
                <w:color w:val="auto"/>
              </w:rPr>
              <w:t>wildfire mitigation plan</w:t>
            </w:r>
          </w:p>
        </w:tc>
      </w:tr>
    </w:tbl>
    <w:p>
      <w:pPr>
        <w:spacing w:after="0" w:line="238" w:lineRule="exact"/>
        <w:rPr>
          <w:sz w:val="20"/>
          <w:szCs w:val="20"/>
          <w:color w:val="auto"/>
        </w:rPr>
      </w:pPr>
    </w:p>
    <w:p>
      <w:pPr>
        <w:spacing w:after="0" w:line="274" w:lineRule="auto"/>
        <w:rPr>
          <w:sz w:val="20"/>
          <w:szCs w:val="20"/>
          <w:color w:val="auto"/>
        </w:rPr>
      </w:pPr>
      <w:r>
        <w:rPr>
          <w:rFonts w:ascii="Times New Roman" w:cs="Times New Roman" w:eastAsia="Times New Roman" w:hAnsi="Times New Roman"/>
          <w:sz w:val="18"/>
          <w:szCs w:val="18"/>
          <w:color w:val="auto"/>
        </w:rPr>
        <w:t>In this report, references to “Sempra” are to Sempra and its consolidated entities, collectively, and references to “we,” “our,” “us” and “our company” are to the applicable Registrant and its consolidated entities, collectively, in each case unless otherwise stated or indicated by the context. All references in this report to our reportable segments are not intended to refer to any legal entity with the same or similar name.</w:t>
      </w:r>
    </w:p>
    <w:p>
      <w:pPr>
        <w:spacing w:after="0" w:line="74" w:lineRule="exact"/>
        <w:rPr>
          <w:sz w:val="20"/>
          <w:szCs w:val="20"/>
          <w:color w:val="auto"/>
        </w:rPr>
      </w:pPr>
    </w:p>
    <w:p>
      <w:pPr>
        <w:ind w:right="640"/>
        <w:spacing w:after="0" w:line="282" w:lineRule="auto"/>
        <w:rPr>
          <w:sz w:val="20"/>
          <w:szCs w:val="20"/>
          <w:color w:val="auto"/>
        </w:rPr>
      </w:pPr>
      <w:r>
        <w:rPr>
          <w:rFonts w:ascii="Times New Roman" w:cs="Times New Roman" w:eastAsia="Times New Roman" w:hAnsi="Times New Roman"/>
          <w:sz w:val="18"/>
          <w:szCs w:val="18"/>
          <w:color w:val="auto"/>
        </w:rPr>
        <w:t>Throughout this report, we refer to the following as Condensed Consolidated Financial Statements and Notes to Condensed Consolidated Financial Statements when discussed together or collectively:</w:t>
      </w:r>
    </w:p>
    <w:p>
      <w:pPr>
        <w:spacing w:after="0" w:line="13" w:lineRule="exact"/>
        <w:rPr>
          <w:sz w:val="20"/>
          <w:szCs w:val="20"/>
          <w:color w:val="auto"/>
        </w:rPr>
      </w:pPr>
    </w:p>
    <w:p>
      <w:pPr>
        <w:ind w:left="160" w:hanging="152"/>
        <w:spacing w:after="0"/>
        <w:tabs>
          <w:tab w:leader="none" w:pos="1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Condensed Consolidated Financial Statements and related Notes of Sempra;</w:t>
      </w:r>
    </w:p>
    <w:p>
      <w:pPr>
        <w:spacing w:after="0" w:line="49" w:lineRule="exact"/>
        <w:rPr>
          <w:rFonts w:ascii="Times New Roman" w:cs="Times New Roman" w:eastAsia="Times New Roman" w:hAnsi="Times New Roman"/>
          <w:sz w:val="18"/>
          <w:szCs w:val="18"/>
          <w:color w:val="auto"/>
        </w:rPr>
      </w:pPr>
    </w:p>
    <w:p>
      <w:pPr>
        <w:ind w:left="160" w:hanging="152"/>
        <w:spacing w:after="0"/>
        <w:tabs>
          <w:tab w:leader="none" w:pos="1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Condensed Financial Statements and related Notes of SDG&amp;E; and</w:t>
      </w:r>
    </w:p>
    <w:p>
      <w:pPr>
        <w:spacing w:after="0" w:line="63" w:lineRule="exact"/>
        <w:rPr>
          <w:rFonts w:ascii="Times New Roman" w:cs="Times New Roman" w:eastAsia="Times New Roman" w:hAnsi="Times New Roman"/>
          <w:sz w:val="18"/>
          <w:szCs w:val="18"/>
          <w:color w:val="auto"/>
        </w:rPr>
      </w:pPr>
    </w:p>
    <w:p>
      <w:pPr>
        <w:ind w:left="160" w:hanging="152"/>
        <w:spacing w:after="0"/>
        <w:tabs>
          <w:tab w:leader="none" w:pos="1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Condensed Financial Statements and related Notes of SoCalGas.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150495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711835</wp:posOffset>
            </wp:positionV>
            <wp:extent cx="713232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20"/>
          <w:szCs w:val="20"/>
          <w:color w:val="auto"/>
        </w:rPr>
        <w:t>INFORMATION REGARDING FORWARD-LOOKING STATEMENTS</w:t>
      </w:r>
    </w:p>
    <w:p>
      <w:pPr>
        <w:spacing w:after="0" w:line="97"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18"/>
          <w:szCs w:val="18"/>
          <w:color w:val="auto"/>
        </w:rPr>
        <w:t>This report contains forward-looking statements within the meaning of the Private Securities Litigation Reform Act of 1995. Forward-looking statements are based on assumptions about the future, involve risks and uncertainties, and are not guarantees. Future results may differ materially from those expressed or implied in any forward-looking statement. These forward-looking statements represent our estimates and assumptions only as of the filing date of this report. We assume no obligation to update or revise any forward-looking statement as a result of new information, future events or otherwise.</w:t>
      </w:r>
    </w:p>
    <w:p>
      <w:pPr>
        <w:spacing w:after="0" w:line="64" w:lineRule="exact"/>
        <w:rPr>
          <w:sz w:val="20"/>
          <w:szCs w:val="20"/>
          <w:color w:val="auto"/>
        </w:rPr>
      </w:pPr>
    </w:p>
    <w:p>
      <w:pPr>
        <w:ind w:right="180"/>
        <w:spacing w:after="0" w:line="270" w:lineRule="auto"/>
        <w:rPr>
          <w:sz w:val="20"/>
          <w:szCs w:val="20"/>
          <w:color w:val="auto"/>
        </w:rPr>
      </w:pPr>
      <w:r>
        <w:rPr>
          <w:rFonts w:ascii="Times New Roman" w:cs="Times New Roman" w:eastAsia="Times New Roman" w:hAnsi="Times New Roman"/>
          <w:sz w:val="18"/>
          <w:szCs w:val="18"/>
          <w:color w:val="auto"/>
        </w:rPr>
        <w:t>Forward-looking statements can be identified by words such as “believe,” “expect,” “intend,” “anticipate,” “contemplate,” “plan,” “estimate,” “project,” “forecast,” “envision,” “should,” “could,” “would,” “will,” “confident,” “may,” “can,” “potential,” “possible,” “proposed,” “in process,” “construct,” “develop,” “opportunity,” “preliminary,” “pro forma,” “strategic,” “initiative,” “target,” “outlook,” “optimistic,” “poised,” “positioned,” “maintain,” “continue,” “progress,” “advance,” “goal,” “aim,” “commit,” or similar expressions, or when we discuss our guidance, priorities, strategies, goals, vision, mission, projections, intentions or expectations.</w:t>
      </w:r>
    </w:p>
    <w:p>
      <w:pPr>
        <w:spacing w:after="0" w:line="78"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Factors, among others, that could cause actual results and events to differ materially from those expressed or implied in any forward-looking statement include:</w:t>
      </w:r>
    </w:p>
    <w:p>
      <w:pPr>
        <w:spacing w:after="0" w:line="13" w:lineRule="exact"/>
        <w:rPr>
          <w:sz w:val="20"/>
          <w:szCs w:val="20"/>
          <w:color w:val="auto"/>
        </w:rPr>
      </w:pPr>
    </w:p>
    <w:p>
      <w:pPr>
        <w:ind w:left="180" w:right="400" w:hanging="172"/>
        <w:spacing w:after="0" w:line="266" w:lineRule="auto"/>
        <w:tabs>
          <w:tab w:leader="none" w:pos="176"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California wildfires, including potential liability for damages regardless of fault and any inability to recover all or a substantial portion of costs from insurance, the Wildfire Fund and the Continuation Account, rates from customers or a combination thereof</w:t>
      </w:r>
    </w:p>
    <w:p>
      <w:pPr>
        <w:spacing w:after="0" w:line="13" w:lineRule="exact"/>
        <w:rPr>
          <w:rFonts w:ascii="Times New Roman" w:cs="Times New Roman" w:eastAsia="Times New Roman" w:hAnsi="Times New Roman"/>
          <w:sz w:val="18"/>
          <w:szCs w:val="18"/>
          <w:color w:val="auto"/>
        </w:rPr>
      </w:pPr>
    </w:p>
    <w:p>
      <w:pPr>
        <w:ind w:left="180" w:right="80" w:hanging="172"/>
        <w:spacing w:after="0" w:line="250" w:lineRule="auto"/>
        <w:tabs>
          <w:tab w:leader="none" w:pos="176"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decisions, disallowances or denials of cost recovery, audits, investigations, inquiries, ordered studies, regulations, legislative actions, denials or revocations of permits, consents, approvals or other authorizations, renewals of franchises, and other actions, including the failure to honor contracts and commitments, by the (i) CNE, CPUC, DOE, FERC, IRS, PUCT and other regulatory bodies and (ii) U.S., Mexico and states, counties, cities and other jurisdictions therein and in other countries where we do business</w:t>
      </w:r>
    </w:p>
    <w:p>
      <w:pPr>
        <w:spacing w:after="0" w:line="15" w:lineRule="exact"/>
        <w:rPr>
          <w:rFonts w:ascii="Times New Roman" w:cs="Times New Roman" w:eastAsia="Times New Roman" w:hAnsi="Times New Roman"/>
          <w:sz w:val="18"/>
          <w:szCs w:val="18"/>
          <w:color w:val="auto"/>
        </w:rPr>
      </w:pPr>
    </w:p>
    <w:p>
      <w:pPr>
        <w:ind w:left="180" w:right="180" w:hanging="172"/>
        <w:spacing w:after="0" w:line="246" w:lineRule="auto"/>
        <w:tabs>
          <w:tab w:leader="none" w:pos="176"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business development efforts, construction projects, acquisitions, divestitures, and other significant transactions, such as the planned sale of a portion of our equity interest in SI Partners, including risks related to, as applicable, (i) being able to reach a positive FID, (ii) negotiating pricing and other terms in definitive contracts, (iii) completing construction projects or other transactions on schedule and budget, (iv) realizing anticipated benefits from any of these efforts if completed, (v) obtaining regulatory and other approvals and (vi) third parties honoring their contracts and commitments, including with respect to closing or post-closing payments</w:t>
      </w:r>
    </w:p>
    <w:p>
      <w:pPr>
        <w:spacing w:after="0" w:line="19" w:lineRule="exact"/>
        <w:rPr>
          <w:rFonts w:ascii="Times New Roman" w:cs="Times New Roman" w:eastAsia="Times New Roman" w:hAnsi="Times New Roman"/>
          <w:sz w:val="18"/>
          <w:szCs w:val="18"/>
          <w:color w:val="auto"/>
        </w:rPr>
      </w:pPr>
    </w:p>
    <w:p>
      <w:pPr>
        <w:ind w:left="160" w:hanging="152"/>
        <w:spacing w:after="0"/>
        <w:tabs>
          <w:tab w:leader="none" w:pos="1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to our capital expenditure plans and their potential impact on rate base or other growth</w:t>
      </w:r>
    </w:p>
    <w:p>
      <w:pPr>
        <w:spacing w:after="0" w:line="63" w:lineRule="exact"/>
        <w:rPr>
          <w:rFonts w:ascii="Times New Roman" w:cs="Times New Roman" w:eastAsia="Times New Roman" w:hAnsi="Times New Roman"/>
          <w:sz w:val="18"/>
          <w:szCs w:val="18"/>
          <w:color w:val="auto"/>
        </w:rPr>
      </w:pPr>
    </w:p>
    <w:p>
      <w:pPr>
        <w:ind w:left="180" w:right="80" w:hanging="172"/>
        <w:spacing w:after="0" w:line="272" w:lineRule="auto"/>
        <w:tabs>
          <w:tab w:leader="none" w:pos="176"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due to evolving economic, political and other factors and increasing geopolitical instability as a result of wars or other conflicts in various parts of the world, to (i) trade and other foreign policy, including the imposition of tariffs by the U.S. and foreign countries (and uncertainty related to the implementation and enforceability thereof), and (ii) laws and regulations, including those related to tax and the energy industry in the U.S. and Mexico</w:t>
      </w:r>
    </w:p>
    <w:p>
      <w:pPr>
        <w:spacing w:after="0" w:line="10" w:lineRule="exact"/>
        <w:rPr>
          <w:rFonts w:ascii="Times New Roman" w:cs="Times New Roman" w:eastAsia="Times New Roman" w:hAnsi="Times New Roman"/>
          <w:sz w:val="17"/>
          <w:szCs w:val="17"/>
          <w:color w:val="auto"/>
        </w:rPr>
      </w:pPr>
    </w:p>
    <w:p>
      <w:pPr>
        <w:ind w:left="160" w:hanging="152"/>
        <w:spacing w:after="0"/>
        <w:tabs>
          <w:tab w:leader="none" w:pos="1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litigation, arbitration, property disputes and other proceedings</w:t>
      </w:r>
    </w:p>
    <w:p>
      <w:pPr>
        <w:spacing w:after="0" w:line="49" w:lineRule="exact"/>
        <w:rPr>
          <w:rFonts w:ascii="Times New Roman" w:cs="Times New Roman" w:eastAsia="Times New Roman" w:hAnsi="Times New Roman"/>
          <w:sz w:val="18"/>
          <w:szCs w:val="18"/>
          <w:color w:val="auto"/>
        </w:rPr>
      </w:pPr>
    </w:p>
    <w:p>
      <w:pPr>
        <w:ind w:left="180" w:right="200" w:hanging="172"/>
        <w:spacing w:after="0" w:line="266" w:lineRule="auto"/>
        <w:tabs>
          <w:tab w:leader="none" w:pos="176"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cybersecurity threats, including by nation-state actors, of ransomware or other attacks on our systems, the energy grid or our other infrastructure, or the systems of third parties with which we conduct business</w:t>
      </w:r>
    </w:p>
    <w:p>
      <w:pPr>
        <w:spacing w:after="0" w:line="13" w:lineRule="exact"/>
        <w:rPr>
          <w:rFonts w:ascii="Times New Roman" w:cs="Times New Roman" w:eastAsia="Times New Roman" w:hAnsi="Times New Roman"/>
          <w:sz w:val="18"/>
          <w:szCs w:val="18"/>
          <w:color w:val="auto"/>
        </w:rPr>
      </w:pPr>
    </w:p>
    <w:p>
      <w:pPr>
        <w:ind w:left="180" w:hanging="172"/>
        <w:spacing w:after="0" w:line="250" w:lineRule="auto"/>
        <w:tabs>
          <w:tab w:leader="none" w:pos="176"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uses, sufficiency, and cost of capital resources and our ability to borrow money or otherwise raise capital on favorable terms and meet our obligations, which can be affected by, among other things, (i) actions by credit rating agencies to downgrade our credit ratings or place those ratings on negative outlook, (ii) instability in the capital markets, and (iii) fluctuating interest rates and inflation</w:t>
      </w:r>
    </w:p>
    <w:p>
      <w:pPr>
        <w:spacing w:after="0" w:line="28" w:lineRule="exact"/>
        <w:rPr>
          <w:rFonts w:ascii="Times New Roman" w:cs="Times New Roman" w:eastAsia="Times New Roman" w:hAnsi="Times New Roman"/>
          <w:sz w:val="18"/>
          <w:szCs w:val="18"/>
          <w:color w:val="auto"/>
        </w:rPr>
      </w:pPr>
    </w:p>
    <w:p>
      <w:pPr>
        <w:ind w:left="180" w:right="220" w:hanging="172"/>
        <w:spacing w:after="0" w:line="266" w:lineRule="auto"/>
        <w:tabs>
          <w:tab w:leader="none" w:pos="176"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efforts to increase affordability of U.S. utility customer rates on our ability to obtain cost recovery from applicable regulators, our capital expenditure and other growth plans and our ability to advance statewide policies</w:t>
      </w:r>
    </w:p>
    <w:p>
      <w:pPr>
        <w:jc w:val="both"/>
        <w:ind w:left="180" w:right="60" w:hanging="172"/>
        <w:spacing w:after="0" w:line="258" w:lineRule="auto"/>
        <w:tabs>
          <w:tab w:leader="none" w:pos="176"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on affordability of customer rates, cost of capital and operating margin due to (i) volatility in inflation, interest rates, commodity prices, tariff rates, and foreign currency exchange rates and (ii) with respect to SDG&amp;E’s and SoCalGas’ businesses, the cost of meeting the demand for lower carbon and reliable energy in California</w:t>
      </w:r>
    </w:p>
    <w:p>
      <w:pPr>
        <w:spacing w:after="0" w:line="7" w:lineRule="exact"/>
        <w:rPr>
          <w:rFonts w:ascii="Times New Roman" w:cs="Times New Roman" w:eastAsia="Times New Roman" w:hAnsi="Times New Roman"/>
          <w:sz w:val="18"/>
          <w:szCs w:val="18"/>
          <w:color w:val="auto"/>
        </w:rPr>
      </w:pPr>
    </w:p>
    <w:p>
      <w:pPr>
        <w:ind w:left="180" w:right="220" w:hanging="172"/>
        <w:spacing w:after="0" w:line="258" w:lineRule="auto"/>
        <w:tabs>
          <w:tab w:leader="none" w:pos="176"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climate policies, laws, rules, regulations, trends and required disclosures, including actions to reduce or eliminate reliance on natural gas, increased uncertainty in the political or regulatory environment for California natural gas distribution companies, the risk of nonrecovery for stranded assets, and uncertainty related to emerging technologies</w:t>
      </w:r>
    </w:p>
    <w:p>
      <w:pPr>
        <w:spacing w:after="0" w:line="7" w:lineRule="exact"/>
        <w:rPr>
          <w:rFonts w:ascii="Times New Roman" w:cs="Times New Roman" w:eastAsia="Times New Roman" w:hAnsi="Times New Roman"/>
          <w:sz w:val="18"/>
          <w:szCs w:val="18"/>
          <w:color w:val="auto"/>
        </w:rPr>
      </w:pPr>
    </w:p>
    <w:p>
      <w:pPr>
        <w:ind w:left="180" w:right="320" w:hanging="172"/>
        <w:spacing w:after="0" w:line="250" w:lineRule="auto"/>
        <w:tabs>
          <w:tab w:leader="none" w:pos="176"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weather, natural disasters, pandemics, accidents, equipment failures, explosions, terrorism, information system outages or other events, such as work stoppages, that disrupt our operations, damage our facilities or systems, cause the release of harmful materials or fires or subject us to liability for damages, fines and penalties, some of which may not be recoverable through regulatory mechanisms or insurance or may impact our ability to obtain satisfactory levels of affordable insurance</w:t>
      </w:r>
    </w:p>
    <w:p>
      <w:pPr>
        <w:spacing w:after="0" w:line="200" w:lineRule="exact"/>
        <w:rPr>
          <w:sz w:val="20"/>
          <w:szCs w:val="20"/>
          <w:color w:val="auto"/>
        </w:rPr>
      </w:pPr>
    </w:p>
    <w:p>
      <w:pPr>
        <w:spacing w:after="0" w:line="3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150495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180" w:right="580" w:hanging="172"/>
        <w:spacing w:after="0" w:line="266" w:lineRule="auto"/>
        <w:tabs>
          <w:tab w:leader="none" w:pos="176"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electric power, natural gas and natural gas storage and transportation capacity, including disruptions caused by failures in the transmission grid or pipeline and storage systems or limitations on the injection and withdrawal of natural gas from storage facilities</w:t>
      </w:r>
    </w:p>
    <w:p>
      <w:pPr>
        <w:spacing w:after="0" w:line="13" w:lineRule="exact"/>
        <w:rPr>
          <w:rFonts w:ascii="Times New Roman" w:cs="Times New Roman" w:eastAsia="Times New Roman" w:hAnsi="Times New Roman"/>
          <w:sz w:val="18"/>
          <w:szCs w:val="18"/>
          <w:color w:val="auto"/>
        </w:rPr>
      </w:pPr>
    </w:p>
    <w:p>
      <w:pPr>
        <w:ind w:left="180" w:hanging="172"/>
        <w:spacing w:after="0" w:line="266" w:lineRule="auto"/>
        <w:tabs>
          <w:tab w:leader="none" w:pos="176"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Oncor’s ability to reduce or eliminate its quarterly dividends due to regulatory and governance requirements and commitments, including by actions of Oncor’s independent directors or a minority member director</w:t>
      </w:r>
    </w:p>
    <w:p>
      <w:pPr>
        <w:ind w:left="160" w:hanging="152"/>
        <w:spacing w:after="0"/>
        <w:tabs>
          <w:tab w:leader="none" w:pos="1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uncertainties, some of which are difficult to predict and beyond our control</w:t>
      </w:r>
    </w:p>
    <w:p>
      <w:pPr>
        <w:spacing w:after="0" w:line="171"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We caution you not to rely unduly on any forward-looking statements. You should review and carefully consider the risks, uncertainties and other factors that affect our businesses as described herein, in our Annual Report and in other reports we file with the SEC.</w:t>
      </w:r>
    </w:p>
    <w:p>
      <w:pPr>
        <w:spacing w:after="0" w:line="200" w:lineRule="exact"/>
        <w:rPr>
          <w:sz w:val="20"/>
          <w:szCs w:val="20"/>
          <w:color w:val="auto"/>
        </w:rPr>
      </w:pPr>
    </w:p>
    <w:p>
      <w:pPr>
        <w:spacing w:after="0" w:line="340"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150495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40"/>
          </w:cols>
          <w:pgMar w:left="320" w:top="121" w:right="5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Arial" w:cs="Arial" w:eastAsia="Arial" w:hAnsi="Arial"/>
          <w:sz w:val="23"/>
          <w:szCs w:val="23"/>
          <w:color w:val="auto"/>
        </w:rPr>
        <w:t>PART I – FINANCIAL INFORMATION</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Arial" w:cs="Arial" w:eastAsia="Arial" w:hAnsi="Arial"/>
          <w:sz w:val="20"/>
          <w:szCs w:val="20"/>
          <w:color w:val="auto"/>
        </w:rPr>
        <w:t>ITEM 1.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313690</wp:posOffset>
            </wp:positionV>
            <wp:extent cx="7132320" cy="45466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454660"/>
                    </a:xfrm>
                    <a:prstGeom prst="rect">
                      <a:avLst/>
                    </a:prstGeom>
                    <a:noFill/>
                  </pic:spPr>
                </pic:pic>
              </a:graphicData>
            </a:graphic>
          </wp:anchor>
        </w:drawing>
      </w:r>
    </w:p>
    <w:p>
      <w:pPr>
        <w:spacing w:after="0" w:line="200" w:lineRule="exact"/>
        <w:rPr>
          <w:sz w:val="20"/>
          <w:szCs w:val="20"/>
          <w:color w:val="auto"/>
        </w:rPr>
      </w:pPr>
    </w:p>
    <w:p>
      <w:pPr>
        <w:spacing w:after="0" w:line="287"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FFFFFF"/>
        </w:rPr>
        <w:t>SEMPRA</w:t>
      </w:r>
    </w:p>
    <w:p>
      <w:pPr>
        <w:spacing w:after="0" w:line="59"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FFFFFF"/>
        </w:rPr>
        <w:t>CONDENSED CONSOLIDATED STATEMENTS OF OPERATIONS</w:t>
      </w:r>
    </w:p>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8220" w:type="dxa"/>
            <w:vAlign w:val="bottom"/>
          </w:tcPr>
          <w:p>
            <w:pPr>
              <w:ind w:left="20"/>
              <w:spacing w:after="0"/>
              <w:rPr>
                <w:sz w:val="20"/>
                <w:szCs w:val="20"/>
                <w:color w:val="auto"/>
              </w:rPr>
            </w:pPr>
            <w:r>
              <w:rPr>
                <w:rFonts w:ascii="Arial" w:cs="Arial" w:eastAsia="Arial" w:hAnsi="Arial"/>
                <w:sz w:val="14"/>
                <w:szCs w:val="14"/>
                <w:i w:val="1"/>
                <w:iCs w:val="1"/>
                <w:color w:val="FFFFFF"/>
              </w:rPr>
              <w:t>(Dollars in millions, except per share amounts; shares in thousands)</w:t>
            </w:r>
          </w:p>
        </w:tc>
        <w:tc>
          <w:tcPr>
            <w:tcW w:w="3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233"/>
        </w:trPr>
        <w:tc>
          <w:tcPr>
            <w:tcW w:w="82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2700" w:type="dxa"/>
            <w:vAlign w:val="bottom"/>
            <w:tcBorders>
              <w:bottom w:val="single" w:sz="8" w:color="auto"/>
            </w:tcBorders>
            <w:gridSpan w:val="3"/>
          </w:tcPr>
          <w:p>
            <w:pPr>
              <w:jc w:val="right"/>
              <w:ind w:right="419"/>
              <w:spacing w:after="0"/>
              <w:rPr>
                <w:sz w:val="20"/>
                <w:szCs w:val="20"/>
                <w:color w:val="auto"/>
              </w:rPr>
            </w:pPr>
            <w:r>
              <w:rPr>
                <w:rFonts w:ascii="Arial" w:cs="Arial" w:eastAsia="Arial" w:hAnsi="Arial"/>
                <w:sz w:val="14"/>
                <w:szCs w:val="14"/>
                <w:color w:val="auto"/>
              </w:rPr>
              <w:t>Three months ended March 31,</w:t>
            </w:r>
          </w:p>
        </w:tc>
      </w:tr>
      <w:tr>
        <w:trPr>
          <w:trHeight w:val="209"/>
        </w:trPr>
        <w:tc>
          <w:tcPr>
            <w:tcW w:w="822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60"/>
              <w:spacing w:after="0"/>
              <w:rPr>
                <w:sz w:val="20"/>
                <w:szCs w:val="20"/>
                <w:color w:val="auto"/>
              </w:rPr>
            </w:pPr>
            <w:r>
              <w:rPr>
                <w:rFonts w:ascii="Arial" w:cs="Arial" w:eastAsia="Arial" w:hAnsi="Arial"/>
                <w:sz w:val="14"/>
                <w:szCs w:val="14"/>
                <w:color w:val="auto"/>
              </w:rPr>
              <w:t>2026</w:t>
            </w:r>
          </w:p>
        </w:tc>
        <w:tc>
          <w:tcPr>
            <w:tcW w:w="5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459"/>
              <w:spacing w:after="0"/>
              <w:rPr>
                <w:sz w:val="20"/>
                <w:szCs w:val="20"/>
                <w:color w:val="auto"/>
              </w:rPr>
            </w:pPr>
            <w:r>
              <w:rPr>
                <w:rFonts w:ascii="Arial" w:cs="Arial" w:eastAsia="Arial" w:hAnsi="Arial"/>
                <w:sz w:val="14"/>
                <w:szCs w:val="14"/>
                <w:color w:val="auto"/>
              </w:rPr>
              <w:t>2025</w:t>
            </w:r>
          </w:p>
        </w:tc>
      </w:tr>
      <w:tr>
        <w:trPr>
          <w:trHeight w:val="214"/>
        </w:trPr>
        <w:tc>
          <w:tcPr>
            <w:tcW w:w="8220" w:type="dxa"/>
            <w:vAlign w:val="bottom"/>
            <w:shd w:val="clear" w:color="auto" w:fill="D4F1F5"/>
          </w:tcPr>
          <w:p>
            <w:pPr>
              <w:spacing w:after="0"/>
              <w:rPr>
                <w:sz w:val="18"/>
                <w:szCs w:val="18"/>
                <w:color w:val="auto"/>
              </w:rPr>
            </w:pPr>
          </w:p>
        </w:tc>
        <w:tc>
          <w:tcPr>
            <w:tcW w:w="320" w:type="dxa"/>
            <w:vAlign w:val="bottom"/>
            <w:shd w:val="clear" w:color="auto" w:fill="D4F1F5"/>
          </w:tcPr>
          <w:p>
            <w:pPr>
              <w:spacing w:after="0"/>
              <w:rPr>
                <w:sz w:val="18"/>
                <w:szCs w:val="18"/>
                <w:color w:val="auto"/>
              </w:rPr>
            </w:pPr>
          </w:p>
        </w:tc>
        <w:tc>
          <w:tcPr>
            <w:tcW w:w="1700" w:type="dxa"/>
            <w:vAlign w:val="bottom"/>
            <w:gridSpan w:val="2"/>
            <w:shd w:val="clear" w:color="auto" w:fill="D4F1F5"/>
          </w:tcPr>
          <w:p>
            <w:pPr>
              <w:jc w:val="right"/>
              <w:ind w:right="59"/>
              <w:spacing w:after="0"/>
              <w:rPr>
                <w:sz w:val="20"/>
                <w:szCs w:val="20"/>
                <w:color w:val="auto"/>
              </w:rPr>
            </w:pPr>
            <w:r>
              <w:rPr>
                <w:rFonts w:ascii="Arial" w:cs="Arial" w:eastAsia="Arial" w:hAnsi="Arial"/>
                <w:sz w:val="14"/>
                <w:szCs w:val="14"/>
                <w:color w:val="auto"/>
              </w:rPr>
              <w:t>(unaudited)</w:t>
            </w:r>
          </w:p>
        </w:tc>
        <w:tc>
          <w:tcPr>
            <w:tcW w:w="1000" w:type="dxa"/>
            <w:vAlign w:val="bottom"/>
            <w:shd w:val="clear" w:color="auto" w:fill="D4F1F5"/>
          </w:tcPr>
          <w:p>
            <w:pPr>
              <w:spacing w:after="0"/>
              <w:rPr>
                <w:sz w:val="18"/>
                <w:szCs w:val="18"/>
                <w:color w:val="auto"/>
              </w:rPr>
            </w:pPr>
          </w:p>
        </w:tc>
      </w:tr>
      <w:tr>
        <w:trPr>
          <w:trHeight w:val="215"/>
        </w:trPr>
        <w:tc>
          <w:tcPr>
            <w:tcW w:w="8220" w:type="dxa"/>
            <w:vAlign w:val="bottom"/>
          </w:tcPr>
          <w:p>
            <w:pPr>
              <w:ind w:left="20"/>
              <w:spacing w:after="0"/>
              <w:rPr>
                <w:sz w:val="20"/>
                <w:szCs w:val="20"/>
                <w:color w:val="auto"/>
              </w:rPr>
            </w:pPr>
            <w:r>
              <w:rPr>
                <w:rFonts w:ascii="Arial" w:cs="Arial" w:eastAsia="Arial" w:hAnsi="Arial"/>
                <w:sz w:val="16"/>
                <w:szCs w:val="16"/>
                <w:color w:val="auto"/>
              </w:rPr>
              <w:t>REVENUES</w:t>
            </w:r>
          </w:p>
        </w:tc>
        <w:tc>
          <w:tcPr>
            <w:tcW w:w="3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17"/>
        </w:trPr>
        <w:tc>
          <w:tcPr>
            <w:tcW w:w="8220" w:type="dxa"/>
            <w:vAlign w:val="bottom"/>
            <w:shd w:val="clear" w:color="auto" w:fill="D4F1F5"/>
          </w:tcPr>
          <w:p>
            <w:pPr>
              <w:ind w:left="20"/>
              <w:spacing w:after="0"/>
              <w:rPr>
                <w:sz w:val="20"/>
                <w:szCs w:val="20"/>
                <w:color w:val="auto"/>
              </w:rPr>
            </w:pPr>
            <w:r>
              <w:rPr>
                <w:rFonts w:ascii="Arial" w:cs="Arial" w:eastAsia="Arial" w:hAnsi="Arial"/>
                <w:sz w:val="16"/>
                <w:szCs w:val="16"/>
                <w:color w:val="auto"/>
              </w:rPr>
              <w:t>Utilities:</w:t>
            </w:r>
          </w:p>
        </w:tc>
        <w:tc>
          <w:tcPr>
            <w:tcW w:w="320" w:type="dxa"/>
            <w:vAlign w:val="bottom"/>
            <w:shd w:val="clear" w:color="auto" w:fill="D4F1F5"/>
          </w:tcPr>
          <w:p>
            <w:pPr>
              <w:spacing w:after="0"/>
              <w:rPr>
                <w:sz w:val="18"/>
                <w:szCs w:val="18"/>
                <w:color w:val="auto"/>
              </w:rPr>
            </w:pPr>
          </w:p>
        </w:tc>
        <w:tc>
          <w:tcPr>
            <w:tcW w:w="1200" w:type="dxa"/>
            <w:vAlign w:val="bottom"/>
            <w:shd w:val="clear" w:color="auto" w:fill="D4F1F5"/>
          </w:tcPr>
          <w:p>
            <w:pPr>
              <w:spacing w:after="0"/>
              <w:rPr>
                <w:sz w:val="18"/>
                <w:szCs w:val="18"/>
                <w:color w:val="auto"/>
              </w:rPr>
            </w:pPr>
          </w:p>
        </w:tc>
        <w:tc>
          <w:tcPr>
            <w:tcW w:w="500" w:type="dxa"/>
            <w:vAlign w:val="bottom"/>
            <w:shd w:val="clear" w:color="auto" w:fill="D4F1F5"/>
          </w:tcPr>
          <w:p>
            <w:pPr>
              <w:spacing w:after="0"/>
              <w:rPr>
                <w:sz w:val="18"/>
                <w:szCs w:val="18"/>
                <w:color w:val="auto"/>
              </w:rPr>
            </w:pPr>
          </w:p>
        </w:tc>
        <w:tc>
          <w:tcPr>
            <w:tcW w:w="1000" w:type="dxa"/>
            <w:vAlign w:val="bottom"/>
            <w:shd w:val="clear" w:color="auto" w:fill="D4F1F5"/>
          </w:tcPr>
          <w:p>
            <w:pPr>
              <w:spacing w:after="0"/>
              <w:rPr>
                <w:sz w:val="18"/>
                <w:szCs w:val="18"/>
                <w:color w:val="auto"/>
              </w:rPr>
            </w:pPr>
          </w:p>
        </w:tc>
      </w:tr>
      <w:tr>
        <w:trPr>
          <w:trHeight w:val="215"/>
        </w:trPr>
        <w:tc>
          <w:tcPr>
            <w:tcW w:w="8220" w:type="dxa"/>
            <w:vAlign w:val="bottom"/>
          </w:tcPr>
          <w:p>
            <w:pPr>
              <w:ind w:left="240"/>
              <w:spacing w:after="0"/>
              <w:rPr>
                <w:sz w:val="20"/>
                <w:szCs w:val="20"/>
                <w:color w:val="auto"/>
              </w:rPr>
            </w:pPr>
            <w:r>
              <w:rPr>
                <w:rFonts w:ascii="Arial" w:cs="Arial" w:eastAsia="Arial" w:hAnsi="Arial"/>
                <w:sz w:val="16"/>
                <w:szCs w:val="16"/>
                <w:color w:val="auto"/>
              </w:rPr>
              <w:t>Natural gas</w:t>
            </w: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80"/>
              <w:spacing w:after="0"/>
              <w:rPr>
                <w:sz w:val="20"/>
                <w:szCs w:val="20"/>
                <w:color w:val="auto"/>
              </w:rPr>
            </w:pPr>
            <w:r>
              <w:rPr>
                <w:rFonts w:ascii="Arial" w:cs="Arial" w:eastAsia="Arial" w:hAnsi="Arial"/>
                <w:sz w:val="16"/>
                <w:szCs w:val="16"/>
                <w:color w:val="auto"/>
              </w:rPr>
              <w:t>2,025</w:t>
            </w:r>
          </w:p>
        </w:tc>
        <w:tc>
          <w:tcPr>
            <w:tcW w:w="50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2,362</w:t>
            </w:r>
          </w:p>
        </w:tc>
      </w:tr>
      <w:tr>
        <w:trPr>
          <w:trHeight w:val="217"/>
        </w:trPr>
        <w:tc>
          <w:tcPr>
            <w:tcW w:w="8220" w:type="dxa"/>
            <w:vAlign w:val="bottom"/>
            <w:shd w:val="clear" w:color="auto" w:fill="D4F1F5"/>
          </w:tcPr>
          <w:p>
            <w:pPr>
              <w:ind w:left="240"/>
              <w:spacing w:after="0"/>
              <w:rPr>
                <w:sz w:val="20"/>
                <w:szCs w:val="20"/>
                <w:color w:val="auto"/>
              </w:rPr>
            </w:pPr>
            <w:r>
              <w:rPr>
                <w:rFonts w:ascii="Arial" w:cs="Arial" w:eastAsia="Arial" w:hAnsi="Arial"/>
                <w:sz w:val="16"/>
                <w:szCs w:val="16"/>
                <w:color w:val="auto"/>
              </w:rPr>
              <w:t>Electric</w:t>
            </w:r>
          </w:p>
        </w:tc>
        <w:tc>
          <w:tcPr>
            <w:tcW w:w="320" w:type="dxa"/>
            <w:vAlign w:val="bottom"/>
            <w:shd w:val="clear" w:color="auto" w:fill="D4F1F5"/>
          </w:tcPr>
          <w:p>
            <w:pPr>
              <w:spacing w:after="0"/>
              <w:rPr>
                <w:sz w:val="18"/>
                <w:szCs w:val="18"/>
                <w:color w:val="auto"/>
              </w:rPr>
            </w:pPr>
          </w:p>
        </w:tc>
        <w:tc>
          <w:tcPr>
            <w:tcW w:w="1200" w:type="dxa"/>
            <w:vAlign w:val="bottom"/>
            <w:shd w:val="clear" w:color="auto" w:fill="D4F1F5"/>
          </w:tcPr>
          <w:p>
            <w:pPr>
              <w:jc w:val="right"/>
              <w:ind w:right="80"/>
              <w:spacing w:after="0"/>
              <w:rPr>
                <w:sz w:val="20"/>
                <w:szCs w:val="20"/>
                <w:color w:val="auto"/>
              </w:rPr>
            </w:pPr>
            <w:r>
              <w:rPr>
                <w:rFonts w:ascii="Arial" w:cs="Arial" w:eastAsia="Arial" w:hAnsi="Arial"/>
                <w:sz w:val="16"/>
                <w:szCs w:val="16"/>
                <w:color w:val="auto"/>
              </w:rPr>
              <w:t>1,224</w:t>
            </w:r>
          </w:p>
        </w:tc>
        <w:tc>
          <w:tcPr>
            <w:tcW w:w="500" w:type="dxa"/>
            <w:vAlign w:val="bottom"/>
            <w:shd w:val="clear" w:color="auto" w:fill="D4F1F5"/>
          </w:tcPr>
          <w:p>
            <w:pPr>
              <w:spacing w:after="0"/>
              <w:rPr>
                <w:sz w:val="18"/>
                <w:szCs w:val="18"/>
                <w:color w:val="auto"/>
              </w:rPr>
            </w:pPr>
          </w:p>
        </w:tc>
        <w:tc>
          <w:tcPr>
            <w:tcW w:w="1000" w:type="dxa"/>
            <w:vAlign w:val="bottom"/>
            <w:shd w:val="clear" w:color="auto" w:fill="D4F1F5"/>
          </w:tcPr>
          <w:p>
            <w:pPr>
              <w:jc w:val="right"/>
              <w:spacing w:after="0"/>
              <w:rPr>
                <w:sz w:val="20"/>
                <w:szCs w:val="20"/>
                <w:color w:val="auto"/>
              </w:rPr>
            </w:pPr>
            <w:r>
              <w:rPr>
                <w:rFonts w:ascii="Arial" w:cs="Arial" w:eastAsia="Arial" w:hAnsi="Arial"/>
                <w:sz w:val="16"/>
                <w:szCs w:val="16"/>
                <w:color w:val="auto"/>
              </w:rPr>
              <w:t>1,059</w:t>
            </w:r>
          </w:p>
        </w:tc>
      </w:tr>
      <w:tr>
        <w:trPr>
          <w:trHeight w:val="215"/>
        </w:trPr>
        <w:tc>
          <w:tcPr>
            <w:tcW w:w="8220" w:type="dxa"/>
            <w:vAlign w:val="bottom"/>
            <w:tcBorders>
              <w:bottom w:val="single" w:sz="8" w:color="D4F1F5"/>
            </w:tcBorders>
          </w:tcPr>
          <w:p>
            <w:pPr>
              <w:ind w:left="20"/>
              <w:spacing w:after="0"/>
              <w:rPr>
                <w:sz w:val="20"/>
                <w:szCs w:val="20"/>
                <w:color w:val="auto"/>
              </w:rPr>
            </w:pPr>
            <w:r>
              <w:rPr>
                <w:rFonts w:ascii="Arial" w:cs="Arial" w:eastAsia="Arial" w:hAnsi="Arial"/>
                <w:sz w:val="16"/>
                <w:szCs w:val="16"/>
                <w:color w:val="auto"/>
              </w:rPr>
              <w:t>Energy-related businesses</w:t>
            </w:r>
          </w:p>
        </w:tc>
        <w:tc>
          <w:tcPr>
            <w:tcW w:w="3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406</w:t>
            </w:r>
          </w:p>
        </w:tc>
        <w:tc>
          <w:tcPr>
            <w:tcW w:w="5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381</w:t>
            </w:r>
          </w:p>
        </w:tc>
      </w:tr>
      <w:tr>
        <w:trPr>
          <w:trHeight w:val="210"/>
        </w:trPr>
        <w:tc>
          <w:tcPr>
            <w:tcW w:w="8220" w:type="dxa"/>
            <w:vAlign w:val="bottom"/>
            <w:shd w:val="clear" w:color="auto" w:fill="D4F1F5"/>
          </w:tcPr>
          <w:p>
            <w:pPr>
              <w:ind w:left="240"/>
              <w:spacing w:after="0"/>
              <w:rPr>
                <w:sz w:val="20"/>
                <w:szCs w:val="20"/>
                <w:color w:val="auto"/>
              </w:rPr>
            </w:pPr>
            <w:r>
              <w:rPr>
                <w:rFonts w:ascii="Arial" w:cs="Arial" w:eastAsia="Arial" w:hAnsi="Arial"/>
                <w:sz w:val="16"/>
                <w:szCs w:val="16"/>
                <w:color w:val="auto"/>
              </w:rPr>
              <w:t>Total revenues</w:t>
            </w:r>
          </w:p>
        </w:tc>
        <w:tc>
          <w:tcPr>
            <w:tcW w:w="320" w:type="dxa"/>
            <w:vAlign w:val="bottom"/>
            <w:shd w:val="clear" w:color="auto" w:fill="D4F1F5"/>
          </w:tcPr>
          <w:p>
            <w:pPr>
              <w:spacing w:after="0"/>
              <w:rPr>
                <w:sz w:val="18"/>
                <w:szCs w:val="18"/>
                <w:color w:val="auto"/>
              </w:rPr>
            </w:pPr>
          </w:p>
        </w:tc>
        <w:tc>
          <w:tcPr>
            <w:tcW w:w="1200" w:type="dxa"/>
            <w:vAlign w:val="bottom"/>
            <w:shd w:val="clear" w:color="auto" w:fill="D4F1F5"/>
          </w:tcPr>
          <w:p>
            <w:pPr>
              <w:jc w:val="right"/>
              <w:ind w:right="80"/>
              <w:spacing w:after="0"/>
              <w:rPr>
                <w:sz w:val="20"/>
                <w:szCs w:val="20"/>
                <w:color w:val="auto"/>
              </w:rPr>
            </w:pPr>
            <w:r>
              <w:rPr>
                <w:rFonts w:ascii="Arial" w:cs="Arial" w:eastAsia="Arial" w:hAnsi="Arial"/>
                <w:sz w:val="16"/>
                <w:szCs w:val="16"/>
                <w:color w:val="auto"/>
              </w:rPr>
              <w:t>3,655</w:t>
            </w:r>
          </w:p>
        </w:tc>
        <w:tc>
          <w:tcPr>
            <w:tcW w:w="500" w:type="dxa"/>
            <w:vAlign w:val="bottom"/>
            <w:shd w:val="clear" w:color="auto" w:fill="D4F1F5"/>
          </w:tcPr>
          <w:p>
            <w:pPr>
              <w:spacing w:after="0"/>
              <w:rPr>
                <w:sz w:val="18"/>
                <w:szCs w:val="18"/>
                <w:color w:val="auto"/>
              </w:rPr>
            </w:pPr>
          </w:p>
        </w:tc>
        <w:tc>
          <w:tcPr>
            <w:tcW w:w="1000" w:type="dxa"/>
            <w:vAlign w:val="bottom"/>
            <w:shd w:val="clear" w:color="auto" w:fill="D4F1F5"/>
          </w:tcPr>
          <w:p>
            <w:pPr>
              <w:jc w:val="right"/>
              <w:spacing w:after="0"/>
              <w:rPr>
                <w:sz w:val="20"/>
                <w:szCs w:val="20"/>
                <w:color w:val="auto"/>
              </w:rPr>
            </w:pPr>
            <w:r>
              <w:rPr>
                <w:rFonts w:ascii="Arial" w:cs="Arial" w:eastAsia="Arial" w:hAnsi="Arial"/>
                <w:sz w:val="16"/>
                <w:szCs w:val="16"/>
                <w:color w:val="auto"/>
              </w:rPr>
              <w:t>3,802</w:t>
            </w:r>
          </w:p>
        </w:tc>
      </w:tr>
      <w:tr>
        <w:trPr>
          <w:trHeight w:val="216"/>
        </w:trPr>
        <w:tc>
          <w:tcPr>
            <w:tcW w:w="8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16"/>
        </w:trPr>
        <w:tc>
          <w:tcPr>
            <w:tcW w:w="8220" w:type="dxa"/>
            <w:vAlign w:val="bottom"/>
            <w:shd w:val="clear" w:color="auto" w:fill="D4F1F5"/>
          </w:tcPr>
          <w:p>
            <w:pPr>
              <w:ind w:left="20"/>
              <w:spacing w:after="0"/>
              <w:rPr>
                <w:sz w:val="20"/>
                <w:szCs w:val="20"/>
                <w:color w:val="auto"/>
              </w:rPr>
            </w:pPr>
            <w:r>
              <w:rPr>
                <w:rFonts w:ascii="Arial" w:cs="Arial" w:eastAsia="Arial" w:hAnsi="Arial"/>
                <w:sz w:val="16"/>
                <w:szCs w:val="16"/>
                <w:color w:val="auto"/>
              </w:rPr>
              <w:t>EXPENSES AND OTHER INCOME</w:t>
            </w:r>
          </w:p>
        </w:tc>
        <w:tc>
          <w:tcPr>
            <w:tcW w:w="320" w:type="dxa"/>
            <w:vAlign w:val="bottom"/>
            <w:shd w:val="clear" w:color="auto" w:fill="D4F1F5"/>
          </w:tcPr>
          <w:p>
            <w:pPr>
              <w:spacing w:after="0"/>
              <w:rPr>
                <w:sz w:val="18"/>
                <w:szCs w:val="18"/>
                <w:color w:val="auto"/>
              </w:rPr>
            </w:pPr>
          </w:p>
        </w:tc>
        <w:tc>
          <w:tcPr>
            <w:tcW w:w="1200" w:type="dxa"/>
            <w:vAlign w:val="bottom"/>
            <w:shd w:val="clear" w:color="auto" w:fill="D4F1F5"/>
          </w:tcPr>
          <w:p>
            <w:pPr>
              <w:spacing w:after="0"/>
              <w:rPr>
                <w:sz w:val="18"/>
                <w:szCs w:val="18"/>
                <w:color w:val="auto"/>
              </w:rPr>
            </w:pPr>
          </w:p>
        </w:tc>
        <w:tc>
          <w:tcPr>
            <w:tcW w:w="500" w:type="dxa"/>
            <w:vAlign w:val="bottom"/>
            <w:shd w:val="clear" w:color="auto" w:fill="D4F1F5"/>
          </w:tcPr>
          <w:p>
            <w:pPr>
              <w:spacing w:after="0"/>
              <w:rPr>
                <w:sz w:val="18"/>
                <w:szCs w:val="18"/>
                <w:color w:val="auto"/>
              </w:rPr>
            </w:pPr>
          </w:p>
        </w:tc>
        <w:tc>
          <w:tcPr>
            <w:tcW w:w="1000" w:type="dxa"/>
            <w:vAlign w:val="bottom"/>
            <w:shd w:val="clear" w:color="auto" w:fill="D4F1F5"/>
          </w:tcPr>
          <w:p>
            <w:pPr>
              <w:spacing w:after="0"/>
              <w:rPr>
                <w:sz w:val="18"/>
                <w:szCs w:val="18"/>
                <w:color w:val="auto"/>
              </w:rPr>
            </w:pPr>
          </w:p>
        </w:tc>
      </w:tr>
      <w:tr>
        <w:trPr>
          <w:trHeight w:val="215"/>
        </w:trPr>
        <w:tc>
          <w:tcPr>
            <w:tcW w:w="8220" w:type="dxa"/>
            <w:vAlign w:val="bottom"/>
          </w:tcPr>
          <w:p>
            <w:pPr>
              <w:ind w:left="20"/>
              <w:spacing w:after="0"/>
              <w:rPr>
                <w:sz w:val="20"/>
                <w:szCs w:val="20"/>
                <w:color w:val="auto"/>
              </w:rPr>
            </w:pPr>
            <w:r>
              <w:rPr>
                <w:rFonts w:ascii="Arial" w:cs="Arial" w:eastAsia="Arial" w:hAnsi="Arial"/>
                <w:sz w:val="16"/>
                <w:szCs w:val="16"/>
                <w:color w:val="auto"/>
              </w:rPr>
              <w:t>Utilities:</w:t>
            </w:r>
          </w:p>
        </w:tc>
        <w:tc>
          <w:tcPr>
            <w:tcW w:w="3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17"/>
        </w:trPr>
        <w:tc>
          <w:tcPr>
            <w:tcW w:w="8220" w:type="dxa"/>
            <w:vAlign w:val="bottom"/>
            <w:shd w:val="clear" w:color="auto" w:fill="D4F1F5"/>
          </w:tcPr>
          <w:p>
            <w:pPr>
              <w:ind w:left="240"/>
              <w:spacing w:after="0"/>
              <w:rPr>
                <w:sz w:val="20"/>
                <w:szCs w:val="20"/>
                <w:color w:val="auto"/>
              </w:rPr>
            </w:pPr>
            <w:r>
              <w:rPr>
                <w:rFonts w:ascii="Arial" w:cs="Arial" w:eastAsia="Arial" w:hAnsi="Arial"/>
                <w:sz w:val="16"/>
                <w:szCs w:val="16"/>
                <w:color w:val="auto"/>
              </w:rPr>
              <w:t>Cost of natural gas</w:t>
            </w:r>
          </w:p>
        </w:tc>
        <w:tc>
          <w:tcPr>
            <w:tcW w:w="320" w:type="dxa"/>
            <w:vAlign w:val="bottom"/>
            <w:shd w:val="clear" w:color="auto" w:fill="D4F1F5"/>
          </w:tcPr>
          <w:p>
            <w:pPr>
              <w:spacing w:after="0"/>
              <w:rPr>
                <w:sz w:val="18"/>
                <w:szCs w:val="18"/>
                <w:color w:val="auto"/>
              </w:rPr>
            </w:pPr>
          </w:p>
        </w:tc>
        <w:tc>
          <w:tcPr>
            <w:tcW w:w="1200" w:type="dxa"/>
            <w:vAlign w:val="bottom"/>
            <w:shd w:val="clear" w:color="auto" w:fill="D4F1F5"/>
          </w:tcPr>
          <w:p>
            <w:pPr>
              <w:jc w:val="right"/>
              <w:ind w:right="40"/>
              <w:spacing w:after="0"/>
              <w:rPr>
                <w:sz w:val="20"/>
                <w:szCs w:val="20"/>
                <w:color w:val="auto"/>
              </w:rPr>
            </w:pPr>
            <w:r>
              <w:rPr>
                <w:rFonts w:ascii="Arial" w:cs="Arial" w:eastAsia="Arial" w:hAnsi="Arial"/>
                <w:sz w:val="16"/>
                <w:szCs w:val="16"/>
                <w:color w:val="auto"/>
              </w:rPr>
              <w:t>(335)</w:t>
            </w:r>
          </w:p>
        </w:tc>
        <w:tc>
          <w:tcPr>
            <w:tcW w:w="500" w:type="dxa"/>
            <w:vAlign w:val="bottom"/>
            <w:shd w:val="clear" w:color="auto" w:fill="D4F1F5"/>
          </w:tcPr>
          <w:p>
            <w:pPr>
              <w:spacing w:after="0"/>
              <w:rPr>
                <w:sz w:val="18"/>
                <w:szCs w:val="18"/>
                <w:color w:val="auto"/>
              </w:rPr>
            </w:pPr>
          </w:p>
        </w:tc>
        <w:tc>
          <w:tcPr>
            <w:tcW w:w="1000" w:type="dxa"/>
            <w:vAlign w:val="bottom"/>
            <w:shd w:val="clear" w:color="auto" w:fill="D4F1F5"/>
          </w:tcPr>
          <w:p>
            <w:pPr>
              <w:jc w:val="right"/>
              <w:spacing w:after="0"/>
              <w:rPr>
                <w:sz w:val="20"/>
                <w:szCs w:val="20"/>
                <w:color w:val="auto"/>
              </w:rPr>
            </w:pPr>
            <w:r>
              <w:rPr>
                <w:rFonts w:ascii="Arial" w:cs="Arial" w:eastAsia="Arial" w:hAnsi="Arial"/>
                <w:sz w:val="16"/>
                <w:szCs w:val="16"/>
                <w:color w:val="auto"/>
              </w:rPr>
              <w:t>(493)</w:t>
            </w:r>
          </w:p>
        </w:tc>
      </w:tr>
      <w:tr>
        <w:trPr>
          <w:trHeight w:val="215"/>
        </w:trPr>
        <w:tc>
          <w:tcPr>
            <w:tcW w:w="8220" w:type="dxa"/>
            <w:vAlign w:val="bottom"/>
          </w:tcPr>
          <w:p>
            <w:pPr>
              <w:ind w:left="240"/>
              <w:spacing w:after="0"/>
              <w:rPr>
                <w:sz w:val="20"/>
                <w:szCs w:val="20"/>
                <w:color w:val="auto"/>
              </w:rPr>
            </w:pPr>
            <w:r>
              <w:rPr>
                <w:rFonts w:ascii="Arial" w:cs="Arial" w:eastAsia="Arial" w:hAnsi="Arial"/>
                <w:sz w:val="16"/>
                <w:szCs w:val="16"/>
                <w:color w:val="auto"/>
              </w:rPr>
              <w:t>Cost of electric fuel and purchased power</w:t>
            </w:r>
          </w:p>
        </w:tc>
        <w:tc>
          <w:tcPr>
            <w:tcW w:w="320" w:type="dxa"/>
            <w:vAlign w:val="bottom"/>
          </w:tcPr>
          <w:p>
            <w:pPr>
              <w:spacing w:after="0"/>
              <w:rPr>
                <w:sz w:val="18"/>
                <w:szCs w:val="18"/>
                <w:color w:val="auto"/>
              </w:rPr>
            </w:pPr>
          </w:p>
        </w:tc>
        <w:tc>
          <w:tcPr>
            <w:tcW w:w="1200" w:type="dxa"/>
            <w:vAlign w:val="bottom"/>
          </w:tcPr>
          <w:p>
            <w:pPr>
              <w:jc w:val="right"/>
              <w:ind w:right="40"/>
              <w:spacing w:after="0"/>
              <w:rPr>
                <w:sz w:val="20"/>
                <w:szCs w:val="20"/>
                <w:color w:val="auto"/>
              </w:rPr>
            </w:pPr>
            <w:r>
              <w:rPr>
                <w:rFonts w:ascii="Arial" w:cs="Arial" w:eastAsia="Arial" w:hAnsi="Arial"/>
                <w:sz w:val="16"/>
                <w:szCs w:val="16"/>
                <w:color w:val="auto"/>
              </w:rPr>
              <w:t>(81)</w:t>
            </w:r>
          </w:p>
        </w:tc>
        <w:tc>
          <w:tcPr>
            <w:tcW w:w="5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(52)</w:t>
            </w:r>
          </w:p>
        </w:tc>
      </w:tr>
      <w:tr>
        <w:trPr>
          <w:trHeight w:val="217"/>
        </w:trPr>
        <w:tc>
          <w:tcPr>
            <w:tcW w:w="8220" w:type="dxa"/>
            <w:vAlign w:val="bottom"/>
            <w:shd w:val="clear" w:color="auto" w:fill="D4F1F5"/>
          </w:tcPr>
          <w:p>
            <w:pPr>
              <w:ind w:left="20"/>
              <w:spacing w:after="0"/>
              <w:rPr>
                <w:sz w:val="20"/>
                <w:szCs w:val="20"/>
                <w:color w:val="auto"/>
              </w:rPr>
            </w:pPr>
            <w:r>
              <w:rPr>
                <w:rFonts w:ascii="Arial" w:cs="Arial" w:eastAsia="Arial" w:hAnsi="Arial"/>
                <w:sz w:val="16"/>
                <w:szCs w:val="16"/>
                <w:color w:val="auto"/>
              </w:rPr>
              <w:t>Energy-related businesses cost of sales</w:t>
            </w:r>
          </w:p>
        </w:tc>
        <w:tc>
          <w:tcPr>
            <w:tcW w:w="320" w:type="dxa"/>
            <w:vAlign w:val="bottom"/>
            <w:shd w:val="clear" w:color="auto" w:fill="D4F1F5"/>
          </w:tcPr>
          <w:p>
            <w:pPr>
              <w:spacing w:after="0"/>
              <w:rPr>
                <w:sz w:val="18"/>
                <w:szCs w:val="18"/>
                <w:color w:val="auto"/>
              </w:rPr>
            </w:pPr>
          </w:p>
        </w:tc>
        <w:tc>
          <w:tcPr>
            <w:tcW w:w="1200" w:type="dxa"/>
            <w:vAlign w:val="bottom"/>
            <w:shd w:val="clear" w:color="auto" w:fill="D4F1F5"/>
          </w:tcPr>
          <w:p>
            <w:pPr>
              <w:jc w:val="right"/>
              <w:ind w:right="40"/>
              <w:spacing w:after="0"/>
              <w:rPr>
                <w:sz w:val="20"/>
                <w:szCs w:val="20"/>
                <w:color w:val="auto"/>
              </w:rPr>
            </w:pPr>
            <w:r>
              <w:rPr>
                <w:rFonts w:ascii="Arial" w:cs="Arial" w:eastAsia="Arial" w:hAnsi="Arial"/>
                <w:sz w:val="16"/>
                <w:szCs w:val="16"/>
                <w:color w:val="auto"/>
              </w:rPr>
              <w:t>(76)</w:t>
            </w:r>
          </w:p>
        </w:tc>
        <w:tc>
          <w:tcPr>
            <w:tcW w:w="500" w:type="dxa"/>
            <w:vAlign w:val="bottom"/>
            <w:shd w:val="clear" w:color="auto" w:fill="D4F1F5"/>
          </w:tcPr>
          <w:p>
            <w:pPr>
              <w:spacing w:after="0"/>
              <w:rPr>
                <w:sz w:val="18"/>
                <w:szCs w:val="18"/>
                <w:color w:val="auto"/>
              </w:rPr>
            </w:pPr>
          </w:p>
        </w:tc>
        <w:tc>
          <w:tcPr>
            <w:tcW w:w="1000" w:type="dxa"/>
            <w:vAlign w:val="bottom"/>
            <w:shd w:val="clear" w:color="auto" w:fill="D4F1F5"/>
          </w:tcPr>
          <w:p>
            <w:pPr>
              <w:jc w:val="right"/>
              <w:spacing w:after="0"/>
              <w:rPr>
                <w:sz w:val="20"/>
                <w:szCs w:val="20"/>
                <w:color w:val="auto"/>
              </w:rPr>
            </w:pPr>
            <w:r>
              <w:rPr>
                <w:rFonts w:ascii="Arial" w:cs="Arial" w:eastAsia="Arial" w:hAnsi="Arial"/>
                <w:sz w:val="16"/>
                <w:szCs w:val="16"/>
                <w:color w:val="auto"/>
              </w:rPr>
              <w:t>(119)</w:t>
            </w:r>
          </w:p>
        </w:tc>
      </w:tr>
      <w:tr>
        <w:trPr>
          <w:trHeight w:val="215"/>
        </w:trPr>
        <w:tc>
          <w:tcPr>
            <w:tcW w:w="8220" w:type="dxa"/>
            <w:vAlign w:val="bottom"/>
          </w:tcPr>
          <w:p>
            <w:pPr>
              <w:ind w:left="20"/>
              <w:spacing w:after="0"/>
              <w:rPr>
                <w:sz w:val="20"/>
                <w:szCs w:val="20"/>
                <w:color w:val="auto"/>
              </w:rPr>
            </w:pPr>
            <w:r>
              <w:rPr>
                <w:rFonts w:ascii="Arial" w:cs="Arial" w:eastAsia="Arial" w:hAnsi="Arial"/>
                <w:sz w:val="16"/>
                <w:szCs w:val="16"/>
                <w:color w:val="auto"/>
              </w:rPr>
              <w:t>Operation and maintenance</w:t>
            </w:r>
          </w:p>
        </w:tc>
        <w:tc>
          <w:tcPr>
            <w:tcW w:w="320" w:type="dxa"/>
            <w:vAlign w:val="bottom"/>
          </w:tcPr>
          <w:p>
            <w:pPr>
              <w:spacing w:after="0"/>
              <w:rPr>
                <w:sz w:val="18"/>
                <w:szCs w:val="18"/>
                <w:color w:val="auto"/>
              </w:rPr>
            </w:pPr>
          </w:p>
        </w:tc>
        <w:tc>
          <w:tcPr>
            <w:tcW w:w="1200" w:type="dxa"/>
            <w:vAlign w:val="bottom"/>
          </w:tcPr>
          <w:p>
            <w:pPr>
              <w:jc w:val="right"/>
              <w:ind w:right="40"/>
              <w:spacing w:after="0"/>
              <w:rPr>
                <w:sz w:val="20"/>
                <w:szCs w:val="20"/>
                <w:color w:val="auto"/>
              </w:rPr>
            </w:pPr>
            <w:r>
              <w:rPr>
                <w:rFonts w:ascii="Arial" w:cs="Arial" w:eastAsia="Arial" w:hAnsi="Arial"/>
                <w:sz w:val="16"/>
                <w:szCs w:val="16"/>
                <w:color w:val="auto"/>
              </w:rPr>
              <w:t>(1,242)</w:t>
            </w:r>
          </w:p>
        </w:tc>
        <w:tc>
          <w:tcPr>
            <w:tcW w:w="5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(1,343)</w:t>
            </w:r>
          </w:p>
        </w:tc>
      </w:tr>
      <w:tr>
        <w:trPr>
          <w:trHeight w:val="217"/>
        </w:trPr>
        <w:tc>
          <w:tcPr>
            <w:tcW w:w="8220" w:type="dxa"/>
            <w:vAlign w:val="bottom"/>
            <w:shd w:val="clear" w:color="auto" w:fill="D4F1F5"/>
          </w:tcPr>
          <w:p>
            <w:pPr>
              <w:ind w:left="20"/>
              <w:spacing w:after="0"/>
              <w:rPr>
                <w:sz w:val="20"/>
                <w:szCs w:val="20"/>
                <w:color w:val="auto"/>
              </w:rPr>
            </w:pPr>
            <w:r>
              <w:rPr>
                <w:rFonts w:ascii="Arial" w:cs="Arial" w:eastAsia="Arial" w:hAnsi="Arial"/>
                <w:sz w:val="16"/>
                <w:szCs w:val="16"/>
                <w:color w:val="auto"/>
              </w:rPr>
              <w:t>Depreciation and amortization</w:t>
            </w:r>
          </w:p>
        </w:tc>
        <w:tc>
          <w:tcPr>
            <w:tcW w:w="320" w:type="dxa"/>
            <w:vAlign w:val="bottom"/>
            <w:shd w:val="clear" w:color="auto" w:fill="D4F1F5"/>
          </w:tcPr>
          <w:p>
            <w:pPr>
              <w:spacing w:after="0"/>
              <w:rPr>
                <w:sz w:val="18"/>
                <w:szCs w:val="18"/>
                <w:color w:val="auto"/>
              </w:rPr>
            </w:pPr>
          </w:p>
        </w:tc>
        <w:tc>
          <w:tcPr>
            <w:tcW w:w="1200" w:type="dxa"/>
            <w:vAlign w:val="bottom"/>
            <w:shd w:val="clear" w:color="auto" w:fill="D4F1F5"/>
          </w:tcPr>
          <w:p>
            <w:pPr>
              <w:jc w:val="right"/>
              <w:ind w:right="40"/>
              <w:spacing w:after="0"/>
              <w:rPr>
                <w:sz w:val="20"/>
                <w:szCs w:val="20"/>
                <w:color w:val="auto"/>
              </w:rPr>
            </w:pPr>
            <w:r>
              <w:rPr>
                <w:rFonts w:ascii="Arial" w:cs="Arial" w:eastAsia="Arial" w:hAnsi="Arial"/>
                <w:sz w:val="16"/>
                <w:szCs w:val="16"/>
                <w:color w:val="auto"/>
              </w:rPr>
              <w:t>(621)</w:t>
            </w:r>
          </w:p>
        </w:tc>
        <w:tc>
          <w:tcPr>
            <w:tcW w:w="500" w:type="dxa"/>
            <w:vAlign w:val="bottom"/>
            <w:shd w:val="clear" w:color="auto" w:fill="D4F1F5"/>
          </w:tcPr>
          <w:p>
            <w:pPr>
              <w:spacing w:after="0"/>
              <w:rPr>
                <w:sz w:val="18"/>
                <w:szCs w:val="18"/>
                <w:color w:val="auto"/>
              </w:rPr>
            </w:pPr>
          </w:p>
        </w:tc>
        <w:tc>
          <w:tcPr>
            <w:tcW w:w="1000" w:type="dxa"/>
            <w:vAlign w:val="bottom"/>
            <w:shd w:val="clear" w:color="auto" w:fill="D4F1F5"/>
          </w:tcPr>
          <w:p>
            <w:pPr>
              <w:jc w:val="right"/>
              <w:spacing w:after="0"/>
              <w:rPr>
                <w:sz w:val="20"/>
                <w:szCs w:val="20"/>
                <w:color w:val="auto"/>
              </w:rPr>
            </w:pPr>
            <w:r>
              <w:rPr>
                <w:rFonts w:ascii="Arial" w:cs="Arial" w:eastAsia="Arial" w:hAnsi="Arial"/>
                <w:sz w:val="16"/>
                <w:szCs w:val="16"/>
                <w:color w:val="auto"/>
              </w:rPr>
              <w:t>(640)</w:t>
            </w:r>
          </w:p>
        </w:tc>
      </w:tr>
      <w:tr>
        <w:trPr>
          <w:trHeight w:val="215"/>
        </w:trPr>
        <w:tc>
          <w:tcPr>
            <w:tcW w:w="8220" w:type="dxa"/>
            <w:vAlign w:val="bottom"/>
          </w:tcPr>
          <w:p>
            <w:pPr>
              <w:ind w:left="20"/>
              <w:spacing w:after="0"/>
              <w:rPr>
                <w:sz w:val="20"/>
                <w:szCs w:val="20"/>
                <w:color w:val="auto"/>
              </w:rPr>
            </w:pPr>
            <w:r>
              <w:rPr>
                <w:rFonts w:ascii="Arial" w:cs="Arial" w:eastAsia="Arial" w:hAnsi="Arial"/>
                <w:sz w:val="16"/>
                <w:szCs w:val="16"/>
                <w:color w:val="auto"/>
              </w:rPr>
              <w:t>Franchise fees and other taxes</w:t>
            </w:r>
          </w:p>
        </w:tc>
        <w:tc>
          <w:tcPr>
            <w:tcW w:w="320" w:type="dxa"/>
            <w:vAlign w:val="bottom"/>
          </w:tcPr>
          <w:p>
            <w:pPr>
              <w:spacing w:after="0"/>
              <w:rPr>
                <w:sz w:val="18"/>
                <w:szCs w:val="18"/>
                <w:color w:val="auto"/>
              </w:rPr>
            </w:pPr>
          </w:p>
        </w:tc>
        <w:tc>
          <w:tcPr>
            <w:tcW w:w="1200" w:type="dxa"/>
            <w:vAlign w:val="bottom"/>
          </w:tcPr>
          <w:p>
            <w:pPr>
              <w:jc w:val="right"/>
              <w:ind w:right="40"/>
              <w:spacing w:after="0"/>
              <w:rPr>
                <w:sz w:val="20"/>
                <w:szCs w:val="20"/>
                <w:color w:val="auto"/>
              </w:rPr>
            </w:pPr>
            <w:r>
              <w:rPr>
                <w:rFonts w:ascii="Arial" w:cs="Arial" w:eastAsia="Arial" w:hAnsi="Arial"/>
                <w:sz w:val="16"/>
                <w:szCs w:val="16"/>
                <w:color w:val="auto"/>
              </w:rPr>
              <w:t>(210)</w:t>
            </w:r>
          </w:p>
        </w:tc>
        <w:tc>
          <w:tcPr>
            <w:tcW w:w="5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(196)</w:t>
            </w:r>
          </w:p>
        </w:tc>
      </w:tr>
      <w:tr>
        <w:trPr>
          <w:trHeight w:val="217"/>
        </w:trPr>
        <w:tc>
          <w:tcPr>
            <w:tcW w:w="8220" w:type="dxa"/>
            <w:vAlign w:val="bottom"/>
            <w:shd w:val="clear" w:color="auto" w:fill="D4F1F5"/>
          </w:tcPr>
          <w:p>
            <w:pPr>
              <w:ind w:left="20"/>
              <w:spacing w:after="0"/>
              <w:rPr>
                <w:sz w:val="20"/>
                <w:szCs w:val="20"/>
                <w:color w:val="auto"/>
              </w:rPr>
            </w:pPr>
            <w:r>
              <w:rPr>
                <w:rFonts w:ascii="Arial" w:cs="Arial" w:eastAsia="Arial" w:hAnsi="Arial"/>
                <w:sz w:val="16"/>
                <w:szCs w:val="16"/>
                <w:color w:val="auto"/>
              </w:rPr>
              <w:t>Other income, net</w:t>
            </w:r>
          </w:p>
        </w:tc>
        <w:tc>
          <w:tcPr>
            <w:tcW w:w="320" w:type="dxa"/>
            <w:vAlign w:val="bottom"/>
            <w:shd w:val="clear" w:color="auto" w:fill="D4F1F5"/>
          </w:tcPr>
          <w:p>
            <w:pPr>
              <w:spacing w:after="0"/>
              <w:rPr>
                <w:sz w:val="18"/>
                <w:szCs w:val="18"/>
                <w:color w:val="auto"/>
              </w:rPr>
            </w:pPr>
          </w:p>
        </w:tc>
        <w:tc>
          <w:tcPr>
            <w:tcW w:w="1200" w:type="dxa"/>
            <w:vAlign w:val="bottom"/>
            <w:shd w:val="clear" w:color="auto" w:fill="D4F1F5"/>
          </w:tcPr>
          <w:p>
            <w:pPr>
              <w:jc w:val="right"/>
              <w:ind w:right="80"/>
              <w:spacing w:after="0"/>
              <w:rPr>
                <w:sz w:val="20"/>
                <w:szCs w:val="20"/>
                <w:color w:val="auto"/>
              </w:rPr>
            </w:pPr>
            <w:r>
              <w:rPr>
                <w:rFonts w:ascii="Arial" w:cs="Arial" w:eastAsia="Arial" w:hAnsi="Arial"/>
                <w:sz w:val="16"/>
                <w:szCs w:val="16"/>
                <w:color w:val="auto"/>
              </w:rPr>
              <w:t>100</w:t>
            </w:r>
          </w:p>
        </w:tc>
        <w:tc>
          <w:tcPr>
            <w:tcW w:w="500" w:type="dxa"/>
            <w:vAlign w:val="bottom"/>
            <w:shd w:val="clear" w:color="auto" w:fill="D4F1F5"/>
          </w:tcPr>
          <w:p>
            <w:pPr>
              <w:spacing w:after="0"/>
              <w:rPr>
                <w:sz w:val="18"/>
                <w:szCs w:val="18"/>
                <w:color w:val="auto"/>
              </w:rPr>
            </w:pPr>
          </w:p>
        </w:tc>
        <w:tc>
          <w:tcPr>
            <w:tcW w:w="1000" w:type="dxa"/>
            <w:vAlign w:val="bottom"/>
            <w:shd w:val="clear" w:color="auto" w:fill="D4F1F5"/>
          </w:tcPr>
          <w:p>
            <w:pPr>
              <w:jc w:val="right"/>
              <w:spacing w:after="0"/>
              <w:rPr>
                <w:sz w:val="20"/>
                <w:szCs w:val="20"/>
                <w:color w:val="auto"/>
              </w:rPr>
            </w:pPr>
            <w:r>
              <w:rPr>
                <w:rFonts w:ascii="Arial" w:cs="Arial" w:eastAsia="Arial" w:hAnsi="Arial"/>
                <w:sz w:val="16"/>
                <w:szCs w:val="16"/>
                <w:color w:val="auto"/>
              </w:rPr>
              <w:t>91</w:t>
            </w:r>
          </w:p>
        </w:tc>
      </w:tr>
      <w:tr>
        <w:trPr>
          <w:trHeight w:val="215"/>
        </w:trPr>
        <w:tc>
          <w:tcPr>
            <w:tcW w:w="8220" w:type="dxa"/>
            <w:vAlign w:val="bottom"/>
          </w:tcPr>
          <w:p>
            <w:pPr>
              <w:ind w:left="20"/>
              <w:spacing w:after="0"/>
              <w:rPr>
                <w:sz w:val="20"/>
                <w:szCs w:val="20"/>
                <w:color w:val="auto"/>
              </w:rPr>
            </w:pPr>
            <w:r>
              <w:rPr>
                <w:rFonts w:ascii="Arial" w:cs="Arial" w:eastAsia="Arial" w:hAnsi="Arial"/>
                <w:sz w:val="16"/>
                <w:szCs w:val="16"/>
                <w:color w:val="auto"/>
              </w:rPr>
              <w:t>Interest income</w:t>
            </w:r>
          </w:p>
        </w:tc>
        <w:tc>
          <w:tcPr>
            <w:tcW w:w="320" w:type="dxa"/>
            <w:vAlign w:val="bottom"/>
          </w:tcPr>
          <w:p>
            <w:pPr>
              <w:spacing w:after="0"/>
              <w:rPr>
                <w:sz w:val="18"/>
                <w:szCs w:val="18"/>
                <w:color w:val="auto"/>
              </w:rPr>
            </w:pPr>
          </w:p>
        </w:tc>
        <w:tc>
          <w:tcPr>
            <w:tcW w:w="1200" w:type="dxa"/>
            <w:vAlign w:val="bottom"/>
          </w:tcPr>
          <w:p>
            <w:pPr>
              <w:jc w:val="right"/>
              <w:ind w:right="80"/>
              <w:spacing w:after="0"/>
              <w:rPr>
                <w:sz w:val="20"/>
                <w:szCs w:val="20"/>
                <w:color w:val="auto"/>
              </w:rPr>
            </w:pPr>
            <w:r>
              <w:rPr>
                <w:rFonts w:ascii="Arial" w:cs="Arial" w:eastAsia="Arial" w:hAnsi="Arial"/>
                <w:sz w:val="16"/>
                <w:szCs w:val="16"/>
                <w:color w:val="auto"/>
              </w:rPr>
              <w:t>40</w:t>
            </w:r>
          </w:p>
        </w:tc>
        <w:tc>
          <w:tcPr>
            <w:tcW w:w="5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34</w:t>
            </w:r>
          </w:p>
        </w:tc>
      </w:tr>
      <w:tr>
        <w:trPr>
          <w:trHeight w:val="217"/>
        </w:trPr>
        <w:tc>
          <w:tcPr>
            <w:tcW w:w="8220" w:type="dxa"/>
            <w:vAlign w:val="bottom"/>
            <w:shd w:val="clear" w:color="auto" w:fill="D4F1F5"/>
          </w:tcPr>
          <w:p>
            <w:pPr>
              <w:ind w:left="20"/>
              <w:spacing w:after="0"/>
              <w:rPr>
                <w:sz w:val="20"/>
                <w:szCs w:val="20"/>
                <w:color w:val="auto"/>
              </w:rPr>
            </w:pPr>
            <w:r>
              <w:rPr>
                <w:rFonts w:ascii="Arial" w:cs="Arial" w:eastAsia="Arial" w:hAnsi="Arial"/>
                <w:sz w:val="16"/>
                <w:szCs w:val="16"/>
                <w:color w:val="auto"/>
              </w:rPr>
              <w:t>Interest expense</w:t>
            </w:r>
          </w:p>
        </w:tc>
        <w:tc>
          <w:tcPr>
            <w:tcW w:w="320" w:type="dxa"/>
            <w:vAlign w:val="bottom"/>
            <w:tcBorders>
              <w:bottom w:val="single" w:sz="8" w:color="auto"/>
            </w:tcBorders>
            <w:shd w:val="clear" w:color="auto" w:fill="D4F1F5"/>
          </w:tcPr>
          <w:p>
            <w:pPr>
              <w:spacing w:after="0"/>
              <w:rPr>
                <w:sz w:val="18"/>
                <w:szCs w:val="18"/>
                <w:color w:val="auto"/>
              </w:rPr>
            </w:pPr>
          </w:p>
        </w:tc>
        <w:tc>
          <w:tcPr>
            <w:tcW w:w="1200" w:type="dxa"/>
            <w:vAlign w:val="bottom"/>
            <w:tcBorders>
              <w:bottom w:val="single" w:sz="8" w:color="auto"/>
            </w:tcBorders>
            <w:shd w:val="clear" w:color="auto" w:fill="D4F1F5"/>
          </w:tcPr>
          <w:p>
            <w:pPr>
              <w:jc w:val="right"/>
              <w:ind w:right="40"/>
              <w:spacing w:after="0"/>
              <w:rPr>
                <w:sz w:val="20"/>
                <w:szCs w:val="20"/>
                <w:color w:val="auto"/>
              </w:rPr>
            </w:pPr>
            <w:r>
              <w:rPr>
                <w:rFonts w:ascii="Arial" w:cs="Arial" w:eastAsia="Arial" w:hAnsi="Arial"/>
                <w:sz w:val="16"/>
                <w:szCs w:val="16"/>
                <w:color w:val="auto"/>
              </w:rPr>
              <w:t>(382)</w:t>
            </w:r>
          </w:p>
        </w:tc>
        <w:tc>
          <w:tcPr>
            <w:tcW w:w="500" w:type="dxa"/>
            <w:vAlign w:val="bottom"/>
            <w:tcBorders>
              <w:bottom w:val="single" w:sz="8" w:color="auto"/>
            </w:tcBorders>
            <w:shd w:val="clear" w:color="auto" w:fill="D4F1F5"/>
          </w:tcPr>
          <w:p>
            <w:pPr>
              <w:spacing w:after="0"/>
              <w:rPr>
                <w:sz w:val="18"/>
                <w:szCs w:val="18"/>
                <w:color w:val="auto"/>
              </w:rPr>
            </w:pPr>
          </w:p>
        </w:tc>
        <w:tc>
          <w:tcPr>
            <w:tcW w:w="1000" w:type="dxa"/>
            <w:vAlign w:val="bottom"/>
            <w:tcBorders>
              <w:bottom w:val="single" w:sz="8" w:color="auto"/>
            </w:tcBorders>
            <w:shd w:val="clear" w:color="auto" w:fill="D4F1F5"/>
          </w:tcPr>
          <w:p>
            <w:pPr>
              <w:jc w:val="right"/>
              <w:spacing w:after="0"/>
              <w:rPr>
                <w:sz w:val="20"/>
                <w:szCs w:val="20"/>
                <w:color w:val="auto"/>
              </w:rPr>
            </w:pPr>
            <w:r>
              <w:rPr>
                <w:rFonts w:ascii="Arial" w:cs="Arial" w:eastAsia="Arial" w:hAnsi="Arial"/>
                <w:sz w:val="16"/>
                <w:szCs w:val="16"/>
                <w:color w:val="auto"/>
              </w:rPr>
              <w:t>(433)</w:t>
            </w:r>
          </w:p>
        </w:tc>
      </w:tr>
      <w:tr>
        <w:trPr>
          <w:trHeight w:val="209"/>
        </w:trPr>
        <w:tc>
          <w:tcPr>
            <w:tcW w:w="8220" w:type="dxa"/>
            <w:vAlign w:val="bottom"/>
          </w:tcPr>
          <w:p>
            <w:pPr>
              <w:ind w:left="240"/>
              <w:spacing w:after="0"/>
              <w:rPr>
                <w:sz w:val="20"/>
                <w:szCs w:val="20"/>
                <w:color w:val="auto"/>
              </w:rPr>
            </w:pPr>
            <w:r>
              <w:rPr>
                <w:rFonts w:ascii="Arial" w:cs="Arial" w:eastAsia="Arial" w:hAnsi="Arial"/>
                <w:sz w:val="16"/>
                <w:szCs w:val="16"/>
                <w:color w:val="auto"/>
              </w:rPr>
              <w:t>Income before income taxes and equity earnings</w:t>
            </w:r>
          </w:p>
        </w:tc>
        <w:tc>
          <w:tcPr>
            <w:tcW w:w="320" w:type="dxa"/>
            <w:vAlign w:val="bottom"/>
          </w:tcPr>
          <w:p>
            <w:pPr>
              <w:spacing w:after="0"/>
              <w:rPr>
                <w:sz w:val="18"/>
                <w:szCs w:val="18"/>
                <w:color w:val="auto"/>
              </w:rPr>
            </w:pPr>
          </w:p>
        </w:tc>
        <w:tc>
          <w:tcPr>
            <w:tcW w:w="1200" w:type="dxa"/>
            <w:vAlign w:val="bottom"/>
          </w:tcPr>
          <w:p>
            <w:pPr>
              <w:jc w:val="right"/>
              <w:ind w:right="80"/>
              <w:spacing w:after="0"/>
              <w:rPr>
                <w:sz w:val="20"/>
                <w:szCs w:val="20"/>
                <w:color w:val="auto"/>
              </w:rPr>
            </w:pPr>
            <w:r>
              <w:rPr>
                <w:rFonts w:ascii="Arial" w:cs="Arial" w:eastAsia="Arial" w:hAnsi="Arial"/>
                <w:sz w:val="16"/>
                <w:szCs w:val="16"/>
                <w:color w:val="auto"/>
              </w:rPr>
              <w:t>848</w:t>
            </w:r>
          </w:p>
        </w:tc>
        <w:tc>
          <w:tcPr>
            <w:tcW w:w="5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651</w:t>
            </w:r>
          </w:p>
        </w:tc>
      </w:tr>
      <w:tr>
        <w:trPr>
          <w:trHeight w:val="217"/>
        </w:trPr>
        <w:tc>
          <w:tcPr>
            <w:tcW w:w="8220" w:type="dxa"/>
            <w:vAlign w:val="bottom"/>
            <w:shd w:val="clear" w:color="auto" w:fill="D4F1F5"/>
          </w:tcPr>
          <w:p>
            <w:pPr>
              <w:ind w:left="20"/>
              <w:spacing w:after="0"/>
              <w:rPr>
                <w:sz w:val="20"/>
                <w:szCs w:val="20"/>
                <w:color w:val="auto"/>
              </w:rPr>
            </w:pPr>
            <w:r>
              <w:rPr>
                <w:rFonts w:ascii="Arial" w:cs="Arial" w:eastAsia="Arial" w:hAnsi="Arial"/>
                <w:sz w:val="16"/>
                <w:szCs w:val="16"/>
                <w:color w:val="auto"/>
              </w:rPr>
              <w:t>Income tax expense</w:t>
            </w:r>
          </w:p>
        </w:tc>
        <w:tc>
          <w:tcPr>
            <w:tcW w:w="320" w:type="dxa"/>
            <w:vAlign w:val="bottom"/>
            <w:shd w:val="clear" w:color="auto" w:fill="D4F1F5"/>
          </w:tcPr>
          <w:p>
            <w:pPr>
              <w:spacing w:after="0"/>
              <w:rPr>
                <w:sz w:val="18"/>
                <w:szCs w:val="18"/>
                <w:color w:val="auto"/>
              </w:rPr>
            </w:pPr>
          </w:p>
        </w:tc>
        <w:tc>
          <w:tcPr>
            <w:tcW w:w="1200" w:type="dxa"/>
            <w:vAlign w:val="bottom"/>
            <w:shd w:val="clear" w:color="auto" w:fill="D4F1F5"/>
          </w:tcPr>
          <w:p>
            <w:pPr>
              <w:jc w:val="right"/>
              <w:ind w:right="40"/>
              <w:spacing w:after="0"/>
              <w:rPr>
                <w:sz w:val="20"/>
                <w:szCs w:val="20"/>
                <w:color w:val="auto"/>
              </w:rPr>
            </w:pPr>
            <w:r>
              <w:rPr>
                <w:rFonts w:ascii="Arial" w:cs="Arial" w:eastAsia="Arial" w:hAnsi="Arial"/>
                <w:sz w:val="16"/>
                <w:szCs w:val="16"/>
                <w:color w:val="auto"/>
              </w:rPr>
              <w:t>(65)</w:t>
            </w:r>
          </w:p>
        </w:tc>
        <w:tc>
          <w:tcPr>
            <w:tcW w:w="500" w:type="dxa"/>
            <w:vAlign w:val="bottom"/>
            <w:shd w:val="clear" w:color="auto" w:fill="D4F1F5"/>
          </w:tcPr>
          <w:p>
            <w:pPr>
              <w:spacing w:after="0"/>
              <w:rPr>
                <w:sz w:val="18"/>
                <w:szCs w:val="18"/>
                <w:color w:val="auto"/>
              </w:rPr>
            </w:pPr>
          </w:p>
        </w:tc>
        <w:tc>
          <w:tcPr>
            <w:tcW w:w="1000" w:type="dxa"/>
            <w:vAlign w:val="bottom"/>
            <w:shd w:val="clear" w:color="auto" w:fill="D4F1F5"/>
          </w:tcPr>
          <w:p>
            <w:pPr>
              <w:jc w:val="right"/>
              <w:spacing w:after="0"/>
              <w:rPr>
                <w:sz w:val="20"/>
                <w:szCs w:val="20"/>
                <w:color w:val="auto"/>
              </w:rPr>
            </w:pPr>
            <w:r>
              <w:rPr>
                <w:rFonts w:ascii="Arial" w:cs="Arial" w:eastAsia="Arial" w:hAnsi="Arial"/>
                <w:sz w:val="16"/>
                <w:szCs w:val="16"/>
                <w:color w:val="auto"/>
              </w:rPr>
              <w:t>(57)</w:t>
            </w:r>
          </w:p>
        </w:tc>
      </w:tr>
      <w:tr>
        <w:trPr>
          <w:trHeight w:val="215"/>
        </w:trPr>
        <w:tc>
          <w:tcPr>
            <w:tcW w:w="8220" w:type="dxa"/>
            <w:vAlign w:val="bottom"/>
            <w:tcBorders>
              <w:bottom w:val="single" w:sz="8" w:color="D4F1F5"/>
            </w:tcBorders>
          </w:tcPr>
          <w:p>
            <w:pPr>
              <w:ind w:left="20"/>
              <w:spacing w:after="0"/>
              <w:rPr>
                <w:sz w:val="20"/>
                <w:szCs w:val="20"/>
                <w:color w:val="auto"/>
              </w:rPr>
            </w:pPr>
            <w:r>
              <w:rPr>
                <w:rFonts w:ascii="Arial" w:cs="Arial" w:eastAsia="Arial" w:hAnsi="Arial"/>
                <w:sz w:val="16"/>
                <w:szCs w:val="16"/>
                <w:color w:val="auto"/>
              </w:rPr>
              <w:t>Equity earnings</w:t>
            </w:r>
          </w:p>
        </w:tc>
        <w:tc>
          <w:tcPr>
            <w:tcW w:w="3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367</w:t>
            </w:r>
          </w:p>
        </w:tc>
        <w:tc>
          <w:tcPr>
            <w:tcW w:w="5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325</w:t>
            </w:r>
          </w:p>
        </w:tc>
      </w:tr>
      <w:tr>
        <w:trPr>
          <w:trHeight w:val="210"/>
        </w:trPr>
        <w:tc>
          <w:tcPr>
            <w:tcW w:w="8220" w:type="dxa"/>
            <w:vAlign w:val="bottom"/>
            <w:shd w:val="clear" w:color="auto" w:fill="D4F1F5"/>
          </w:tcPr>
          <w:p>
            <w:pPr>
              <w:ind w:left="240"/>
              <w:spacing w:after="0"/>
              <w:rPr>
                <w:sz w:val="20"/>
                <w:szCs w:val="20"/>
                <w:color w:val="auto"/>
              </w:rPr>
            </w:pPr>
            <w:r>
              <w:rPr>
                <w:rFonts w:ascii="Arial" w:cs="Arial" w:eastAsia="Arial" w:hAnsi="Arial"/>
                <w:sz w:val="16"/>
                <w:szCs w:val="16"/>
                <w:color w:val="auto"/>
              </w:rPr>
              <w:t>Net income</w:t>
            </w:r>
          </w:p>
        </w:tc>
        <w:tc>
          <w:tcPr>
            <w:tcW w:w="320" w:type="dxa"/>
            <w:vAlign w:val="bottom"/>
            <w:shd w:val="clear" w:color="auto" w:fill="D4F1F5"/>
          </w:tcPr>
          <w:p>
            <w:pPr>
              <w:spacing w:after="0"/>
              <w:rPr>
                <w:sz w:val="18"/>
                <w:szCs w:val="18"/>
                <w:color w:val="auto"/>
              </w:rPr>
            </w:pPr>
          </w:p>
        </w:tc>
        <w:tc>
          <w:tcPr>
            <w:tcW w:w="1200" w:type="dxa"/>
            <w:vAlign w:val="bottom"/>
            <w:shd w:val="clear" w:color="auto" w:fill="D4F1F5"/>
          </w:tcPr>
          <w:p>
            <w:pPr>
              <w:jc w:val="right"/>
              <w:ind w:right="80"/>
              <w:spacing w:after="0"/>
              <w:rPr>
                <w:sz w:val="20"/>
                <w:szCs w:val="20"/>
                <w:color w:val="auto"/>
              </w:rPr>
            </w:pPr>
            <w:r>
              <w:rPr>
                <w:rFonts w:ascii="Arial" w:cs="Arial" w:eastAsia="Arial" w:hAnsi="Arial"/>
                <w:sz w:val="16"/>
                <w:szCs w:val="16"/>
                <w:color w:val="auto"/>
              </w:rPr>
              <w:t>1,150</w:t>
            </w:r>
          </w:p>
        </w:tc>
        <w:tc>
          <w:tcPr>
            <w:tcW w:w="500" w:type="dxa"/>
            <w:vAlign w:val="bottom"/>
            <w:shd w:val="clear" w:color="auto" w:fill="D4F1F5"/>
          </w:tcPr>
          <w:p>
            <w:pPr>
              <w:spacing w:after="0"/>
              <w:rPr>
                <w:sz w:val="18"/>
                <w:szCs w:val="18"/>
                <w:color w:val="auto"/>
              </w:rPr>
            </w:pPr>
          </w:p>
        </w:tc>
        <w:tc>
          <w:tcPr>
            <w:tcW w:w="1000" w:type="dxa"/>
            <w:vAlign w:val="bottom"/>
            <w:shd w:val="clear" w:color="auto" w:fill="D4F1F5"/>
          </w:tcPr>
          <w:p>
            <w:pPr>
              <w:jc w:val="right"/>
              <w:spacing w:after="0"/>
              <w:rPr>
                <w:sz w:val="20"/>
                <w:szCs w:val="20"/>
                <w:color w:val="auto"/>
              </w:rPr>
            </w:pPr>
            <w:r>
              <w:rPr>
                <w:rFonts w:ascii="Arial" w:cs="Arial" w:eastAsia="Arial" w:hAnsi="Arial"/>
                <w:sz w:val="16"/>
                <w:szCs w:val="16"/>
                <w:color w:val="auto"/>
              </w:rPr>
              <w:t>919</w:t>
            </w:r>
          </w:p>
        </w:tc>
      </w:tr>
      <w:tr>
        <w:trPr>
          <w:trHeight w:val="215"/>
        </w:trPr>
        <w:tc>
          <w:tcPr>
            <w:tcW w:w="8220" w:type="dxa"/>
            <w:vAlign w:val="bottom"/>
          </w:tcPr>
          <w:p>
            <w:pPr>
              <w:ind w:left="20"/>
              <w:spacing w:after="0"/>
              <w:rPr>
                <w:sz w:val="20"/>
                <w:szCs w:val="20"/>
                <w:color w:val="auto"/>
              </w:rPr>
            </w:pPr>
            <w:r>
              <w:rPr>
                <w:rFonts w:ascii="Arial" w:cs="Arial" w:eastAsia="Arial" w:hAnsi="Arial"/>
                <w:sz w:val="16"/>
                <w:szCs w:val="16"/>
                <w:color w:val="auto"/>
              </w:rPr>
              <w:t>Earnings attributable to noncontrolling interests</w:t>
            </w:r>
          </w:p>
        </w:tc>
        <w:tc>
          <w:tcPr>
            <w:tcW w:w="320" w:type="dxa"/>
            <w:vAlign w:val="bottom"/>
          </w:tcPr>
          <w:p>
            <w:pPr>
              <w:spacing w:after="0"/>
              <w:rPr>
                <w:sz w:val="18"/>
                <w:szCs w:val="18"/>
                <w:color w:val="auto"/>
              </w:rPr>
            </w:pPr>
          </w:p>
        </w:tc>
        <w:tc>
          <w:tcPr>
            <w:tcW w:w="1200" w:type="dxa"/>
            <w:vAlign w:val="bottom"/>
          </w:tcPr>
          <w:p>
            <w:pPr>
              <w:jc w:val="right"/>
              <w:ind w:right="40"/>
              <w:spacing w:after="0"/>
              <w:rPr>
                <w:sz w:val="20"/>
                <w:szCs w:val="20"/>
                <w:color w:val="auto"/>
              </w:rPr>
            </w:pPr>
            <w:r>
              <w:rPr>
                <w:rFonts w:ascii="Arial" w:cs="Arial" w:eastAsia="Arial" w:hAnsi="Arial"/>
                <w:sz w:val="16"/>
                <w:szCs w:val="16"/>
                <w:color w:val="auto"/>
              </w:rPr>
              <w:t>(107)</w:t>
            </w:r>
          </w:p>
        </w:tc>
        <w:tc>
          <w:tcPr>
            <w:tcW w:w="5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w:t>
            </w:r>
          </w:p>
        </w:tc>
      </w:tr>
      <w:tr>
        <w:trPr>
          <w:trHeight w:val="217"/>
        </w:trPr>
        <w:tc>
          <w:tcPr>
            <w:tcW w:w="8220" w:type="dxa"/>
            <w:vAlign w:val="bottom"/>
            <w:shd w:val="clear" w:color="auto" w:fill="D4F1F5"/>
          </w:tcPr>
          <w:p>
            <w:pPr>
              <w:ind w:left="20"/>
              <w:spacing w:after="0"/>
              <w:rPr>
                <w:sz w:val="20"/>
                <w:szCs w:val="20"/>
                <w:color w:val="auto"/>
              </w:rPr>
            </w:pPr>
            <w:r>
              <w:rPr>
                <w:rFonts w:ascii="Arial" w:cs="Arial" w:eastAsia="Arial" w:hAnsi="Arial"/>
                <w:sz w:val="16"/>
                <w:szCs w:val="16"/>
                <w:color w:val="auto"/>
              </w:rPr>
              <w:t>Earnings attributable to contingently redeemable noncontrolling interest</w:t>
            </w:r>
          </w:p>
        </w:tc>
        <w:tc>
          <w:tcPr>
            <w:tcW w:w="320" w:type="dxa"/>
            <w:vAlign w:val="bottom"/>
            <w:shd w:val="clear" w:color="auto" w:fill="D4F1F5"/>
          </w:tcPr>
          <w:p>
            <w:pPr>
              <w:spacing w:after="0"/>
              <w:rPr>
                <w:sz w:val="18"/>
                <w:szCs w:val="18"/>
                <w:color w:val="auto"/>
              </w:rPr>
            </w:pPr>
          </w:p>
        </w:tc>
        <w:tc>
          <w:tcPr>
            <w:tcW w:w="1200" w:type="dxa"/>
            <w:vAlign w:val="bottom"/>
            <w:shd w:val="clear" w:color="auto" w:fill="D4F1F5"/>
          </w:tcPr>
          <w:p>
            <w:pPr>
              <w:jc w:val="right"/>
              <w:ind w:right="40"/>
              <w:spacing w:after="0"/>
              <w:rPr>
                <w:sz w:val="20"/>
                <w:szCs w:val="20"/>
                <w:color w:val="auto"/>
              </w:rPr>
            </w:pPr>
            <w:r>
              <w:rPr>
                <w:rFonts w:ascii="Arial" w:cs="Arial" w:eastAsia="Arial" w:hAnsi="Arial"/>
                <w:sz w:val="16"/>
                <w:szCs w:val="16"/>
                <w:color w:val="auto"/>
              </w:rPr>
              <w:t>(6)</w:t>
            </w:r>
          </w:p>
        </w:tc>
        <w:tc>
          <w:tcPr>
            <w:tcW w:w="500" w:type="dxa"/>
            <w:vAlign w:val="bottom"/>
            <w:shd w:val="clear" w:color="auto" w:fill="D4F1F5"/>
          </w:tcPr>
          <w:p>
            <w:pPr>
              <w:spacing w:after="0"/>
              <w:rPr>
                <w:sz w:val="18"/>
                <w:szCs w:val="18"/>
                <w:color w:val="auto"/>
              </w:rPr>
            </w:pPr>
          </w:p>
        </w:tc>
        <w:tc>
          <w:tcPr>
            <w:tcW w:w="1000" w:type="dxa"/>
            <w:vAlign w:val="bottom"/>
            <w:shd w:val="clear" w:color="auto" w:fill="D4F1F5"/>
          </w:tcPr>
          <w:p>
            <w:pPr>
              <w:jc w:val="right"/>
              <w:spacing w:after="0"/>
              <w:rPr>
                <w:sz w:val="20"/>
                <w:szCs w:val="20"/>
                <w:color w:val="auto"/>
              </w:rPr>
            </w:pPr>
            <w:r>
              <w:rPr>
                <w:rFonts w:ascii="Arial" w:cs="Arial" w:eastAsia="Arial" w:hAnsi="Arial"/>
                <w:sz w:val="16"/>
                <w:szCs w:val="16"/>
                <w:color w:val="auto"/>
              </w:rPr>
              <w:t>—</w:t>
            </w:r>
          </w:p>
        </w:tc>
      </w:tr>
      <w:tr>
        <w:trPr>
          <w:trHeight w:val="215"/>
        </w:trPr>
        <w:tc>
          <w:tcPr>
            <w:tcW w:w="8220" w:type="dxa"/>
            <w:vAlign w:val="bottom"/>
            <w:tcBorders>
              <w:bottom w:val="single" w:sz="8" w:color="D4F1F5"/>
            </w:tcBorders>
          </w:tcPr>
          <w:p>
            <w:pPr>
              <w:ind w:left="20"/>
              <w:spacing w:after="0"/>
              <w:rPr>
                <w:sz w:val="20"/>
                <w:szCs w:val="20"/>
                <w:color w:val="auto"/>
              </w:rPr>
            </w:pPr>
            <w:r>
              <w:rPr>
                <w:rFonts w:ascii="Arial" w:cs="Arial" w:eastAsia="Arial" w:hAnsi="Arial"/>
                <w:sz w:val="16"/>
                <w:szCs w:val="16"/>
                <w:color w:val="auto"/>
              </w:rPr>
              <w:t>Preferred dividends</w:t>
            </w:r>
          </w:p>
        </w:tc>
        <w:tc>
          <w:tcPr>
            <w:tcW w:w="3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w:t>
            </w:r>
          </w:p>
        </w:tc>
        <w:tc>
          <w:tcPr>
            <w:tcW w:w="5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w:t>
            </w:r>
          </w:p>
        </w:tc>
      </w:tr>
      <w:tr>
        <w:trPr>
          <w:trHeight w:val="217"/>
        </w:trPr>
        <w:tc>
          <w:tcPr>
            <w:tcW w:w="8220" w:type="dxa"/>
            <w:vAlign w:val="bottom"/>
            <w:tcBorders>
              <w:bottom w:val="single" w:sz="8" w:color="D4F1F5"/>
            </w:tcBorders>
            <w:shd w:val="clear" w:color="auto" w:fill="D4F1F5"/>
          </w:tcPr>
          <w:p>
            <w:pPr>
              <w:ind w:left="240"/>
              <w:spacing w:after="0"/>
              <w:rPr>
                <w:sz w:val="20"/>
                <w:szCs w:val="20"/>
                <w:color w:val="auto"/>
              </w:rPr>
            </w:pPr>
            <w:r>
              <w:rPr>
                <w:rFonts w:ascii="Arial" w:cs="Arial" w:eastAsia="Arial" w:hAnsi="Arial"/>
                <w:sz w:val="16"/>
                <w:szCs w:val="16"/>
                <w:color w:val="auto"/>
              </w:rPr>
              <w:t>Earnings attributable to common shares</w:t>
            </w:r>
          </w:p>
        </w:tc>
        <w:tc>
          <w:tcPr>
            <w:tcW w:w="320" w:type="dxa"/>
            <w:vAlign w:val="bottom"/>
            <w:tcBorders>
              <w:bottom w:val="single" w:sz="8" w:color="auto"/>
            </w:tcBorders>
            <w:shd w:val="clear" w:color="auto" w:fill="D4F1F5"/>
          </w:tcPr>
          <w:p>
            <w:pPr>
              <w:jc w:val="right"/>
              <w:ind w:right="11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shd w:val="clear" w:color="auto" w:fill="D4F1F5"/>
          </w:tcPr>
          <w:p>
            <w:pPr>
              <w:jc w:val="right"/>
              <w:ind w:right="80"/>
              <w:spacing w:after="0"/>
              <w:rPr>
                <w:sz w:val="20"/>
                <w:szCs w:val="20"/>
                <w:color w:val="auto"/>
              </w:rPr>
            </w:pPr>
            <w:r>
              <w:rPr>
                <w:rFonts w:ascii="Arial" w:cs="Arial" w:eastAsia="Arial" w:hAnsi="Arial"/>
                <w:sz w:val="16"/>
                <w:szCs w:val="16"/>
                <w:color w:val="auto"/>
              </w:rPr>
              <w:t>1,037</w:t>
            </w:r>
          </w:p>
        </w:tc>
        <w:tc>
          <w:tcPr>
            <w:tcW w:w="500" w:type="dxa"/>
            <w:vAlign w:val="bottom"/>
            <w:tcBorders>
              <w:bottom w:val="single" w:sz="8" w:color="auto"/>
            </w:tcBorders>
            <w:shd w:val="clear" w:color="auto" w:fill="D4F1F5"/>
          </w:tcPr>
          <w:p>
            <w:pPr>
              <w:jc w:val="right"/>
              <w:ind w:right="21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shd w:val="clear" w:color="auto" w:fill="D4F1F5"/>
          </w:tcPr>
          <w:p>
            <w:pPr>
              <w:jc w:val="right"/>
              <w:spacing w:after="0"/>
              <w:rPr>
                <w:sz w:val="20"/>
                <w:szCs w:val="20"/>
                <w:color w:val="auto"/>
              </w:rPr>
            </w:pPr>
            <w:r>
              <w:rPr>
                <w:rFonts w:ascii="Arial" w:cs="Arial" w:eastAsia="Arial" w:hAnsi="Arial"/>
                <w:sz w:val="16"/>
                <w:szCs w:val="16"/>
                <w:color w:val="auto"/>
              </w:rPr>
              <w:t>906</w:t>
            </w:r>
          </w:p>
        </w:tc>
      </w:tr>
      <w:tr>
        <w:trPr>
          <w:trHeight w:val="203"/>
        </w:trPr>
        <w:tc>
          <w:tcPr>
            <w:tcW w:w="8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16"/>
        </w:trPr>
        <w:tc>
          <w:tcPr>
            <w:tcW w:w="8220" w:type="dxa"/>
            <w:vAlign w:val="bottom"/>
            <w:shd w:val="clear" w:color="auto" w:fill="D4F1F5"/>
          </w:tcPr>
          <w:p>
            <w:pPr>
              <w:ind w:left="20"/>
              <w:spacing w:after="0"/>
              <w:rPr>
                <w:sz w:val="20"/>
                <w:szCs w:val="20"/>
                <w:color w:val="auto"/>
              </w:rPr>
            </w:pPr>
            <w:r>
              <w:rPr>
                <w:rFonts w:ascii="Arial" w:cs="Arial" w:eastAsia="Arial" w:hAnsi="Arial"/>
                <w:sz w:val="16"/>
                <w:szCs w:val="16"/>
                <w:color w:val="auto"/>
              </w:rPr>
              <w:t>Basic EPS:</w:t>
            </w:r>
          </w:p>
        </w:tc>
        <w:tc>
          <w:tcPr>
            <w:tcW w:w="320" w:type="dxa"/>
            <w:vAlign w:val="bottom"/>
            <w:shd w:val="clear" w:color="auto" w:fill="D4F1F5"/>
          </w:tcPr>
          <w:p>
            <w:pPr>
              <w:spacing w:after="0"/>
              <w:rPr>
                <w:sz w:val="18"/>
                <w:szCs w:val="18"/>
                <w:color w:val="auto"/>
              </w:rPr>
            </w:pPr>
          </w:p>
        </w:tc>
        <w:tc>
          <w:tcPr>
            <w:tcW w:w="1200" w:type="dxa"/>
            <w:vAlign w:val="bottom"/>
            <w:shd w:val="clear" w:color="auto" w:fill="D4F1F5"/>
          </w:tcPr>
          <w:p>
            <w:pPr>
              <w:spacing w:after="0"/>
              <w:rPr>
                <w:sz w:val="18"/>
                <w:szCs w:val="18"/>
                <w:color w:val="auto"/>
              </w:rPr>
            </w:pPr>
          </w:p>
        </w:tc>
        <w:tc>
          <w:tcPr>
            <w:tcW w:w="500" w:type="dxa"/>
            <w:vAlign w:val="bottom"/>
            <w:shd w:val="clear" w:color="auto" w:fill="D4F1F5"/>
          </w:tcPr>
          <w:p>
            <w:pPr>
              <w:spacing w:after="0"/>
              <w:rPr>
                <w:sz w:val="18"/>
                <w:szCs w:val="18"/>
                <w:color w:val="auto"/>
              </w:rPr>
            </w:pPr>
          </w:p>
        </w:tc>
        <w:tc>
          <w:tcPr>
            <w:tcW w:w="1000" w:type="dxa"/>
            <w:vAlign w:val="bottom"/>
            <w:shd w:val="clear" w:color="auto" w:fill="D4F1F5"/>
          </w:tcPr>
          <w:p>
            <w:pPr>
              <w:spacing w:after="0"/>
              <w:rPr>
                <w:sz w:val="18"/>
                <w:szCs w:val="18"/>
                <w:color w:val="auto"/>
              </w:rPr>
            </w:pPr>
          </w:p>
        </w:tc>
      </w:tr>
      <w:tr>
        <w:trPr>
          <w:trHeight w:val="215"/>
        </w:trPr>
        <w:tc>
          <w:tcPr>
            <w:tcW w:w="8220" w:type="dxa"/>
            <w:vAlign w:val="bottom"/>
          </w:tcPr>
          <w:p>
            <w:pPr>
              <w:ind w:left="240"/>
              <w:spacing w:after="0"/>
              <w:rPr>
                <w:sz w:val="20"/>
                <w:szCs w:val="20"/>
                <w:color w:val="auto"/>
              </w:rPr>
            </w:pPr>
            <w:r>
              <w:rPr>
                <w:rFonts w:ascii="Arial" w:cs="Arial" w:eastAsia="Arial" w:hAnsi="Arial"/>
                <w:sz w:val="16"/>
                <w:szCs w:val="16"/>
                <w:color w:val="auto"/>
              </w:rPr>
              <w:t>Earnings</w:t>
            </w: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80"/>
              <w:spacing w:after="0"/>
              <w:rPr>
                <w:sz w:val="20"/>
                <w:szCs w:val="20"/>
                <w:color w:val="auto"/>
              </w:rPr>
            </w:pPr>
            <w:r>
              <w:rPr>
                <w:rFonts w:ascii="Arial" w:cs="Arial" w:eastAsia="Arial" w:hAnsi="Arial"/>
                <w:sz w:val="16"/>
                <w:szCs w:val="16"/>
                <w:color w:val="auto"/>
              </w:rPr>
              <w:t>1.59</w:t>
            </w:r>
          </w:p>
        </w:tc>
        <w:tc>
          <w:tcPr>
            <w:tcW w:w="50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1.39</w:t>
            </w:r>
          </w:p>
        </w:tc>
      </w:tr>
      <w:tr>
        <w:trPr>
          <w:trHeight w:val="217"/>
        </w:trPr>
        <w:tc>
          <w:tcPr>
            <w:tcW w:w="8220" w:type="dxa"/>
            <w:vAlign w:val="bottom"/>
            <w:shd w:val="clear" w:color="auto" w:fill="D4F1F5"/>
          </w:tcPr>
          <w:p>
            <w:pPr>
              <w:ind w:left="240"/>
              <w:spacing w:after="0"/>
              <w:rPr>
                <w:sz w:val="20"/>
                <w:szCs w:val="20"/>
                <w:color w:val="auto"/>
              </w:rPr>
            </w:pPr>
            <w:r>
              <w:rPr>
                <w:rFonts w:ascii="Arial" w:cs="Arial" w:eastAsia="Arial" w:hAnsi="Arial"/>
                <w:sz w:val="16"/>
                <w:szCs w:val="16"/>
                <w:color w:val="auto"/>
              </w:rPr>
              <w:t>Weighted-average common shares outstanding</w:t>
            </w:r>
          </w:p>
        </w:tc>
        <w:tc>
          <w:tcPr>
            <w:tcW w:w="320" w:type="dxa"/>
            <w:vAlign w:val="bottom"/>
            <w:shd w:val="clear" w:color="auto" w:fill="D4F1F5"/>
          </w:tcPr>
          <w:p>
            <w:pPr>
              <w:spacing w:after="0"/>
              <w:rPr>
                <w:sz w:val="18"/>
                <w:szCs w:val="18"/>
                <w:color w:val="auto"/>
              </w:rPr>
            </w:pPr>
          </w:p>
        </w:tc>
        <w:tc>
          <w:tcPr>
            <w:tcW w:w="1200" w:type="dxa"/>
            <w:vAlign w:val="bottom"/>
            <w:shd w:val="clear" w:color="auto" w:fill="D4F1F5"/>
          </w:tcPr>
          <w:p>
            <w:pPr>
              <w:jc w:val="right"/>
              <w:ind w:right="80"/>
              <w:spacing w:after="0"/>
              <w:rPr>
                <w:sz w:val="20"/>
                <w:szCs w:val="20"/>
                <w:color w:val="auto"/>
              </w:rPr>
            </w:pPr>
            <w:r>
              <w:rPr>
                <w:rFonts w:ascii="Arial" w:cs="Arial" w:eastAsia="Arial" w:hAnsi="Arial"/>
                <w:sz w:val="16"/>
                <w:szCs w:val="16"/>
                <w:color w:val="auto"/>
              </w:rPr>
              <w:t>653,589</w:t>
            </w:r>
          </w:p>
        </w:tc>
        <w:tc>
          <w:tcPr>
            <w:tcW w:w="500" w:type="dxa"/>
            <w:vAlign w:val="bottom"/>
            <w:shd w:val="clear" w:color="auto" w:fill="D4F1F5"/>
          </w:tcPr>
          <w:p>
            <w:pPr>
              <w:spacing w:after="0"/>
              <w:rPr>
                <w:sz w:val="18"/>
                <w:szCs w:val="18"/>
                <w:color w:val="auto"/>
              </w:rPr>
            </w:pPr>
          </w:p>
        </w:tc>
        <w:tc>
          <w:tcPr>
            <w:tcW w:w="1000" w:type="dxa"/>
            <w:vAlign w:val="bottom"/>
            <w:shd w:val="clear" w:color="auto" w:fill="D4F1F5"/>
          </w:tcPr>
          <w:p>
            <w:pPr>
              <w:jc w:val="right"/>
              <w:spacing w:after="0"/>
              <w:rPr>
                <w:sz w:val="20"/>
                <w:szCs w:val="20"/>
                <w:color w:val="auto"/>
              </w:rPr>
            </w:pPr>
            <w:r>
              <w:rPr>
                <w:rFonts w:ascii="Arial" w:cs="Arial" w:eastAsia="Arial" w:hAnsi="Arial"/>
                <w:sz w:val="16"/>
                <w:szCs w:val="16"/>
                <w:color w:val="auto"/>
              </w:rPr>
              <w:t>651,992</w:t>
            </w:r>
          </w:p>
        </w:tc>
      </w:tr>
      <w:tr>
        <w:trPr>
          <w:trHeight w:val="216"/>
        </w:trPr>
        <w:tc>
          <w:tcPr>
            <w:tcW w:w="8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16"/>
        </w:trPr>
        <w:tc>
          <w:tcPr>
            <w:tcW w:w="8220" w:type="dxa"/>
            <w:vAlign w:val="bottom"/>
            <w:shd w:val="clear" w:color="auto" w:fill="D4F1F5"/>
          </w:tcPr>
          <w:p>
            <w:pPr>
              <w:ind w:left="20"/>
              <w:spacing w:after="0"/>
              <w:rPr>
                <w:sz w:val="20"/>
                <w:szCs w:val="20"/>
                <w:color w:val="auto"/>
              </w:rPr>
            </w:pPr>
            <w:r>
              <w:rPr>
                <w:rFonts w:ascii="Arial" w:cs="Arial" w:eastAsia="Arial" w:hAnsi="Arial"/>
                <w:sz w:val="16"/>
                <w:szCs w:val="16"/>
                <w:color w:val="auto"/>
              </w:rPr>
              <w:t>Diluted EPS:</w:t>
            </w:r>
          </w:p>
        </w:tc>
        <w:tc>
          <w:tcPr>
            <w:tcW w:w="320" w:type="dxa"/>
            <w:vAlign w:val="bottom"/>
            <w:shd w:val="clear" w:color="auto" w:fill="D4F1F5"/>
          </w:tcPr>
          <w:p>
            <w:pPr>
              <w:spacing w:after="0"/>
              <w:rPr>
                <w:sz w:val="18"/>
                <w:szCs w:val="18"/>
                <w:color w:val="auto"/>
              </w:rPr>
            </w:pPr>
          </w:p>
        </w:tc>
        <w:tc>
          <w:tcPr>
            <w:tcW w:w="1200" w:type="dxa"/>
            <w:vAlign w:val="bottom"/>
            <w:shd w:val="clear" w:color="auto" w:fill="D4F1F5"/>
          </w:tcPr>
          <w:p>
            <w:pPr>
              <w:spacing w:after="0"/>
              <w:rPr>
                <w:sz w:val="18"/>
                <w:szCs w:val="18"/>
                <w:color w:val="auto"/>
              </w:rPr>
            </w:pPr>
          </w:p>
        </w:tc>
        <w:tc>
          <w:tcPr>
            <w:tcW w:w="500" w:type="dxa"/>
            <w:vAlign w:val="bottom"/>
            <w:shd w:val="clear" w:color="auto" w:fill="D4F1F5"/>
          </w:tcPr>
          <w:p>
            <w:pPr>
              <w:spacing w:after="0"/>
              <w:rPr>
                <w:sz w:val="18"/>
                <w:szCs w:val="18"/>
                <w:color w:val="auto"/>
              </w:rPr>
            </w:pPr>
          </w:p>
        </w:tc>
        <w:tc>
          <w:tcPr>
            <w:tcW w:w="1000" w:type="dxa"/>
            <w:vAlign w:val="bottom"/>
            <w:shd w:val="clear" w:color="auto" w:fill="D4F1F5"/>
          </w:tcPr>
          <w:p>
            <w:pPr>
              <w:spacing w:after="0"/>
              <w:rPr>
                <w:sz w:val="18"/>
                <w:szCs w:val="18"/>
                <w:color w:val="auto"/>
              </w:rPr>
            </w:pPr>
          </w:p>
        </w:tc>
      </w:tr>
      <w:tr>
        <w:trPr>
          <w:trHeight w:val="215"/>
        </w:trPr>
        <w:tc>
          <w:tcPr>
            <w:tcW w:w="8220" w:type="dxa"/>
            <w:vAlign w:val="bottom"/>
          </w:tcPr>
          <w:p>
            <w:pPr>
              <w:ind w:left="240"/>
              <w:spacing w:after="0"/>
              <w:rPr>
                <w:sz w:val="20"/>
                <w:szCs w:val="20"/>
                <w:color w:val="auto"/>
              </w:rPr>
            </w:pPr>
            <w:r>
              <w:rPr>
                <w:rFonts w:ascii="Arial" w:cs="Arial" w:eastAsia="Arial" w:hAnsi="Arial"/>
                <w:sz w:val="16"/>
                <w:szCs w:val="16"/>
                <w:color w:val="auto"/>
              </w:rPr>
              <w:t>Earnings</w:t>
            </w: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80"/>
              <w:spacing w:after="0"/>
              <w:rPr>
                <w:sz w:val="20"/>
                <w:szCs w:val="20"/>
                <w:color w:val="auto"/>
              </w:rPr>
            </w:pPr>
            <w:r>
              <w:rPr>
                <w:rFonts w:ascii="Arial" w:cs="Arial" w:eastAsia="Arial" w:hAnsi="Arial"/>
                <w:sz w:val="16"/>
                <w:szCs w:val="16"/>
                <w:color w:val="auto"/>
              </w:rPr>
              <w:t>1.58</w:t>
            </w:r>
          </w:p>
        </w:tc>
        <w:tc>
          <w:tcPr>
            <w:tcW w:w="50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1.39</w:t>
            </w:r>
          </w:p>
        </w:tc>
      </w:tr>
      <w:tr>
        <w:trPr>
          <w:trHeight w:val="224"/>
        </w:trPr>
        <w:tc>
          <w:tcPr>
            <w:tcW w:w="8220" w:type="dxa"/>
            <w:vAlign w:val="bottom"/>
            <w:tcBorders>
              <w:bottom w:val="single" w:sz="8" w:color="ACACAC"/>
            </w:tcBorders>
            <w:shd w:val="clear" w:color="auto" w:fill="D4F1F5"/>
          </w:tcPr>
          <w:p>
            <w:pPr>
              <w:ind w:left="240"/>
              <w:spacing w:after="0"/>
              <w:rPr>
                <w:sz w:val="20"/>
                <w:szCs w:val="20"/>
                <w:color w:val="auto"/>
              </w:rPr>
            </w:pPr>
            <w:r>
              <w:rPr>
                <w:rFonts w:ascii="Arial" w:cs="Arial" w:eastAsia="Arial" w:hAnsi="Arial"/>
                <w:sz w:val="16"/>
                <w:szCs w:val="16"/>
                <w:color w:val="auto"/>
              </w:rPr>
              <w:t>Weighted-average common shares outstanding</w:t>
            </w:r>
          </w:p>
        </w:tc>
        <w:tc>
          <w:tcPr>
            <w:tcW w:w="320" w:type="dxa"/>
            <w:vAlign w:val="bottom"/>
            <w:tcBorders>
              <w:bottom w:val="single" w:sz="8" w:color="ACACAC"/>
            </w:tcBorders>
            <w:shd w:val="clear" w:color="auto" w:fill="D4F1F5"/>
          </w:tcPr>
          <w:p>
            <w:pPr>
              <w:spacing w:after="0"/>
              <w:rPr>
                <w:sz w:val="19"/>
                <w:szCs w:val="19"/>
                <w:color w:val="auto"/>
              </w:rPr>
            </w:pPr>
          </w:p>
        </w:tc>
        <w:tc>
          <w:tcPr>
            <w:tcW w:w="1200" w:type="dxa"/>
            <w:vAlign w:val="bottom"/>
            <w:tcBorders>
              <w:bottom w:val="single" w:sz="8" w:color="ACACAC"/>
            </w:tcBorders>
            <w:shd w:val="clear" w:color="auto" w:fill="D4F1F5"/>
          </w:tcPr>
          <w:p>
            <w:pPr>
              <w:jc w:val="right"/>
              <w:ind w:right="80"/>
              <w:spacing w:after="0"/>
              <w:rPr>
                <w:sz w:val="20"/>
                <w:szCs w:val="20"/>
                <w:color w:val="auto"/>
              </w:rPr>
            </w:pPr>
            <w:r>
              <w:rPr>
                <w:rFonts w:ascii="Arial" w:cs="Arial" w:eastAsia="Arial" w:hAnsi="Arial"/>
                <w:sz w:val="16"/>
                <w:szCs w:val="16"/>
                <w:color w:val="auto"/>
              </w:rPr>
              <w:t>655,488</w:t>
            </w:r>
          </w:p>
        </w:tc>
        <w:tc>
          <w:tcPr>
            <w:tcW w:w="500" w:type="dxa"/>
            <w:vAlign w:val="bottom"/>
            <w:tcBorders>
              <w:bottom w:val="single" w:sz="8" w:color="ACACAC"/>
            </w:tcBorders>
            <w:shd w:val="clear" w:color="auto" w:fill="D4F1F5"/>
          </w:tcPr>
          <w:p>
            <w:pPr>
              <w:spacing w:after="0"/>
              <w:rPr>
                <w:sz w:val="19"/>
                <w:szCs w:val="19"/>
                <w:color w:val="auto"/>
              </w:rPr>
            </w:pPr>
          </w:p>
        </w:tc>
        <w:tc>
          <w:tcPr>
            <w:tcW w:w="1000" w:type="dxa"/>
            <w:vAlign w:val="bottom"/>
            <w:tcBorders>
              <w:bottom w:val="single" w:sz="8" w:color="ACACAC"/>
            </w:tcBorders>
            <w:shd w:val="clear" w:color="auto" w:fill="D4F1F5"/>
          </w:tcPr>
          <w:p>
            <w:pPr>
              <w:jc w:val="right"/>
              <w:spacing w:after="0"/>
              <w:rPr>
                <w:sz w:val="20"/>
                <w:szCs w:val="20"/>
                <w:color w:val="auto"/>
              </w:rPr>
            </w:pPr>
            <w:r>
              <w:rPr>
                <w:rFonts w:ascii="Arial" w:cs="Arial" w:eastAsia="Arial" w:hAnsi="Arial"/>
                <w:sz w:val="16"/>
                <w:szCs w:val="16"/>
                <w:color w:val="auto"/>
              </w:rPr>
              <w:t>653,018</w:t>
            </w:r>
          </w:p>
        </w:tc>
      </w:tr>
    </w:tbl>
    <w:p>
      <w:pPr>
        <w:spacing w:after="0" w:line="141"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See Notes to Condensed Consolidated Financial Statements.</w:t>
      </w: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480060</wp:posOffset>
            </wp:positionV>
            <wp:extent cx="7132320" cy="45402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4540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FFFFFF"/>
        </w:rPr>
        <w:t>SEMPRA</w:t>
      </w:r>
    </w:p>
    <w:p>
      <w:pPr>
        <w:spacing w:after="0" w:line="59"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FFFFFF"/>
        </w:rPr>
        <w:t>CONDENSED CONSOLIDATED STATEMENTS OF COMPREHENSIVE INCOME (LOSS)</w:t>
      </w:r>
    </w:p>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4160" w:type="dxa"/>
            <w:vAlign w:val="bottom"/>
          </w:tcPr>
          <w:p>
            <w:pPr>
              <w:ind w:left="20"/>
              <w:spacing w:after="0"/>
              <w:rPr>
                <w:sz w:val="20"/>
                <w:szCs w:val="20"/>
                <w:color w:val="auto"/>
              </w:rPr>
            </w:pPr>
            <w:r>
              <w:rPr>
                <w:rFonts w:ascii="Arial" w:cs="Arial" w:eastAsia="Arial" w:hAnsi="Arial"/>
                <w:sz w:val="14"/>
                <w:szCs w:val="14"/>
                <w:i w:val="1"/>
                <w:iCs w:val="1"/>
                <w:color w:val="FFFFFF"/>
              </w:rPr>
              <w:t>(Dollars in millions)</w:t>
            </w:r>
          </w:p>
        </w:tc>
        <w:tc>
          <w:tcPr>
            <w:tcW w:w="2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60" w:type="dxa"/>
            <w:vAlign w:val="bottom"/>
          </w:tcPr>
          <w:p>
            <w:pPr>
              <w:spacing w:after="0"/>
              <w:rPr>
                <w:sz w:val="16"/>
                <w:szCs w:val="16"/>
                <w:color w:val="auto"/>
              </w:rPr>
            </w:pPr>
          </w:p>
        </w:tc>
      </w:tr>
      <w:tr>
        <w:trPr>
          <w:trHeight w:val="233"/>
        </w:trPr>
        <w:tc>
          <w:tcPr>
            <w:tcW w:w="41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3260" w:type="dxa"/>
            <w:vAlign w:val="bottom"/>
            <w:tcBorders>
              <w:bottom w:val="single" w:sz="8" w:color="auto"/>
            </w:tcBorders>
            <w:gridSpan w:val="5"/>
          </w:tcPr>
          <w:p>
            <w:pPr>
              <w:jc w:val="center"/>
              <w:ind w:right="121"/>
              <w:spacing w:after="0"/>
              <w:rPr>
                <w:sz w:val="20"/>
                <w:szCs w:val="20"/>
                <w:color w:val="auto"/>
              </w:rPr>
            </w:pPr>
            <w:r>
              <w:rPr>
                <w:rFonts w:ascii="Arial" w:cs="Arial" w:eastAsia="Arial" w:hAnsi="Arial"/>
                <w:sz w:val="14"/>
                <w:szCs w:val="14"/>
                <w:color w:val="auto"/>
              </w:rPr>
              <w:t>Sempra shareholders’ equity</w:t>
            </w:r>
          </w:p>
        </w:tc>
        <w:tc>
          <w:tcPr>
            <w:tcW w:w="2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60" w:type="dxa"/>
            <w:vAlign w:val="bottom"/>
          </w:tcPr>
          <w:p>
            <w:pPr>
              <w:spacing w:after="0"/>
              <w:rPr>
                <w:sz w:val="20"/>
                <w:szCs w:val="20"/>
                <w:color w:val="auto"/>
              </w:rPr>
            </w:pPr>
          </w:p>
        </w:tc>
      </w:tr>
      <w:tr>
        <w:trPr>
          <w:trHeight w:val="177"/>
        </w:trPr>
        <w:tc>
          <w:tcPr>
            <w:tcW w:w="4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0" w:type="dxa"/>
            <w:vAlign w:val="bottom"/>
          </w:tcPr>
          <w:p>
            <w:pPr>
              <w:jc w:val="center"/>
              <w:ind w:right="101"/>
              <w:spacing w:after="0"/>
              <w:rPr>
                <w:sz w:val="20"/>
                <w:szCs w:val="20"/>
                <w:color w:val="auto"/>
              </w:rPr>
            </w:pPr>
            <w:r>
              <w:rPr>
                <w:rFonts w:ascii="Arial" w:cs="Arial" w:eastAsia="Arial" w:hAnsi="Arial"/>
                <w:sz w:val="14"/>
                <w:szCs w:val="14"/>
                <w:color w:val="auto"/>
              </w:rPr>
              <w:t>Income tax</w:t>
            </w: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162"/>
        </w:trPr>
        <w:tc>
          <w:tcPr>
            <w:tcW w:w="4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jc w:val="right"/>
              <w:ind w:right="301"/>
              <w:spacing w:after="0"/>
              <w:rPr>
                <w:sz w:val="20"/>
                <w:szCs w:val="20"/>
                <w:color w:val="auto"/>
              </w:rPr>
            </w:pPr>
            <w:r>
              <w:rPr>
                <w:rFonts w:ascii="Arial" w:cs="Arial" w:eastAsia="Arial" w:hAnsi="Arial"/>
                <w:sz w:val="14"/>
                <w:szCs w:val="14"/>
                <w:color w:val="auto"/>
              </w:rPr>
              <w:t>Pretax</w:t>
            </w:r>
          </w:p>
        </w:tc>
        <w:tc>
          <w:tcPr>
            <w:tcW w:w="200" w:type="dxa"/>
            <w:vAlign w:val="bottom"/>
          </w:tcPr>
          <w:p>
            <w:pPr>
              <w:spacing w:after="0"/>
              <w:rPr>
                <w:sz w:val="14"/>
                <w:szCs w:val="14"/>
                <w:color w:val="auto"/>
              </w:rPr>
            </w:pPr>
          </w:p>
        </w:tc>
        <w:tc>
          <w:tcPr>
            <w:tcW w:w="1000" w:type="dxa"/>
            <w:vAlign w:val="bottom"/>
          </w:tcPr>
          <w:p>
            <w:pPr>
              <w:jc w:val="center"/>
              <w:ind w:right="121"/>
              <w:spacing w:after="0"/>
              <w:rPr>
                <w:sz w:val="20"/>
                <w:szCs w:val="20"/>
                <w:color w:val="auto"/>
              </w:rPr>
            </w:pPr>
            <w:r>
              <w:rPr>
                <w:rFonts w:ascii="Arial" w:cs="Arial" w:eastAsia="Arial" w:hAnsi="Arial"/>
                <w:sz w:val="14"/>
                <w:szCs w:val="14"/>
                <w:color w:val="auto"/>
              </w:rPr>
              <w:t>(expense)</w:t>
            </w:r>
          </w:p>
        </w:tc>
        <w:tc>
          <w:tcPr>
            <w:tcW w:w="220" w:type="dxa"/>
            <w:vAlign w:val="bottom"/>
          </w:tcPr>
          <w:p>
            <w:pPr>
              <w:spacing w:after="0"/>
              <w:rPr>
                <w:sz w:val="14"/>
                <w:szCs w:val="14"/>
                <w:color w:val="auto"/>
              </w:rPr>
            </w:pPr>
          </w:p>
        </w:tc>
        <w:tc>
          <w:tcPr>
            <w:tcW w:w="920" w:type="dxa"/>
            <w:vAlign w:val="bottom"/>
          </w:tcPr>
          <w:p>
            <w:pPr>
              <w:jc w:val="right"/>
              <w:ind w:right="141"/>
              <w:spacing w:after="0"/>
              <w:rPr>
                <w:sz w:val="20"/>
                <w:szCs w:val="20"/>
                <w:color w:val="auto"/>
              </w:rPr>
            </w:pPr>
            <w:r>
              <w:rPr>
                <w:rFonts w:ascii="Arial" w:cs="Arial" w:eastAsia="Arial" w:hAnsi="Arial"/>
                <w:sz w:val="14"/>
                <w:szCs w:val="14"/>
                <w:color w:val="auto"/>
              </w:rPr>
              <w:t>Net-of-tax</w:t>
            </w:r>
          </w:p>
        </w:tc>
        <w:tc>
          <w:tcPr>
            <w:tcW w:w="280" w:type="dxa"/>
            <w:vAlign w:val="bottom"/>
          </w:tcPr>
          <w:p>
            <w:pPr>
              <w:spacing w:after="0"/>
              <w:rPr>
                <w:sz w:val="14"/>
                <w:szCs w:val="14"/>
                <w:color w:val="auto"/>
              </w:rPr>
            </w:pPr>
          </w:p>
        </w:tc>
        <w:tc>
          <w:tcPr>
            <w:tcW w:w="960" w:type="dxa"/>
            <w:vAlign w:val="bottom"/>
          </w:tcPr>
          <w:p>
            <w:pPr>
              <w:jc w:val="right"/>
              <w:ind w:right="380"/>
              <w:spacing w:after="0"/>
              <w:rPr>
                <w:sz w:val="20"/>
                <w:szCs w:val="20"/>
                <w:color w:val="auto"/>
              </w:rPr>
            </w:pPr>
            <w:r>
              <w:rPr>
                <w:rFonts w:ascii="Arial" w:cs="Arial" w:eastAsia="Arial" w:hAnsi="Arial"/>
                <w:sz w:val="14"/>
                <w:szCs w:val="14"/>
                <w:color w:val="auto"/>
              </w:rPr>
              <w:t>NCI</w:t>
            </w:r>
          </w:p>
        </w:tc>
        <w:tc>
          <w:tcPr>
            <w:tcW w:w="220" w:type="dxa"/>
            <w:vAlign w:val="bottom"/>
          </w:tcPr>
          <w:p>
            <w:pPr>
              <w:spacing w:after="0"/>
              <w:rPr>
                <w:sz w:val="14"/>
                <w:szCs w:val="14"/>
                <w:color w:val="auto"/>
              </w:rPr>
            </w:pPr>
          </w:p>
        </w:tc>
        <w:tc>
          <w:tcPr>
            <w:tcW w:w="960" w:type="dxa"/>
            <w:vAlign w:val="bottom"/>
          </w:tcPr>
          <w:p>
            <w:pPr>
              <w:jc w:val="right"/>
              <w:ind w:right="280"/>
              <w:spacing w:after="0"/>
              <w:rPr>
                <w:sz w:val="20"/>
                <w:szCs w:val="20"/>
                <w:color w:val="auto"/>
              </w:rPr>
            </w:pPr>
            <w:r>
              <w:rPr>
                <w:rFonts w:ascii="Arial" w:cs="Arial" w:eastAsia="Arial" w:hAnsi="Arial"/>
                <w:sz w:val="14"/>
                <w:szCs w:val="14"/>
                <w:color w:val="auto"/>
              </w:rPr>
              <w:t>CRNCI</w:t>
            </w:r>
          </w:p>
        </w:tc>
        <w:tc>
          <w:tcPr>
            <w:tcW w:w="32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208"/>
        </w:trPr>
        <w:tc>
          <w:tcPr>
            <w:tcW w:w="41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261"/>
              <w:spacing w:after="0"/>
              <w:rPr>
                <w:sz w:val="20"/>
                <w:szCs w:val="20"/>
                <w:color w:val="auto"/>
              </w:rPr>
            </w:pPr>
            <w:r>
              <w:rPr>
                <w:rFonts w:ascii="Arial" w:cs="Arial" w:eastAsia="Arial" w:hAnsi="Arial"/>
                <w:sz w:val="14"/>
                <w:szCs w:val="14"/>
                <w:color w:val="auto"/>
              </w:rPr>
              <w:t>amount</w:t>
            </w:r>
          </w:p>
        </w:tc>
        <w:tc>
          <w:tcPr>
            <w:tcW w:w="2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center"/>
              <w:ind w:right="101"/>
              <w:spacing w:after="0"/>
              <w:rPr>
                <w:sz w:val="20"/>
                <w:szCs w:val="20"/>
                <w:color w:val="auto"/>
              </w:rPr>
            </w:pPr>
            <w:r>
              <w:rPr>
                <w:rFonts w:ascii="Arial" w:cs="Arial" w:eastAsia="Arial" w:hAnsi="Arial"/>
                <w:sz w:val="14"/>
                <w:szCs w:val="14"/>
                <w:color w:val="auto"/>
                <w:w w:val="99"/>
              </w:rPr>
              <w:t>benefit</w:t>
            </w:r>
          </w:p>
        </w:tc>
        <w:tc>
          <w:tcPr>
            <w:tcW w:w="2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221"/>
              <w:spacing w:after="0"/>
              <w:rPr>
                <w:sz w:val="20"/>
                <w:szCs w:val="20"/>
                <w:color w:val="auto"/>
              </w:rPr>
            </w:pPr>
            <w:r>
              <w:rPr>
                <w:rFonts w:ascii="Arial" w:cs="Arial" w:eastAsia="Arial" w:hAnsi="Arial"/>
                <w:sz w:val="14"/>
                <w:szCs w:val="14"/>
                <w:color w:val="auto"/>
              </w:rPr>
              <w:t>amount</w:t>
            </w: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200"/>
              <w:spacing w:after="0"/>
              <w:rPr>
                <w:sz w:val="20"/>
                <w:szCs w:val="20"/>
                <w:color w:val="auto"/>
              </w:rPr>
            </w:pPr>
            <w:r>
              <w:rPr>
                <w:rFonts w:ascii="Arial" w:cs="Arial" w:eastAsia="Arial" w:hAnsi="Arial"/>
                <w:sz w:val="14"/>
                <w:szCs w:val="14"/>
                <w:color w:val="auto"/>
              </w:rPr>
              <w:t>(after tax)</w:t>
            </w:r>
          </w:p>
        </w:tc>
        <w:tc>
          <w:tcPr>
            <w:tcW w:w="2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200"/>
              <w:spacing w:after="0"/>
              <w:rPr>
                <w:sz w:val="20"/>
                <w:szCs w:val="20"/>
                <w:color w:val="auto"/>
              </w:rPr>
            </w:pPr>
            <w:r>
              <w:rPr>
                <w:rFonts w:ascii="Arial" w:cs="Arial" w:eastAsia="Arial" w:hAnsi="Arial"/>
                <w:sz w:val="14"/>
                <w:szCs w:val="14"/>
                <w:color w:val="auto"/>
              </w:rPr>
              <w:t>(after tax)</w:t>
            </w:r>
          </w:p>
        </w:tc>
        <w:tc>
          <w:tcPr>
            <w:tcW w:w="3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20"/>
              <w:spacing w:after="0"/>
              <w:rPr>
                <w:sz w:val="20"/>
                <w:szCs w:val="20"/>
                <w:color w:val="auto"/>
              </w:rPr>
            </w:pPr>
            <w:r>
              <w:rPr>
                <w:rFonts w:ascii="Arial" w:cs="Arial" w:eastAsia="Arial" w:hAnsi="Arial"/>
                <w:sz w:val="14"/>
                <w:szCs w:val="14"/>
                <w:color w:val="auto"/>
              </w:rPr>
              <w:t>Total</w:t>
            </w:r>
          </w:p>
        </w:tc>
      </w:tr>
      <w:tr>
        <w:trPr>
          <w:trHeight w:val="209"/>
        </w:trPr>
        <w:tc>
          <w:tcPr>
            <w:tcW w:w="41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160" w:type="dxa"/>
            <w:vAlign w:val="bottom"/>
            <w:tcBorders>
              <w:bottom w:val="single" w:sz="8" w:color="auto"/>
            </w:tcBorders>
            <w:gridSpan w:val="3"/>
          </w:tcPr>
          <w:p>
            <w:pPr>
              <w:jc w:val="right"/>
              <w:ind w:right="740"/>
              <w:spacing w:after="0"/>
              <w:rPr>
                <w:sz w:val="20"/>
                <w:szCs w:val="20"/>
                <w:color w:val="auto"/>
              </w:rPr>
            </w:pPr>
            <w:r>
              <w:rPr>
                <w:rFonts w:ascii="Arial" w:cs="Arial" w:eastAsia="Arial" w:hAnsi="Arial"/>
                <w:sz w:val="14"/>
                <w:szCs w:val="14"/>
                <w:color w:val="auto"/>
              </w:rPr>
              <w:t>(unaudited)</w:t>
            </w:r>
          </w:p>
        </w:tc>
        <w:tc>
          <w:tcPr>
            <w:tcW w:w="2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r>
      <w:tr>
        <w:trPr>
          <w:trHeight w:val="209"/>
        </w:trPr>
        <w:tc>
          <w:tcPr>
            <w:tcW w:w="416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4560" w:type="dxa"/>
            <w:vAlign w:val="bottom"/>
            <w:tcBorders>
              <w:bottom w:val="single" w:sz="8" w:color="auto"/>
            </w:tcBorders>
            <w:gridSpan w:val="7"/>
          </w:tcPr>
          <w:p>
            <w:pPr>
              <w:jc w:val="right"/>
              <w:ind w:right="780"/>
              <w:spacing w:after="0"/>
              <w:rPr>
                <w:sz w:val="20"/>
                <w:szCs w:val="20"/>
                <w:color w:val="auto"/>
              </w:rPr>
            </w:pPr>
            <w:r>
              <w:rPr>
                <w:rFonts w:ascii="Arial" w:cs="Arial" w:eastAsia="Arial" w:hAnsi="Arial"/>
                <w:sz w:val="14"/>
                <w:szCs w:val="14"/>
                <w:color w:val="auto"/>
              </w:rPr>
              <w:t>Three months ended March 31, 2026 and 2025</w:t>
            </w:r>
          </w:p>
        </w:tc>
        <w:tc>
          <w:tcPr>
            <w:tcW w:w="3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r>
      <w:tr>
        <w:trPr>
          <w:trHeight w:val="214"/>
        </w:trPr>
        <w:tc>
          <w:tcPr>
            <w:tcW w:w="4160" w:type="dxa"/>
            <w:vAlign w:val="bottom"/>
            <w:shd w:val="clear" w:color="auto" w:fill="D4F1F5"/>
          </w:tcPr>
          <w:p>
            <w:pPr>
              <w:ind w:left="20"/>
              <w:spacing w:after="0"/>
              <w:rPr>
                <w:sz w:val="20"/>
                <w:szCs w:val="20"/>
                <w:color w:val="auto"/>
              </w:rPr>
            </w:pPr>
            <w:r>
              <w:rPr>
                <w:rFonts w:ascii="Arial" w:cs="Arial" w:eastAsia="Arial" w:hAnsi="Arial"/>
                <w:sz w:val="16"/>
                <w:szCs w:val="16"/>
                <w:b w:val="1"/>
                <w:bCs w:val="1"/>
                <w:color w:val="auto"/>
              </w:rPr>
              <w:t>2026:</w:t>
            </w:r>
          </w:p>
        </w:tc>
        <w:tc>
          <w:tcPr>
            <w:tcW w:w="220" w:type="dxa"/>
            <w:vAlign w:val="bottom"/>
            <w:shd w:val="clear" w:color="auto" w:fill="D4F1F5"/>
          </w:tcPr>
          <w:p>
            <w:pPr>
              <w:spacing w:after="0"/>
              <w:rPr>
                <w:sz w:val="18"/>
                <w:szCs w:val="18"/>
                <w:color w:val="auto"/>
              </w:rPr>
            </w:pPr>
          </w:p>
        </w:tc>
        <w:tc>
          <w:tcPr>
            <w:tcW w:w="920" w:type="dxa"/>
            <w:vAlign w:val="bottom"/>
            <w:shd w:val="clear" w:color="auto" w:fill="D4F1F5"/>
          </w:tcPr>
          <w:p>
            <w:pPr>
              <w:spacing w:after="0"/>
              <w:rPr>
                <w:sz w:val="18"/>
                <w:szCs w:val="18"/>
                <w:color w:val="auto"/>
              </w:rPr>
            </w:pPr>
          </w:p>
        </w:tc>
        <w:tc>
          <w:tcPr>
            <w:tcW w:w="200" w:type="dxa"/>
            <w:vAlign w:val="bottom"/>
            <w:shd w:val="clear" w:color="auto" w:fill="D4F1F5"/>
          </w:tcPr>
          <w:p>
            <w:pPr>
              <w:spacing w:after="0"/>
              <w:rPr>
                <w:sz w:val="18"/>
                <w:szCs w:val="18"/>
                <w:color w:val="auto"/>
              </w:rPr>
            </w:pPr>
          </w:p>
        </w:tc>
        <w:tc>
          <w:tcPr>
            <w:tcW w:w="1000" w:type="dxa"/>
            <w:vAlign w:val="bottom"/>
            <w:shd w:val="clear" w:color="auto" w:fill="D4F1F5"/>
          </w:tcPr>
          <w:p>
            <w:pPr>
              <w:spacing w:after="0"/>
              <w:rPr>
                <w:sz w:val="18"/>
                <w:szCs w:val="18"/>
                <w:color w:val="auto"/>
              </w:rPr>
            </w:pPr>
          </w:p>
        </w:tc>
        <w:tc>
          <w:tcPr>
            <w:tcW w:w="220" w:type="dxa"/>
            <w:vAlign w:val="bottom"/>
            <w:shd w:val="clear" w:color="auto" w:fill="D4F1F5"/>
          </w:tcPr>
          <w:p>
            <w:pPr>
              <w:spacing w:after="0"/>
              <w:rPr>
                <w:sz w:val="18"/>
                <w:szCs w:val="18"/>
                <w:color w:val="auto"/>
              </w:rPr>
            </w:pPr>
          </w:p>
        </w:tc>
        <w:tc>
          <w:tcPr>
            <w:tcW w:w="920" w:type="dxa"/>
            <w:vAlign w:val="bottom"/>
            <w:shd w:val="clear" w:color="auto" w:fill="D4F1F5"/>
          </w:tcPr>
          <w:p>
            <w:pPr>
              <w:spacing w:after="0"/>
              <w:rPr>
                <w:sz w:val="18"/>
                <w:szCs w:val="18"/>
                <w:color w:val="auto"/>
              </w:rPr>
            </w:pPr>
          </w:p>
        </w:tc>
        <w:tc>
          <w:tcPr>
            <w:tcW w:w="280" w:type="dxa"/>
            <w:vAlign w:val="bottom"/>
            <w:shd w:val="clear" w:color="auto" w:fill="D4F1F5"/>
          </w:tcPr>
          <w:p>
            <w:pPr>
              <w:spacing w:after="0"/>
              <w:rPr>
                <w:sz w:val="18"/>
                <w:szCs w:val="18"/>
                <w:color w:val="auto"/>
              </w:rPr>
            </w:pPr>
          </w:p>
        </w:tc>
        <w:tc>
          <w:tcPr>
            <w:tcW w:w="960" w:type="dxa"/>
            <w:vAlign w:val="bottom"/>
            <w:shd w:val="clear" w:color="auto" w:fill="D4F1F5"/>
          </w:tcPr>
          <w:p>
            <w:pPr>
              <w:spacing w:after="0"/>
              <w:rPr>
                <w:sz w:val="18"/>
                <w:szCs w:val="18"/>
                <w:color w:val="auto"/>
              </w:rPr>
            </w:pPr>
          </w:p>
        </w:tc>
        <w:tc>
          <w:tcPr>
            <w:tcW w:w="220" w:type="dxa"/>
            <w:vAlign w:val="bottom"/>
            <w:shd w:val="clear" w:color="auto" w:fill="D4F1F5"/>
          </w:tcPr>
          <w:p>
            <w:pPr>
              <w:spacing w:after="0"/>
              <w:rPr>
                <w:sz w:val="18"/>
                <w:szCs w:val="18"/>
                <w:color w:val="auto"/>
              </w:rPr>
            </w:pPr>
          </w:p>
        </w:tc>
        <w:tc>
          <w:tcPr>
            <w:tcW w:w="960" w:type="dxa"/>
            <w:vAlign w:val="bottom"/>
            <w:shd w:val="clear" w:color="auto" w:fill="D4F1F5"/>
          </w:tcPr>
          <w:p>
            <w:pPr>
              <w:spacing w:after="0"/>
              <w:rPr>
                <w:sz w:val="18"/>
                <w:szCs w:val="18"/>
                <w:color w:val="auto"/>
              </w:rPr>
            </w:pPr>
          </w:p>
        </w:tc>
        <w:tc>
          <w:tcPr>
            <w:tcW w:w="320" w:type="dxa"/>
            <w:vAlign w:val="bottom"/>
            <w:shd w:val="clear" w:color="auto" w:fill="D4F1F5"/>
          </w:tcPr>
          <w:p>
            <w:pPr>
              <w:spacing w:after="0"/>
              <w:rPr>
                <w:sz w:val="18"/>
                <w:szCs w:val="18"/>
                <w:color w:val="auto"/>
              </w:rPr>
            </w:pPr>
          </w:p>
        </w:tc>
        <w:tc>
          <w:tcPr>
            <w:tcW w:w="860" w:type="dxa"/>
            <w:vAlign w:val="bottom"/>
            <w:shd w:val="clear" w:color="auto" w:fill="D4F1F5"/>
          </w:tcPr>
          <w:p>
            <w:pPr>
              <w:spacing w:after="0"/>
              <w:rPr>
                <w:sz w:val="18"/>
                <w:szCs w:val="18"/>
                <w:color w:val="auto"/>
              </w:rPr>
            </w:pPr>
          </w:p>
        </w:tc>
      </w:tr>
      <w:tr>
        <w:trPr>
          <w:trHeight w:val="215"/>
        </w:trPr>
        <w:tc>
          <w:tcPr>
            <w:tcW w:w="4160" w:type="dxa"/>
            <w:vAlign w:val="bottom"/>
            <w:tcBorders>
              <w:bottom w:val="single" w:sz="8" w:color="D4F1F5"/>
            </w:tcBorders>
          </w:tcPr>
          <w:p>
            <w:pPr>
              <w:ind w:left="20"/>
              <w:spacing w:after="0"/>
              <w:rPr>
                <w:sz w:val="20"/>
                <w:szCs w:val="20"/>
                <w:color w:val="auto"/>
              </w:rPr>
            </w:pPr>
            <w:r>
              <w:rPr>
                <w:rFonts w:ascii="Arial" w:cs="Arial" w:eastAsia="Arial" w:hAnsi="Arial"/>
                <w:sz w:val="16"/>
                <w:szCs w:val="16"/>
                <w:color w:val="auto"/>
              </w:rPr>
              <w:t>Net income</w:t>
            </w: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1,102</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(65)</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1,037</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107</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6</w:t>
            </w:r>
          </w:p>
        </w:tc>
        <w:tc>
          <w:tcPr>
            <w:tcW w:w="3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1,150</w:t>
            </w:r>
          </w:p>
        </w:tc>
      </w:tr>
      <w:tr>
        <w:trPr>
          <w:trHeight w:val="210"/>
        </w:trPr>
        <w:tc>
          <w:tcPr>
            <w:tcW w:w="4160" w:type="dxa"/>
            <w:vAlign w:val="bottom"/>
            <w:shd w:val="clear" w:color="auto" w:fill="D4F1F5"/>
          </w:tcPr>
          <w:p>
            <w:pPr>
              <w:ind w:left="20"/>
              <w:spacing w:after="0"/>
              <w:rPr>
                <w:sz w:val="20"/>
                <w:szCs w:val="20"/>
                <w:color w:val="auto"/>
              </w:rPr>
            </w:pPr>
            <w:r>
              <w:rPr>
                <w:rFonts w:ascii="Arial" w:cs="Arial" w:eastAsia="Arial" w:hAnsi="Arial"/>
                <w:sz w:val="16"/>
                <w:szCs w:val="16"/>
                <w:color w:val="auto"/>
              </w:rPr>
              <w:t>Other comprehensive income (loss):</w:t>
            </w:r>
          </w:p>
        </w:tc>
        <w:tc>
          <w:tcPr>
            <w:tcW w:w="220" w:type="dxa"/>
            <w:vAlign w:val="bottom"/>
            <w:shd w:val="clear" w:color="auto" w:fill="D4F1F5"/>
          </w:tcPr>
          <w:p>
            <w:pPr>
              <w:spacing w:after="0"/>
              <w:rPr>
                <w:sz w:val="18"/>
                <w:szCs w:val="18"/>
                <w:color w:val="auto"/>
              </w:rPr>
            </w:pPr>
          </w:p>
        </w:tc>
        <w:tc>
          <w:tcPr>
            <w:tcW w:w="920" w:type="dxa"/>
            <w:vAlign w:val="bottom"/>
            <w:shd w:val="clear" w:color="auto" w:fill="D4F1F5"/>
          </w:tcPr>
          <w:p>
            <w:pPr>
              <w:spacing w:after="0"/>
              <w:rPr>
                <w:sz w:val="18"/>
                <w:szCs w:val="18"/>
                <w:color w:val="auto"/>
              </w:rPr>
            </w:pPr>
          </w:p>
        </w:tc>
        <w:tc>
          <w:tcPr>
            <w:tcW w:w="200" w:type="dxa"/>
            <w:vAlign w:val="bottom"/>
            <w:shd w:val="clear" w:color="auto" w:fill="D4F1F5"/>
          </w:tcPr>
          <w:p>
            <w:pPr>
              <w:spacing w:after="0"/>
              <w:rPr>
                <w:sz w:val="18"/>
                <w:szCs w:val="18"/>
                <w:color w:val="auto"/>
              </w:rPr>
            </w:pPr>
          </w:p>
        </w:tc>
        <w:tc>
          <w:tcPr>
            <w:tcW w:w="1000" w:type="dxa"/>
            <w:vAlign w:val="bottom"/>
            <w:shd w:val="clear" w:color="auto" w:fill="D4F1F5"/>
          </w:tcPr>
          <w:p>
            <w:pPr>
              <w:spacing w:after="0"/>
              <w:rPr>
                <w:sz w:val="18"/>
                <w:szCs w:val="18"/>
                <w:color w:val="auto"/>
              </w:rPr>
            </w:pPr>
          </w:p>
        </w:tc>
        <w:tc>
          <w:tcPr>
            <w:tcW w:w="220" w:type="dxa"/>
            <w:vAlign w:val="bottom"/>
            <w:shd w:val="clear" w:color="auto" w:fill="D4F1F5"/>
          </w:tcPr>
          <w:p>
            <w:pPr>
              <w:spacing w:after="0"/>
              <w:rPr>
                <w:sz w:val="18"/>
                <w:szCs w:val="18"/>
                <w:color w:val="auto"/>
              </w:rPr>
            </w:pPr>
          </w:p>
        </w:tc>
        <w:tc>
          <w:tcPr>
            <w:tcW w:w="920" w:type="dxa"/>
            <w:vAlign w:val="bottom"/>
            <w:shd w:val="clear" w:color="auto" w:fill="D4F1F5"/>
          </w:tcPr>
          <w:p>
            <w:pPr>
              <w:spacing w:after="0"/>
              <w:rPr>
                <w:sz w:val="18"/>
                <w:szCs w:val="18"/>
                <w:color w:val="auto"/>
              </w:rPr>
            </w:pPr>
          </w:p>
        </w:tc>
        <w:tc>
          <w:tcPr>
            <w:tcW w:w="280" w:type="dxa"/>
            <w:vAlign w:val="bottom"/>
            <w:shd w:val="clear" w:color="auto" w:fill="D4F1F5"/>
          </w:tcPr>
          <w:p>
            <w:pPr>
              <w:spacing w:after="0"/>
              <w:rPr>
                <w:sz w:val="18"/>
                <w:szCs w:val="18"/>
                <w:color w:val="auto"/>
              </w:rPr>
            </w:pPr>
          </w:p>
        </w:tc>
        <w:tc>
          <w:tcPr>
            <w:tcW w:w="960" w:type="dxa"/>
            <w:vAlign w:val="bottom"/>
            <w:shd w:val="clear" w:color="auto" w:fill="D4F1F5"/>
          </w:tcPr>
          <w:p>
            <w:pPr>
              <w:spacing w:after="0"/>
              <w:rPr>
                <w:sz w:val="18"/>
                <w:szCs w:val="18"/>
                <w:color w:val="auto"/>
              </w:rPr>
            </w:pPr>
          </w:p>
        </w:tc>
        <w:tc>
          <w:tcPr>
            <w:tcW w:w="220" w:type="dxa"/>
            <w:vAlign w:val="bottom"/>
            <w:shd w:val="clear" w:color="auto" w:fill="D4F1F5"/>
          </w:tcPr>
          <w:p>
            <w:pPr>
              <w:spacing w:after="0"/>
              <w:rPr>
                <w:sz w:val="18"/>
                <w:szCs w:val="18"/>
                <w:color w:val="auto"/>
              </w:rPr>
            </w:pPr>
          </w:p>
        </w:tc>
        <w:tc>
          <w:tcPr>
            <w:tcW w:w="960" w:type="dxa"/>
            <w:vAlign w:val="bottom"/>
            <w:shd w:val="clear" w:color="auto" w:fill="D4F1F5"/>
          </w:tcPr>
          <w:p>
            <w:pPr>
              <w:spacing w:after="0"/>
              <w:rPr>
                <w:sz w:val="18"/>
                <w:szCs w:val="18"/>
                <w:color w:val="auto"/>
              </w:rPr>
            </w:pPr>
          </w:p>
        </w:tc>
        <w:tc>
          <w:tcPr>
            <w:tcW w:w="320" w:type="dxa"/>
            <w:vAlign w:val="bottom"/>
            <w:shd w:val="clear" w:color="auto" w:fill="D4F1F5"/>
          </w:tcPr>
          <w:p>
            <w:pPr>
              <w:spacing w:after="0"/>
              <w:rPr>
                <w:sz w:val="18"/>
                <w:szCs w:val="18"/>
                <w:color w:val="auto"/>
              </w:rPr>
            </w:pPr>
          </w:p>
        </w:tc>
        <w:tc>
          <w:tcPr>
            <w:tcW w:w="860" w:type="dxa"/>
            <w:vAlign w:val="bottom"/>
            <w:shd w:val="clear" w:color="auto" w:fill="D4F1F5"/>
          </w:tcPr>
          <w:p>
            <w:pPr>
              <w:spacing w:after="0"/>
              <w:rPr>
                <w:sz w:val="18"/>
                <w:szCs w:val="18"/>
                <w:color w:val="auto"/>
              </w:rPr>
            </w:pPr>
          </w:p>
        </w:tc>
      </w:tr>
      <w:tr>
        <w:trPr>
          <w:trHeight w:val="215"/>
        </w:trPr>
        <w:tc>
          <w:tcPr>
            <w:tcW w:w="4160" w:type="dxa"/>
            <w:vAlign w:val="bottom"/>
          </w:tcPr>
          <w:p>
            <w:pPr>
              <w:ind w:left="240"/>
              <w:spacing w:after="0"/>
              <w:rPr>
                <w:sz w:val="20"/>
                <w:szCs w:val="20"/>
                <w:color w:val="auto"/>
              </w:rPr>
            </w:pPr>
            <w:r>
              <w:rPr>
                <w:rFonts w:ascii="Arial" w:cs="Arial" w:eastAsia="Arial" w:hAnsi="Arial"/>
                <w:sz w:val="16"/>
                <w:szCs w:val="16"/>
                <w:color w:val="auto"/>
              </w:rPr>
              <w:t>Foreign currency translation adjustments</w:t>
            </w: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w:t>
            </w:r>
          </w:p>
        </w:tc>
        <w:tc>
          <w:tcPr>
            <w:tcW w:w="200" w:type="dxa"/>
            <w:vAlign w:val="bottom"/>
          </w:tcPr>
          <w:p>
            <w:pPr>
              <w:spacing w:after="0"/>
              <w:rPr>
                <w:sz w:val="18"/>
                <w:szCs w:val="18"/>
                <w:color w:val="auto"/>
              </w:rPr>
            </w:pPr>
          </w:p>
        </w:tc>
        <w:tc>
          <w:tcPr>
            <w:tcW w:w="1000" w:type="dxa"/>
            <w:vAlign w:val="bottom"/>
          </w:tcPr>
          <w:p>
            <w:pPr>
              <w:jc w:val="right"/>
              <w:ind w:right="41"/>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w:t>
            </w: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w:t>
            </w:r>
          </w:p>
        </w:tc>
        <w:tc>
          <w:tcPr>
            <w:tcW w:w="220" w:type="dxa"/>
            <w:vAlign w:val="bottom"/>
          </w:tcPr>
          <w:p>
            <w:pPr>
              <w:spacing w:after="0"/>
              <w:rPr>
                <w:sz w:val="18"/>
                <w:szCs w:val="18"/>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w:t>
            </w:r>
          </w:p>
        </w:tc>
      </w:tr>
      <w:tr>
        <w:trPr>
          <w:trHeight w:val="217"/>
        </w:trPr>
        <w:tc>
          <w:tcPr>
            <w:tcW w:w="4160" w:type="dxa"/>
            <w:vAlign w:val="bottom"/>
            <w:shd w:val="clear" w:color="auto" w:fill="D4F1F5"/>
          </w:tcPr>
          <w:p>
            <w:pPr>
              <w:ind w:left="240"/>
              <w:spacing w:after="0"/>
              <w:rPr>
                <w:sz w:val="20"/>
                <w:szCs w:val="20"/>
                <w:color w:val="auto"/>
              </w:rPr>
            </w:pPr>
            <w:r>
              <w:rPr>
                <w:rFonts w:ascii="Arial" w:cs="Arial" w:eastAsia="Arial" w:hAnsi="Arial"/>
                <w:sz w:val="16"/>
                <w:szCs w:val="16"/>
                <w:color w:val="auto"/>
              </w:rPr>
              <w:t>Financial instruments</w:t>
            </w:r>
          </w:p>
        </w:tc>
        <w:tc>
          <w:tcPr>
            <w:tcW w:w="220" w:type="dxa"/>
            <w:vAlign w:val="bottom"/>
            <w:shd w:val="clear" w:color="auto" w:fill="D4F1F5"/>
          </w:tcPr>
          <w:p>
            <w:pPr>
              <w:spacing w:after="0"/>
              <w:rPr>
                <w:sz w:val="18"/>
                <w:szCs w:val="18"/>
                <w:color w:val="auto"/>
              </w:rPr>
            </w:pPr>
          </w:p>
        </w:tc>
        <w:tc>
          <w:tcPr>
            <w:tcW w:w="920" w:type="dxa"/>
            <w:vAlign w:val="bottom"/>
            <w:shd w:val="clear" w:color="auto" w:fill="D4F1F5"/>
          </w:tcPr>
          <w:p>
            <w:pPr>
              <w:jc w:val="right"/>
              <w:ind w:right="41"/>
              <w:spacing w:after="0"/>
              <w:rPr>
                <w:sz w:val="20"/>
                <w:szCs w:val="20"/>
                <w:color w:val="auto"/>
              </w:rPr>
            </w:pPr>
            <w:r>
              <w:rPr>
                <w:rFonts w:ascii="Arial" w:cs="Arial" w:eastAsia="Arial" w:hAnsi="Arial"/>
                <w:sz w:val="16"/>
                <w:szCs w:val="16"/>
                <w:color w:val="auto"/>
              </w:rPr>
              <w:t>3</w:t>
            </w:r>
          </w:p>
        </w:tc>
        <w:tc>
          <w:tcPr>
            <w:tcW w:w="200" w:type="dxa"/>
            <w:vAlign w:val="bottom"/>
            <w:shd w:val="clear" w:color="auto" w:fill="D4F1F5"/>
          </w:tcPr>
          <w:p>
            <w:pPr>
              <w:spacing w:after="0"/>
              <w:rPr>
                <w:sz w:val="18"/>
                <w:szCs w:val="18"/>
                <w:color w:val="auto"/>
              </w:rPr>
            </w:pPr>
          </w:p>
        </w:tc>
        <w:tc>
          <w:tcPr>
            <w:tcW w:w="1000" w:type="dxa"/>
            <w:vAlign w:val="bottom"/>
            <w:shd w:val="clear" w:color="auto" w:fill="D4F1F5"/>
          </w:tcPr>
          <w:p>
            <w:pPr>
              <w:jc w:val="right"/>
              <w:spacing w:after="0"/>
              <w:rPr>
                <w:sz w:val="20"/>
                <w:szCs w:val="20"/>
                <w:color w:val="auto"/>
              </w:rPr>
            </w:pPr>
            <w:r>
              <w:rPr>
                <w:rFonts w:ascii="Arial" w:cs="Arial" w:eastAsia="Arial" w:hAnsi="Arial"/>
                <w:sz w:val="16"/>
                <w:szCs w:val="16"/>
                <w:color w:val="auto"/>
              </w:rPr>
              <w:t>(1)</w:t>
            </w:r>
          </w:p>
        </w:tc>
        <w:tc>
          <w:tcPr>
            <w:tcW w:w="220" w:type="dxa"/>
            <w:vAlign w:val="bottom"/>
            <w:shd w:val="clear" w:color="auto" w:fill="D4F1F5"/>
          </w:tcPr>
          <w:p>
            <w:pPr>
              <w:spacing w:after="0"/>
              <w:rPr>
                <w:sz w:val="18"/>
                <w:szCs w:val="18"/>
                <w:color w:val="auto"/>
              </w:rPr>
            </w:pPr>
          </w:p>
        </w:tc>
        <w:tc>
          <w:tcPr>
            <w:tcW w:w="920" w:type="dxa"/>
            <w:vAlign w:val="bottom"/>
            <w:shd w:val="clear" w:color="auto" w:fill="D4F1F5"/>
          </w:tcPr>
          <w:p>
            <w:pPr>
              <w:jc w:val="right"/>
              <w:spacing w:after="0"/>
              <w:rPr>
                <w:sz w:val="20"/>
                <w:szCs w:val="20"/>
                <w:color w:val="auto"/>
              </w:rPr>
            </w:pPr>
            <w:r>
              <w:rPr>
                <w:rFonts w:ascii="Arial" w:cs="Arial" w:eastAsia="Arial" w:hAnsi="Arial"/>
                <w:sz w:val="16"/>
                <w:szCs w:val="16"/>
                <w:color w:val="auto"/>
              </w:rPr>
              <w:t>2</w:t>
            </w:r>
          </w:p>
        </w:tc>
        <w:tc>
          <w:tcPr>
            <w:tcW w:w="280" w:type="dxa"/>
            <w:vAlign w:val="bottom"/>
            <w:shd w:val="clear" w:color="auto" w:fill="D4F1F5"/>
          </w:tcPr>
          <w:p>
            <w:pPr>
              <w:spacing w:after="0"/>
              <w:rPr>
                <w:sz w:val="18"/>
                <w:szCs w:val="18"/>
                <w:color w:val="auto"/>
              </w:rPr>
            </w:pPr>
          </w:p>
        </w:tc>
        <w:tc>
          <w:tcPr>
            <w:tcW w:w="960" w:type="dxa"/>
            <w:vAlign w:val="bottom"/>
            <w:shd w:val="clear" w:color="auto" w:fill="D4F1F5"/>
          </w:tcPr>
          <w:p>
            <w:pPr>
              <w:jc w:val="right"/>
              <w:ind w:right="40"/>
              <w:spacing w:after="0"/>
              <w:rPr>
                <w:sz w:val="20"/>
                <w:szCs w:val="20"/>
                <w:color w:val="auto"/>
              </w:rPr>
            </w:pPr>
            <w:r>
              <w:rPr>
                <w:rFonts w:ascii="Arial" w:cs="Arial" w:eastAsia="Arial" w:hAnsi="Arial"/>
                <w:sz w:val="16"/>
                <w:szCs w:val="16"/>
                <w:color w:val="auto"/>
              </w:rPr>
              <w:t>2</w:t>
            </w:r>
          </w:p>
        </w:tc>
        <w:tc>
          <w:tcPr>
            <w:tcW w:w="220" w:type="dxa"/>
            <w:vAlign w:val="bottom"/>
            <w:shd w:val="clear" w:color="auto" w:fill="D4F1F5"/>
          </w:tcPr>
          <w:p>
            <w:pPr>
              <w:spacing w:after="0"/>
              <w:rPr>
                <w:sz w:val="18"/>
                <w:szCs w:val="18"/>
                <w:color w:val="auto"/>
              </w:rPr>
            </w:pPr>
          </w:p>
        </w:tc>
        <w:tc>
          <w:tcPr>
            <w:tcW w:w="960" w:type="dxa"/>
            <w:vAlign w:val="bottom"/>
            <w:shd w:val="clear" w:color="auto" w:fill="D4F1F5"/>
          </w:tcPr>
          <w:p>
            <w:pPr>
              <w:jc w:val="right"/>
              <w:ind w:right="20"/>
              <w:spacing w:after="0"/>
              <w:rPr>
                <w:sz w:val="20"/>
                <w:szCs w:val="20"/>
                <w:color w:val="auto"/>
              </w:rPr>
            </w:pPr>
            <w:r>
              <w:rPr>
                <w:rFonts w:ascii="Arial" w:cs="Arial" w:eastAsia="Arial" w:hAnsi="Arial"/>
                <w:sz w:val="16"/>
                <w:szCs w:val="16"/>
                <w:color w:val="auto"/>
              </w:rPr>
              <w:t>—</w:t>
            </w:r>
          </w:p>
        </w:tc>
        <w:tc>
          <w:tcPr>
            <w:tcW w:w="320" w:type="dxa"/>
            <w:vAlign w:val="bottom"/>
            <w:shd w:val="clear" w:color="auto" w:fill="D4F1F5"/>
          </w:tcPr>
          <w:p>
            <w:pPr>
              <w:spacing w:after="0"/>
              <w:rPr>
                <w:sz w:val="18"/>
                <w:szCs w:val="18"/>
                <w:color w:val="auto"/>
              </w:rPr>
            </w:pPr>
          </w:p>
        </w:tc>
        <w:tc>
          <w:tcPr>
            <w:tcW w:w="860" w:type="dxa"/>
            <w:vAlign w:val="bottom"/>
            <w:shd w:val="clear" w:color="auto" w:fill="D4F1F5"/>
          </w:tcPr>
          <w:p>
            <w:pPr>
              <w:jc w:val="right"/>
              <w:spacing w:after="0"/>
              <w:rPr>
                <w:sz w:val="20"/>
                <w:szCs w:val="20"/>
                <w:color w:val="auto"/>
              </w:rPr>
            </w:pPr>
            <w:r>
              <w:rPr>
                <w:rFonts w:ascii="Arial" w:cs="Arial" w:eastAsia="Arial" w:hAnsi="Arial"/>
                <w:sz w:val="16"/>
                <w:szCs w:val="16"/>
                <w:color w:val="auto"/>
              </w:rPr>
              <w:t>4</w:t>
            </w:r>
          </w:p>
        </w:tc>
      </w:tr>
      <w:tr>
        <w:trPr>
          <w:trHeight w:val="215"/>
        </w:trPr>
        <w:tc>
          <w:tcPr>
            <w:tcW w:w="4160" w:type="dxa"/>
            <w:vAlign w:val="bottom"/>
            <w:tcBorders>
              <w:bottom w:val="single" w:sz="8" w:color="D4F1F5"/>
            </w:tcBorders>
          </w:tcPr>
          <w:p>
            <w:pPr>
              <w:ind w:left="240"/>
              <w:spacing w:after="0"/>
              <w:rPr>
                <w:sz w:val="20"/>
                <w:szCs w:val="20"/>
                <w:color w:val="auto"/>
              </w:rPr>
            </w:pPr>
            <w:r>
              <w:rPr>
                <w:rFonts w:ascii="Arial" w:cs="Arial" w:eastAsia="Arial" w:hAnsi="Arial"/>
                <w:sz w:val="16"/>
                <w:szCs w:val="16"/>
                <w:color w:val="auto"/>
              </w:rPr>
              <w:t>Pension and other postretirement benefits</w:t>
            </w:r>
          </w:p>
        </w:tc>
        <w:tc>
          <w:tcPr>
            <w:tcW w:w="2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6</w:t>
            </w:r>
          </w:p>
        </w:tc>
        <w:tc>
          <w:tcPr>
            <w:tcW w:w="2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w:t>
            </w: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w:t>
            </w:r>
          </w:p>
        </w:tc>
      </w:tr>
      <w:tr>
        <w:trPr>
          <w:trHeight w:val="210"/>
        </w:trPr>
        <w:tc>
          <w:tcPr>
            <w:tcW w:w="4160" w:type="dxa"/>
            <w:vAlign w:val="bottom"/>
            <w:shd w:val="clear" w:color="auto" w:fill="D4F1F5"/>
          </w:tcPr>
          <w:p>
            <w:pPr>
              <w:ind w:left="240"/>
              <w:spacing w:after="0"/>
              <w:rPr>
                <w:sz w:val="20"/>
                <w:szCs w:val="20"/>
                <w:color w:val="auto"/>
              </w:rPr>
            </w:pPr>
            <w:r>
              <w:rPr>
                <w:rFonts w:ascii="Arial" w:cs="Arial" w:eastAsia="Arial" w:hAnsi="Arial"/>
                <w:sz w:val="16"/>
                <w:szCs w:val="16"/>
                <w:color w:val="auto"/>
              </w:rPr>
              <w:t>Total other comprehensive income</w:t>
            </w:r>
          </w:p>
        </w:tc>
        <w:tc>
          <w:tcPr>
            <w:tcW w:w="220" w:type="dxa"/>
            <w:vAlign w:val="bottom"/>
            <w:tcBorders>
              <w:bottom w:val="single" w:sz="8" w:color="auto"/>
            </w:tcBorders>
            <w:shd w:val="clear" w:color="auto" w:fill="D4F1F5"/>
          </w:tcPr>
          <w:p>
            <w:pPr>
              <w:spacing w:after="0"/>
              <w:rPr>
                <w:sz w:val="18"/>
                <w:szCs w:val="18"/>
                <w:color w:val="auto"/>
              </w:rPr>
            </w:pPr>
          </w:p>
        </w:tc>
        <w:tc>
          <w:tcPr>
            <w:tcW w:w="920" w:type="dxa"/>
            <w:vAlign w:val="bottom"/>
            <w:tcBorders>
              <w:bottom w:val="single" w:sz="8" w:color="auto"/>
            </w:tcBorders>
            <w:shd w:val="clear" w:color="auto" w:fill="D4F1F5"/>
          </w:tcPr>
          <w:p>
            <w:pPr>
              <w:jc w:val="right"/>
              <w:ind w:right="41"/>
              <w:spacing w:after="0"/>
              <w:rPr>
                <w:sz w:val="20"/>
                <w:szCs w:val="20"/>
                <w:color w:val="auto"/>
              </w:rPr>
            </w:pPr>
            <w:r>
              <w:rPr>
                <w:rFonts w:ascii="Arial" w:cs="Arial" w:eastAsia="Arial" w:hAnsi="Arial"/>
                <w:sz w:val="16"/>
                <w:szCs w:val="16"/>
                <w:color w:val="auto"/>
              </w:rPr>
              <w:t>7</w:t>
            </w:r>
          </w:p>
        </w:tc>
        <w:tc>
          <w:tcPr>
            <w:tcW w:w="200" w:type="dxa"/>
            <w:vAlign w:val="bottom"/>
            <w:tcBorders>
              <w:bottom w:val="single" w:sz="8" w:color="auto"/>
            </w:tcBorders>
            <w:shd w:val="clear" w:color="auto" w:fill="D4F1F5"/>
          </w:tcPr>
          <w:p>
            <w:pPr>
              <w:spacing w:after="0"/>
              <w:rPr>
                <w:sz w:val="18"/>
                <w:szCs w:val="18"/>
                <w:color w:val="auto"/>
              </w:rPr>
            </w:pPr>
          </w:p>
        </w:tc>
        <w:tc>
          <w:tcPr>
            <w:tcW w:w="1000" w:type="dxa"/>
            <w:vAlign w:val="bottom"/>
            <w:tcBorders>
              <w:bottom w:val="single" w:sz="8" w:color="auto"/>
            </w:tcBorders>
            <w:shd w:val="clear" w:color="auto" w:fill="D4F1F5"/>
          </w:tcPr>
          <w:p>
            <w:pPr>
              <w:jc w:val="right"/>
              <w:spacing w:after="0"/>
              <w:rPr>
                <w:sz w:val="20"/>
                <w:szCs w:val="20"/>
                <w:color w:val="auto"/>
              </w:rPr>
            </w:pPr>
            <w:r>
              <w:rPr>
                <w:rFonts w:ascii="Arial" w:cs="Arial" w:eastAsia="Arial" w:hAnsi="Arial"/>
                <w:sz w:val="16"/>
                <w:szCs w:val="16"/>
                <w:color w:val="auto"/>
              </w:rPr>
              <w:t>(1)</w:t>
            </w:r>
          </w:p>
        </w:tc>
        <w:tc>
          <w:tcPr>
            <w:tcW w:w="220" w:type="dxa"/>
            <w:vAlign w:val="bottom"/>
            <w:tcBorders>
              <w:bottom w:val="single" w:sz="8" w:color="auto"/>
            </w:tcBorders>
            <w:shd w:val="clear" w:color="auto" w:fill="D4F1F5"/>
          </w:tcPr>
          <w:p>
            <w:pPr>
              <w:spacing w:after="0"/>
              <w:rPr>
                <w:sz w:val="18"/>
                <w:szCs w:val="18"/>
                <w:color w:val="auto"/>
              </w:rPr>
            </w:pPr>
          </w:p>
        </w:tc>
        <w:tc>
          <w:tcPr>
            <w:tcW w:w="920" w:type="dxa"/>
            <w:vAlign w:val="bottom"/>
            <w:tcBorders>
              <w:bottom w:val="single" w:sz="8" w:color="auto"/>
            </w:tcBorders>
            <w:shd w:val="clear" w:color="auto" w:fill="D4F1F5"/>
          </w:tcPr>
          <w:p>
            <w:pPr>
              <w:jc w:val="right"/>
              <w:spacing w:after="0"/>
              <w:rPr>
                <w:sz w:val="20"/>
                <w:szCs w:val="20"/>
                <w:color w:val="auto"/>
              </w:rPr>
            </w:pPr>
            <w:r>
              <w:rPr>
                <w:rFonts w:ascii="Arial" w:cs="Arial" w:eastAsia="Arial" w:hAnsi="Arial"/>
                <w:sz w:val="16"/>
                <w:szCs w:val="16"/>
                <w:color w:val="auto"/>
              </w:rPr>
              <w:t>6</w:t>
            </w:r>
          </w:p>
        </w:tc>
        <w:tc>
          <w:tcPr>
            <w:tcW w:w="280" w:type="dxa"/>
            <w:vAlign w:val="bottom"/>
            <w:tcBorders>
              <w:bottom w:val="single" w:sz="8" w:color="auto"/>
            </w:tcBorders>
            <w:shd w:val="clear" w:color="auto" w:fill="D4F1F5"/>
          </w:tcPr>
          <w:p>
            <w:pPr>
              <w:spacing w:after="0"/>
              <w:rPr>
                <w:sz w:val="18"/>
                <w:szCs w:val="18"/>
                <w:color w:val="auto"/>
              </w:rPr>
            </w:pPr>
          </w:p>
        </w:tc>
        <w:tc>
          <w:tcPr>
            <w:tcW w:w="960" w:type="dxa"/>
            <w:vAlign w:val="bottom"/>
            <w:tcBorders>
              <w:bottom w:val="single" w:sz="8" w:color="auto"/>
            </w:tcBorders>
            <w:shd w:val="clear" w:color="auto" w:fill="D4F1F5"/>
          </w:tcPr>
          <w:p>
            <w:pPr>
              <w:jc w:val="right"/>
              <w:ind w:right="40"/>
              <w:spacing w:after="0"/>
              <w:rPr>
                <w:sz w:val="20"/>
                <w:szCs w:val="20"/>
                <w:color w:val="auto"/>
              </w:rPr>
            </w:pPr>
            <w:r>
              <w:rPr>
                <w:rFonts w:ascii="Arial" w:cs="Arial" w:eastAsia="Arial" w:hAnsi="Arial"/>
                <w:sz w:val="16"/>
                <w:szCs w:val="16"/>
                <w:color w:val="auto"/>
              </w:rPr>
              <w:t>1</w:t>
            </w:r>
          </w:p>
        </w:tc>
        <w:tc>
          <w:tcPr>
            <w:tcW w:w="220" w:type="dxa"/>
            <w:vAlign w:val="bottom"/>
            <w:tcBorders>
              <w:bottom w:val="single" w:sz="8" w:color="auto"/>
            </w:tcBorders>
            <w:shd w:val="clear" w:color="auto" w:fill="D4F1F5"/>
          </w:tcPr>
          <w:p>
            <w:pPr>
              <w:spacing w:after="0"/>
              <w:rPr>
                <w:sz w:val="18"/>
                <w:szCs w:val="18"/>
                <w:color w:val="auto"/>
              </w:rPr>
            </w:pPr>
          </w:p>
        </w:tc>
        <w:tc>
          <w:tcPr>
            <w:tcW w:w="960" w:type="dxa"/>
            <w:vAlign w:val="bottom"/>
            <w:tcBorders>
              <w:bottom w:val="single" w:sz="8" w:color="auto"/>
            </w:tcBorders>
            <w:shd w:val="clear" w:color="auto" w:fill="D4F1F5"/>
          </w:tcPr>
          <w:p>
            <w:pPr>
              <w:jc w:val="right"/>
              <w:ind w:right="2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auto"/>
            </w:tcBorders>
            <w:shd w:val="clear" w:color="auto" w:fill="D4F1F5"/>
          </w:tcPr>
          <w:p>
            <w:pPr>
              <w:spacing w:after="0"/>
              <w:rPr>
                <w:sz w:val="18"/>
                <w:szCs w:val="18"/>
                <w:color w:val="auto"/>
              </w:rPr>
            </w:pPr>
          </w:p>
        </w:tc>
        <w:tc>
          <w:tcPr>
            <w:tcW w:w="860" w:type="dxa"/>
            <w:vAlign w:val="bottom"/>
            <w:tcBorders>
              <w:bottom w:val="single" w:sz="8" w:color="auto"/>
            </w:tcBorders>
            <w:shd w:val="clear" w:color="auto" w:fill="D4F1F5"/>
          </w:tcPr>
          <w:p>
            <w:pPr>
              <w:jc w:val="right"/>
              <w:spacing w:after="0"/>
              <w:rPr>
                <w:sz w:val="20"/>
                <w:szCs w:val="20"/>
                <w:color w:val="auto"/>
              </w:rPr>
            </w:pPr>
            <w:r>
              <w:rPr>
                <w:rFonts w:ascii="Arial" w:cs="Arial" w:eastAsia="Arial" w:hAnsi="Arial"/>
                <w:sz w:val="16"/>
                <w:szCs w:val="16"/>
                <w:color w:val="auto"/>
              </w:rPr>
              <w:t>7</w:t>
            </w:r>
          </w:p>
        </w:tc>
      </w:tr>
      <w:tr>
        <w:trPr>
          <w:trHeight w:val="203"/>
        </w:trPr>
        <w:tc>
          <w:tcPr>
            <w:tcW w:w="41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Comprehensive income</w:t>
            </w: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1,109</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(66)</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1,043</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108</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6</w:t>
            </w:r>
          </w:p>
        </w:tc>
        <w:tc>
          <w:tcPr>
            <w:tcW w:w="3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1,157</w:t>
            </w:r>
          </w:p>
        </w:tc>
      </w:tr>
      <w:tr>
        <w:trPr>
          <w:trHeight w:val="216"/>
        </w:trPr>
        <w:tc>
          <w:tcPr>
            <w:tcW w:w="4160" w:type="dxa"/>
            <w:vAlign w:val="bottom"/>
            <w:shd w:val="clear" w:color="auto" w:fill="D4F1F5"/>
          </w:tcPr>
          <w:p>
            <w:pPr>
              <w:ind w:left="20"/>
              <w:spacing w:after="0"/>
              <w:rPr>
                <w:sz w:val="20"/>
                <w:szCs w:val="20"/>
                <w:color w:val="auto"/>
              </w:rPr>
            </w:pPr>
            <w:r>
              <w:rPr>
                <w:rFonts w:ascii="Arial" w:cs="Arial" w:eastAsia="Arial" w:hAnsi="Arial"/>
                <w:sz w:val="16"/>
                <w:szCs w:val="16"/>
                <w:b w:val="1"/>
                <w:bCs w:val="1"/>
                <w:color w:val="auto"/>
              </w:rPr>
              <w:t>2025:</w:t>
            </w:r>
          </w:p>
        </w:tc>
        <w:tc>
          <w:tcPr>
            <w:tcW w:w="220" w:type="dxa"/>
            <w:vAlign w:val="bottom"/>
            <w:shd w:val="clear" w:color="auto" w:fill="D4F1F5"/>
          </w:tcPr>
          <w:p>
            <w:pPr>
              <w:spacing w:after="0"/>
              <w:rPr>
                <w:sz w:val="18"/>
                <w:szCs w:val="18"/>
                <w:color w:val="auto"/>
              </w:rPr>
            </w:pPr>
          </w:p>
        </w:tc>
        <w:tc>
          <w:tcPr>
            <w:tcW w:w="920" w:type="dxa"/>
            <w:vAlign w:val="bottom"/>
            <w:shd w:val="clear" w:color="auto" w:fill="D4F1F5"/>
          </w:tcPr>
          <w:p>
            <w:pPr>
              <w:spacing w:after="0"/>
              <w:rPr>
                <w:sz w:val="18"/>
                <w:szCs w:val="18"/>
                <w:color w:val="auto"/>
              </w:rPr>
            </w:pPr>
          </w:p>
        </w:tc>
        <w:tc>
          <w:tcPr>
            <w:tcW w:w="200" w:type="dxa"/>
            <w:vAlign w:val="bottom"/>
            <w:shd w:val="clear" w:color="auto" w:fill="D4F1F5"/>
          </w:tcPr>
          <w:p>
            <w:pPr>
              <w:spacing w:after="0"/>
              <w:rPr>
                <w:sz w:val="18"/>
                <w:szCs w:val="18"/>
                <w:color w:val="auto"/>
              </w:rPr>
            </w:pPr>
          </w:p>
        </w:tc>
        <w:tc>
          <w:tcPr>
            <w:tcW w:w="1000" w:type="dxa"/>
            <w:vAlign w:val="bottom"/>
            <w:shd w:val="clear" w:color="auto" w:fill="D4F1F5"/>
          </w:tcPr>
          <w:p>
            <w:pPr>
              <w:spacing w:after="0"/>
              <w:rPr>
                <w:sz w:val="18"/>
                <w:szCs w:val="18"/>
                <w:color w:val="auto"/>
              </w:rPr>
            </w:pPr>
          </w:p>
        </w:tc>
        <w:tc>
          <w:tcPr>
            <w:tcW w:w="220" w:type="dxa"/>
            <w:vAlign w:val="bottom"/>
            <w:shd w:val="clear" w:color="auto" w:fill="D4F1F5"/>
          </w:tcPr>
          <w:p>
            <w:pPr>
              <w:spacing w:after="0"/>
              <w:rPr>
                <w:sz w:val="18"/>
                <w:szCs w:val="18"/>
                <w:color w:val="auto"/>
              </w:rPr>
            </w:pPr>
          </w:p>
        </w:tc>
        <w:tc>
          <w:tcPr>
            <w:tcW w:w="920" w:type="dxa"/>
            <w:vAlign w:val="bottom"/>
            <w:shd w:val="clear" w:color="auto" w:fill="D4F1F5"/>
          </w:tcPr>
          <w:p>
            <w:pPr>
              <w:spacing w:after="0"/>
              <w:rPr>
                <w:sz w:val="18"/>
                <w:szCs w:val="18"/>
                <w:color w:val="auto"/>
              </w:rPr>
            </w:pPr>
          </w:p>
        </w:tc>
        <w:tc>
          <w:tcPr>
            <w:tcW w:w="280" w:type="dxa"/>
            <w:vAlign w:val="bottom"/>
            <w:shd w:val="clear" w:color="auto" w:fill="D4F1F5"/>
          </w:tcPr>
          <w:p>
            <w:pPr>
              <w:spacing w:after="0"/>
              <w:rPr>
                <w:sz w:val="18"/>
                <w:szCs w:val="18"/>
                <w:color w:val="auto"/>
              </w:rPr>
            </w:pPr>
          </w:p>
        </w:tc>
        <w:tc>
          <w:tcPr>
            <w:tcW w:w="960" w:type="dxa"/>
            <w:vAlign w:val="bottom"/>
            <w:shd w:val="clear" w:color="auto" w:fill="D4F1F5"/>
          </w:tcPr>
          <w:p>
            <w:pPr>
              <w:spacing w:after="0"/>
              <w:rPr>
                <w:sz w:val="18"/>
                <w:szCs w:val="18"/>
                <w:color w:val="auto"/>
              </w:rPr>
            </w:pPr>
          </w:p>
        </w:tc>
        <w:tc>
          <w:tcPr>
            <w:tcW w:w="220" w:type="dxa"/>
            <w:vAlign w:val="bottom"/>
            <w:shd w:val="clear" w:color="auto" w:fill="D4F1F5"/>
          </w:tcPr>
          <w:p>
            <w:pPr>
              <w:spacing w:after="0"/>
              <w:rPr>
                <w:sz w:val="18"/>
                <w:szCs w:val="18"/>
                <w:color w:val="auto"/>
              </w:rPr>
            </w:pPr>
          </w:p>
        </w:tc>
        <w:tc>
          <w:tcPr>
            <w:tcW w:w="960" w:type="dxa"/>
            <w:vAlign w:val="bottom"/>
            <w:shd w:val="clear" w:color="auto" w:fill="D4F1F5"/>
          </w:tcPr>
          <w:p>
            <w:pPr>
              <w:spacing w:after="0"/>
              <w:rPr>
                <w:sz w:val="18"/>
                <w:szCs w:val="18"/>
                <w:color w:val="auto"/>
              </w:rPr>
            </w:pPr>
          </w:p>
        </w:tc>
        <w:tc>
          <w:tcPr>
            <w:tcW w:w="320" w:type="dxa"/>
            <w:vAlign w:val="bottom"/>
            <w:shd w:val="clear" w:color="auto" w:fill="D4F1F5"/>
          </w:tcPr>
          <w:p>
            <w:pPr>
              <w:spacing w:after="0"/>
              <w:rPr>
                <w:sz w:val="18"/>
                <w:szCs w:val="18"/>
                <w:color w:val="auto"/>
              </w:rPr>
            </w:pPr>
          </w:p>
        </w:tc>
        <w:tc>
          <w:tcPr>
            <w:tcW w:w="860" w:type="dxa"/>
            <w:vAlign w:val="bottom"/>
            <w:shd w:val="clear" w:color="auto" w:fill="D4F1F5"/>
          </w:tcPr>
          <w:p>
            <w:pPr>
              <w:spacing w:after="0"/>
              <w:rPr>
                <w:sz w:val="18"/>
                <w:szCs w:val="18"/>
                <w:color w:val="auto"/>
              </w:rPr>
            </w:pPr>
          </w:p>
        </w:tc>
      </w:tr>
      <w:tr>
        <w:trPr>
          <w:trHeight w:val="215"/>
        </w:trPr>
        <w:tc>
          <w:tcPr>
            <w:tcW w:w="4160" w:type="dxa"/>
            <w:vAlign w:val="bottom"/>
            <w:tcBorders>
              <w:bottom w:val="single" w:sz="8" w:color="D4F1F5"/>
            </w:tcBorders>
          </w:tcPr>
          <w:p>
            <w:pPr>
              <w:ind w:left="20"/>
              <w:spacing w:after="0"/>
              <w:rPr>
                <w:sz w:val="20"/>
                <w:szCs w:val="20"/>
                <w:color w:val="auto"/>
              </w:rPr>
            </w:pPr>
            <w:r>
              <w:rPr>
                <w:rFonts w:ascii="Arial" w:cs="Arial" w:eastAsia="Arial" w:hAnsi="Arial"/>
                <w:sz w:val="16"/>
                <w:szCs w:val="16"/>
                <w:color w:val="auto"/>
              </w:rPr>
              <w:t>Net income</w:t>
            </w: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974</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(57)</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917</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2</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919</w:t>
            </w:r>
          </w:p>
        </w:tc>
      </w:tr>
      <w:tr>
        <w:trPr>
          <w:trHeight w:val="210"/>
        </w:trPr>
        <w:tc>
          <w:tcPr>
            <w:tcW w:w="4160" w:type="dxa"/>
            <w:vAlign w:val="bottom"/>
            <w:shd w:val="clear" w:color="auto" w:fill="D4F1F5"/>
          </w:tcPr>
          <w:p>
            <w:pPr>
              <w:ind w:left="20"/>
              <w:spacing w:after="0"/>
              <w:rPr>
                <w:sz w:val="20"/>
                <w:szCs w:val="20"/>
                <w:color w:val="auto"/>
              </w:rPr>
            </w:pPr>
            <w:r>
              <w:rPr>
                <w:rFonts w:ascii="Arial" w:cs="Arial" w:eastAsia="Arial" w:hAnsi="Arial"/>
                <w:sz w:val="16"/>
                <w:szCs w:val="16"/>
                <w:color w:val="auto"/>
              </w:rPr>
              <w:t>Other comprehensive income (loss):</w:t>
            </w:r>
          </w:p>
        </w:tc>
        <w:tc>
          <w:tcPr>
            <w:tcW w:w="220" w:type="dxa"/>
            <w:vAlign w:val="bottom"/>
            <w:shd w:val="clear" w:color="auto" w:fill="D4F1F5"/>
          </w:tcPr>
          <w:p>
            <w:pPr>
              <w:spacing w:after="0"/>
              <w:rPr>
                <w:sz w:val="18"/>
                <w:szCs w:val="18"/>
                <w:color w:val="auto"/>
              </w:rPr>
            </w:pPr>
          </w:p>
        </w:tc>
        <w:tc>
          <w:tcPr>
            <w:tcW w:w="920" w:type="dxa"/>
            <w:vAlign w:val="bottom"/>
            <w:shd w:val="clear" w:color="auto" w:fill="D4F1F5"/>
          </w:tcPr>
          <w:p>
            <w:pPr>
              <w:spacing w:after="0"/>
              <w:rPr>
                <w:sz w:val="18"/>
                <w:szCs w:val="18"/>
                <w:color w:val="auto"/>
              </w:rPr>
            </w:pPr>
          </w:p>
        </w:tc>
        <w:tc>
          <w:tcPr>
            <w:tcW w:w="200" w:type="dxa"/>
            <w:vAlign w:val="bottom"/>
            <w:shd w:val="clear" w:color="auto" w:fill="D4F1F5"/>
          </w:tcPr>
          <w:p>
            <w:pPr>
              <w:spacing w:after="0"/>
              <w:rPr>
                <w:sz w:val="18"/>
                <w:szCs w:val="18"/>
                <w:color w:val="auto"/>
              </w:rPr>
            </w:pPr>
          </w:p>
        </w:tc>
        <w:tc>
          <w:tcPr>
            <w:tcW w:w="1000" w:type="dxa"/>
            <w:vAlign w:val="bottom"/>
            <w:shd w:val="clear" w:color="auto" w:fill="D4F1F5"/>
          </w:tcPr>
          <w:p>
            <w:pPr>
              <w:spacing w:after="0"/>
              <w:rPr>
                <w:sz w:val="18"/>
                <w:szCs w:val="18"/>
                <w:color w:val="auto"/>
              </w:rPr>
            </w:pPr>
          </w:p>
        </w:tc>
        <w:tc>
          <w:tcPr>
            <w:tcW w:w="220" w:type="dxa"/>
            <w:vAlign w:val="bottom"/>
            <w:shd w:val="clear" w:color="auto" w:fill="D4F1F5"/>
          </w:tcPr>
          <w:p>
            <w:pPr>
              <w:spacing w:after="0"/>
              <w:rPr>
                <w:sz w:val="18"/>
                <w:szCs w:val="18"/>
                <w:color w:val="auto"/>
              </w:rPr>
            </w:pPr>
          </w:p>
        </w:tc>
        <w:tc>
          <w:tcPr>
            <w:tcW w:w="920" w:type="dxa"/>
            <w:vAlign w:val="bottom"/>
            <w:shd w:val="clear" w:color="auto" w:fill="D4F1F5"/>
          </w:tcPr>
          <w:p>
            <w:pPr>
              <w:spacing w:after="0"/>
              <w:rPr>
                <w:sz w:val="18"/>
                <w:szCs w:val="18"/>
                <w:color w:val="auto"/>
              </w:rPr>
            </w:pPr>
          </w:p>
        </w:tc>
        <w:tc>
          <w:tcPr>
            <w:tcW w:w="280" w:type="dxa"/>
            <w:vAlign w:val="bottom"/>
            <w:shd w:val="clear" w:color="auto" w:fill="D4F1F5"/>
          </w:tcPr>
          <w:p>
            <w:pPr>
              <w:spacing w:after="0"/>
              <w:rPr>
                <w:sz w:val="18"/>
                <w:szCs w:val="18"/>
                <w:color w:val="auto"/>
              </w:rPr>
            </w:pPr>
          </w:p>
        </w:tc>
        <w:tc>
          <w:tcPr>
            <w:tcW w:w="960" w:type="dxa"/>
            <w:vAlign w:val="bottom"/>
            <w:shd w:val="clear" w:color="auto" w:fill="D4F1F5"/>
          </w:tcPr>
          <w:p>
            <w:pPr>
              <w:spacing w:after="0"/>
              <w:rPr>
                <w:sz w:val="18"/>
                <w:szCs w:val="18"/>
                <w:color w:val="auto"/>
              </w:rPr>
            </w:pPr>
          </w:p>
        </w:tc>
        <w:tc>
          <w:tcPr>
            <w:tcW w:w="220" w:type="dxa"/>
            <w:vAlign w:val="bottom"/>
            <w:shd w:val="clear" w:color="auto" w:fill="D4F1F5"/>
          </w:tcPr>
          <w:p>
            <w:pPr>
              <w:spacing w:after="0"/>
              <w:rPr>
                <w:sz w:val="18"/>
                <w:szCs w:val="18"/>
                <w:color w:val="auto"/>
              </w:rPr>
            </w:pPr>
          </w:p>
        </w:tc>
        <w:tc>
          <w:tcPr>
            <w:tcW w:w="960" w:type="dxa"/>
            <w:vAlign w:val="bottom"/>
            <w:shd w:val="clear" w:color="auto" w:fill="D4F1F5"/>
          </w:tcPr>
          <w:p>
            <w:pPr>
              <w:spacing w:after="0"/>
              <w:rPr>
                <w:sz w:val="18"/>
                <w:szCs w:val="18"/>
                <w:color w:val="auto"/>
              </w:rPr>
            </w:pPr>
          </w:p>
        </w:tc>
        <w:tc>
          <w:tcPr>
            <w:tcW w:w="320" w:type="dxa"/>
            <w:vAlign w:val="bottom"/>
            <w:shd w:val="clear" w:color="auto" w:fill="D4F1F5"/>
          </w:tcPr>
          <w:p>
            <w:pPr>
              <w:spacing w:after="0"/>
              <w:rPr>
                <w:sz w:val="18"/>
                <w:szCs w:val="18"/>
                <w:color w:val="auto"/>
              </w:rPr>
            </w:pPr>
          </w:p>
        </w:tc>
        <w:tc>
          <w:tcPr>
            <w:tcW w:w="860" w:type="dxa"/>
            <w:vAlign w:val="bottom"/>
            <w:shd w:val="clear" w:color="auto" w:fill="D4F1F5"/>
          </w:tcPr>
          <w:p>
            <w:pPr>
              <w:spacing w:after="0"/>
              <w:rPr>
                <w:sz w:val="18"/>
                <w:szCs w:val="18"/>
                <w:color w:val="auto"/>
              </w:rPr>
            </w:pPr>
          </w:p>
        </w:tc>
      </w:tr>
      <w:tr>
        <w:trPr>
          <w:trHeight w:val="215"/>
        </w:trPr>
        <w:tc>
          <w:tcPr>
            <w:tcW w:w="4160" w:type="dxa"/>
            <w:vAlign w:val="bottom"/>
          </w:tcPr>
          <w:p>
            <w:pPr>
              <w:ind w:left="240"/>
              <w:spacing w:after="0"/>
              <w:rPr>
                <w:sz w:val="20"/>
                <w:szCs w:val="20"/>
                <w:color w:val="auto"/>
              </w:rPr>
            </w:pPr>
            <w:r>
              <w:rPr>
                <w:rFonts w:ascii="Arial" w:cs="Arial" w:eastAsia="Arial" w:hAnsi="Arial"/>
                <w:sz w:val="16"/>
                <w:szCs w:val="16"/>
                <w:color w:val="auto"/>
              </w:rPr>
              <w:t>Financial instruments</w:t>
            </w: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(36)</w:t>
            </w:r>
          </w:p>
        </w:tc>
        <w:tc>
          <w:tcPr>
            <w:tcW w:w="200" w:type="dxa"/>
            <w:vAlign w:val="bottom"/>
          </w:tcPr>
          <w:p>
            <w:pPr>
              <w:spacing w:after="0"/>
              <w:rPr>
                <w:sz w:val="18"/>
                <w:szCs w:val="18"/>
                <w:color w:val="auto"/>
              </w:rPr>
            </w:pPr>
          </w:p>
        </w:tc>
        <w:tc>
          <w:tcPr>
            <w:tcW w:w="1000" w:type="dxa"/>
            <w:vAlign w:val="bottom"/>
          </w:tcPr>
          <w:p>
            <w:pPr>
              <w:jc w:val="right"/>
              <w:ind w:right="41"/>
              <w:spacing w:after="0"/>
              <w:rPr>
                <w:sz w:val="20"/>
                <w:szCs w:val="20"/>
                <w:color w:val="auto"/>
              </w:rPr>
            </w:pPr>
            <w:r>
              <w:rPr>
                <w:rFonts w:ascii="Arial" w:cs="Arial" w:eastAsia="Arial" w:hAnsi="Arial"/>
                <w:sz w:val="16"/>
                <w:szCs w:val="16"/>
                <w:color w:val="auto"/>
              </w:rPr>
              <w:t>4</w:t>
            </w: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(32)</w:t>
            </w: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(5)</w:t>
            </w:r>
          </w:p>
        </w:tc>
        <w:tc>
          <w:tcPr>
            <w:tcW w:w="220" w:type="dxa"/>
            <w:vAlign w:val="bottom"/>
          </w:tcPr>
          <w:p>
            <w:pPr>
              <w:spacing w:after="0"/>
              <w:rPr>
                <w:sz w:val="18"/>
                <w:szCs w:val="18"/>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(37)</w:t>
            </w:r>
          </w:p>
        </w:tc>
      </w:tr>
      <w:tr>
        <w:trPr>
          <w:trHeight w:val="217"/>
        </w:trPr>
        <w:tc>
          <w:tcPr>
            <w:tcW w:w="4160" w:type="dxa"/>
            <w:vAlign w:val="bottom"/>
            <w:shd w:val="clear" w:color="auto" w:fill="D4F1F5"/>
          </w:tcPr>
          <w:p>
            <w:pPr>
              <w:ind w:left="240"/>
              <w:spacing w:after="0"/>
              <w:rPr>
                <w:sz w:val="20"/>
                <w:szCs w:val="20"/>
                <w:color w:val="auto"/>
              </w:rPr>
            </w:pPr>
            <w:r>
              <w:rPr>
                <w:rFonts w:ascii="Arial" w:cs="Arial" w:eastAsia="Arial" w:hAnsi="Arial"/>
                <w:sz w:val="16"/>
                <w:szCs w:val="16"/>
                <w:color w:val="auto"/>
              </w:rPr>
              <w:t>Pension and other postretirement benefits</w:t>
            </w:r>
          </w:p>
        </w:tc>
        <w:tc>
          <w:tcPr>
            <w:tcW w:w="220" w:type="dxa"/>
            <w:vAlign w:val="bottom"/>
            <w:tcBorders>
              <w:bottom w:val="single" w:sz="8" w:color="auto"/>
            </w:tcBorders>
            <w:shd w:val="clear" w:color="auto" w:fill="D4F1F5"/>
          </w:tcPr>
          <w:p>
            <w:pPr>
              <w:spacing w:after="0"/>
              <w:rPr>
                <w:sz w:val="18"/>
                <w:szCs w:val="18"/>
                <w:color w:val="auto"/>
              </w:rPr>
            </w:pPr>
          </w:p>
        </w:tc>
        <w:tc>
          <w:tcPr>
            <w:tcW w:w="920" w:type="dxa"/>
            <w:vAlign w:val="bottom"/>
            <w:tcBorders>
              <w:bottom w:val="single" w:sz="8" w:color="auto"/>
            </w:tcBorders>
            <w:shd w:val="clear" w:color="auto" w:fill="D4F1F5"/>
          </w:tcPr>
          <w:p>
            <w:pPr>
              <w:jc w:val="right"/>
              <w:ind w:right="41"/>
              <w:spacing w:after="0"/>
              <w:rPr>
                <w:sz w:val="20"/>
                <w:szCs w:val="20"/>
                <w:color w:val="auto"/>
              </w:rPr>
            </w:pPr>
            <w:r>
              <w:rPr>
                <w:rFonts w:ascii="Arial" w:cs="Arial" w:eastAsia="Arial" w:hAnsi="Arial"/>
                <w:sz w:val="16"/>
                <w:szCs w:val="16"/>
                <w:color w:val="auto"/>
              </w:rPr>
              <w:t>3</w:t>
            </w:r>
          </w:p>
        </w:tc>
        <w:tc>
          <w:tcPr>
            <w:tcW w:w="200" w:type="dxa"/>
            <w:vAlign w:val="bottom"/>
            <w:tcBorders>
              <w:bottom w:val="single" w:sz="8" w:color="auto"/>
            </w:tcBorders>
            <w:shd w:val="clear" w:color="auto" w:fill="D4F1F5"/>
          </w:tcPr>
          <w:p>
            <w:pPr>
              <w:spacing w:after="0"/>
              <w:rPr>
                <w:sz w:val="18"/>
                <w:szCs w:val="18"/>
                <w:color w:val="auto"/>
              </w:rPr>
            </w:pPr>
          </w:p>
        </w:tc>
        <w:tc>
          <w:tcPr>
            <w:tcW w:w="1000" w:type="dxa"/>
            <w:vAlign w:val="bottom"/>
            <w:tcBorders>
              <w:bottom w:val="single" w:sz="8" w:color="auto"/>
            </w:tcBorders>
            <w:shd w:val="clear" w:color="auto" w:fill="D4F1F5"/>
          </w:tcPr>
          <w:p>
            <w:pPr>
              <w:jc w:val="right"/>
              <w:ind w:right="41"/>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auto"/>
            </w:tcBorders>
            <w:shd w:val="clear" w:color="auto" w:fill="D4F1F5"/>
          </w:tcPr>
          <w:p>
            <w:pPr>
              <w:spacing w:after="0"/>
              <w:rPr>
                <w:sz w:val="18"/>
                <w:szCs w:val="18"/>
                <w:color w:val="auto"/>
              </w:rPr>
            </w:pPr>
          </w:p>
        </w:tc>
        <w:tc>
          <w:tcPr>
            <w:tcW w:w="920" w:type="dxa"/>
            <w:vAlign w:val="bottom"/>
            <w:tcBorders>
              <w:bottom w:val="single" w:sz="8" w:color="auto"/>
            </w:tcBorders>
            <w:shd w:val="clear" w:color="auto" w:fill="D4F1F5"/>
          </w:tcPr>
          <w:p>
            <w:pPr>
              <w:jc w:val="right"/>
              <w:spacing w:after="0"/>
              <w:rPr>
                <w:sz w:val="20"/>
                <w:szCs w:val="20"/>
                <w:color w:val="auto"/>
              </w:rPr>
            </w:pPr>
            <w:r>
              <w:rPr>
                <w:rFonts w:ascii="Arial" w:cs="Arial" w:eastAsia="Arial" w:hAnsi="Arial"/>
                <w:sz w:val="16"/>
                <w:szCs w:val="16"/>
                <w:color w:val="auto"/>
              </w:rPr>
              <w:t>3</w:t>
            </w:r>
          </w:p>
        </w:tc>
        <w:tc>
          <w:tcPr>
            <w:tcW w:w="280" w:type="dxa"/>
            <w:vAlign w:val="bottom"/>
            <w:tcBorders>
              <w:bottom w:val="single" w:sz="8" w:color="auto"/>
            </w:tcBorders>
            <w:shd w:val="clear" w:color="auto" w:fill="D4F1F5"/>
          </w:tcPr>
          <w:p>
            <w:pPr>
              <w:spacing w:after="0"/>
              <w:rPr>
                <w:sz w:val="18"/>
                <w:szCs w:val="18"/>
                <w:color w:val="auto"/>
              </w:rPr>
            </w:pPr>
          </w:p>
        </w:tc>
        <w:tc>
          <w:tcPr>
            <w:tcW w:w="960" w:type="dxa"/>
            <w:vAlign w:val="bottom"/>
            <w:tcBorders>
              <w:bottom w:val="single" w:sz="8" w:color="auto"/>
            </w:tcBorders>
            <w:shd w:val="clear" w:color="auto" w:fill="D4F1F5"/>
          </w:tcPr>
          <w:p>
            <w:pPr>
              <w:jc w:val="right"/>
              <w:ind w:right="4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auto"/>
            </w:tcBorders>
            <w:shd w:val="clear" w:color="auto" w:fill="D4F1F5"/>
          </w:tcPr>
          <w:p>
            <w:pPr>
              <w:spacing w:after="0"/>
              <w:rPr>
                <w:sz w:val="18"/>
                <w:szCs w:val="18"/>
                <w:color w:val="auto"/>
              </w:rPr>
            </w:pPr>
          </w:p>
        </w:tc>
        <w:tc>
          <w:tcPr>
            <w:tcW w:w="960" w:type="dxa"/>
            <w:vAlign w:val="bottom"/>
            <w:tcBorders>
              <w:bottom w:val="single" w:sz="8" w:color="auto"/>
            </w:tcBorders>
            <w:shd w:val="clear" w:color="auto" w:fill="D4F1F5"/>
          </w:tcPr>
          <w:p>
            <w:pPr>
              <w:jc w:val="right"/>
              <w:ind w:right="2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auto"/>
            </w:tcBorders>
            <w:shd w:val="clear" w:color="auto" w:fill="D4F1F5"/>
          </w:tcPr>
          <w:p>
            <w:pPr>
              <w:spacing w:after="0"/>
              <w:rPr>
                <w:sz w:val="18"/>
                <w:szCs w:val="18"/>
                <w:color w:val="auto"/>
              </w:rPr>
            </w:pPr>
          </w:p>
        </w:tc>
        <w:tc>
          <w:tcPr>
            <w:tcW w:w="860" w:type="dxa"/>
            <w:vAlign w:val="bottom"/>
            <w:tcBorders>
              <w:bottom w:val="single" w:sz="8" w:color="auto"/>
            </w:tcBorders>
            <w:shd w:val="clear" w:color="auto" w:fill="D4F1F5"/>
          </w:tcPr>
          <w:p>
            <w:pPr>
              <w:jc w:val="right"/>
              <w:spacing w:after="0"/>
              <w:rPr>
                <w:sz w:val="20"/>
                <w:szCs w:val="20"/>
                <w:color w:val="auto"/>
              </w:rPr>
            </w:pPr>
            <w:r>
              <w:rPr>
                <w:rFonts w:ascii="Arial" w:cs="Arial" w:eastAsia="Arial" w:hAnsi="Arial"/>
                <w:sz w:val="16"/>
                <w:szCs w:val="16"/>
                <w:color w:val="auto"/>
              </w:rPr>
              <w:t>3</w:t>
            </w:r>
          </w:p>
        </w:tc>
      </w:tr>
      <w:tr>
        <w:trPr>
          <w:trHeight w:val="209"/>
        </w:trPr>
        <w:tc>
          <w:tcPr>
            <w:tcW w:w="4160" w:type="dxa"/>
            <w:vAlign w:val="bottom"/>
            <w:tcBorders>
              <w:bottom w:val="single" w:sz="8" w:color="D4F1F5"/>
            </w:tcBorders>
          </w:tcPr>
          <w:p>
            <w:pPr>
              <w:ind w:left="240"/>
              <w:spacing w:after="0"/>
              <w:rPr>
                <w:sz w:val="20"/>
                <w:szCs w:val="20"/>
                <w:color w:val="auto"/>
              </w:rPr>
            </w:pPr>
            <w:r>
              <w:rPr>
                <w:rFonts w:ascii="Arial" w:cs="Arial" w:eastAsia="Arial" w:hAnsi="Arial"/>
                <w:sz w:val="16"/>
                <w:szCs w:val="16"/>
                <w:color w:val="auto"/>
              </w:rPr>
              <w:t>Total other comprehensive loss</w:t>
            </w:r>
          </w:p>
        </w:tc>
        <w:tc>
          <w:tcPr>
            <w:tcW w:w="2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w:t>
            </w:r>
          </w:p>
        </w:tc>
        <w:tc>
          <w:tcPr>
            <w:tcW w:w="2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4</w:t>
            </w:r>
          </w:p>
        </w:tc>
        <w:tc>
          <w:tcPr>
            <w:tcW w:w="2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w:t>
            </w: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w:t>
            </w:r>
          </w:p>
        </w:tc>
        <w:tc>
          <w:tcPr>
            <w:tcW w:w="2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w:t>
            </w:r>
          </w:p>
        </w:tc>
      </w:tr>
      <w:tr>
        <w:trPr>
          <w:trHeight w:val="217"/>
        </w:trPr>
        <w:tc>
          <w:tcPr>
            <w:tcW w:w="4160" w:type="dxa"/>
            <w:vAlign w:val="bottom"/>
            <w:tcBorders>
              <w:bottom w:val="single" w:sz="8" w:color="auto"/>
            </w:tcBorders>
            <w:shd w:val="clear" w:color="auto" w:fill="D4F1F5"/>
          </w:tcPr>
          <w:p>
            <w:pPr>
              <w:ind w:left="20"/>
              <w:spacing w:after="0"/>
              <w:rPr>
                <w:sz w:val="20"/>
                <w:szCs w:val="20"/>
                <w:color w:val="auto"/>
              </w:rPr>
            </w:pPr>
            <w:r>
              <w:rPr>
                <w:rFonts w:ascii="Arial" w:cs="Arial" w:eastAsia="Arial" w:hAnsi="Arial"/>
                <w:sz w:val="16"/>
                <w:szCs w:val="16"/>
                <w:color w:val="auto"/>
              </w:rPr>
              <w:t>Comprehensive income (loss)</w:t>
            </w:r>
          </w:p>
        </w:tc>
        <w:tc>
          <w:tcPr>
            <w:tcW w:w="220" w:type="dxa"/>
            <w:vAlign w:val="bottom"/>
            <w:tcBorders>
              <w:bottom w:val="single" w:sz="8" w:color="auto"/>
            </w:tcBorders>
            <w:shd w:val="clear" w:color="auto" w:fill="D4F1F5"/>
          </w:tcPr>
          <w:p>
            <w:pPr>
              <w:jc w:val="right"/>
              <w:ind w:right="1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shd w:val="clear" w:color="auto" w:fill="D4F1F5"/>
          </w:tcPr>
          <w:p>
            <w:pPr>
              <w:jc w:val="right"/>
              <w:ind w:right="41"/>
              <w:spacing w:after="0"/>
              <w:rPr>
                <w:sz w:val="20"/>
                <w:szCs w:val="20"/>
                <w:color w:val="auto"/>
              </w:rPr>
            </w:pPr>
            <w:r>
              <w:rPr>
                <w:rFonts w:ascii="Arial" w:cs="Arial" w:eastAsia="Arial" w:hAnsi="Arial"/>
                <w:sz w:val="16"/>
                <w:szCs w:val="16"/>
                <w:color w:val="auto"/>
              </w:rPr>
              <w:t>941</w:t>
            </w:r>
          </w:p>
        </w:tc>
        <w:tc>
          <w:tcPr>
            <w:tcW w:w="200" w:type="dxa"/>
            <w:vAlign w:val="bottom"/>
            <w:tcBorders>
              <w:bottom w:val="single" w:sz="8" w:color="auto"/>
            </w:tcBorders>
            <w:shd w:val="clear" w:color="auto" w:fill="D4F1F5"/>
          </w:tcPr>
          <w:p>
            <w:pPr>
              <w:jc w:val="right"/>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shd w:val="clear" w:color="auto" w:fill="D4F1F5"/>
          </w:tcPr>
          <w:p>
            <w:pPr>
              <w:jc w:val="right"/>
              <w:spacing w:after="0"/>
              <w:rPr>
                <w:sz w:val="20"/>
                <w:szCs w:val="20"/>
                <w:color w:val="auto"/>
              </w:rPr>
            </w:pPr>
            <w:r>
              <w:rPr>
                <w:rFonts w:ascii="Arial" w:cs="Arial" w:eastAsia="Arial" w:hAnsi="Arial"/>
                <w:sz w:val="16"/>
                <w:szCs w:val="16"/>
                <w:color w:val="auto"/>
              </w:rPr>
              <w:t>(53)</w:t>
            </w:r>
          </w:p>
        </w:tc>
        <w:tc>
          <w:tcPr>
            <w:tcW w:w="220" w:type="dxa"/>
            <w:vAlign w:val="bottom"/>
            <w:tcBorders>
              <w:bottom w:val="single" w:sz="8" w:color="auto"/>
            </w:tcBorders>
            <w:shd w:val="clear" w:color="auto" w:fill="D4F1F5"/>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shd w:val="clear" w:color="auto" w:fill="D4F1F5"/>
          </w:tcPr>
          <w:p>
            <w:pPr>
              <w:jc w:val="right"/>
              <w:spacing w:after="0"/>
              <w:rPr>
                <w:sz w:val="20"/>
                <w:szCs w:val="20"/>
                <w:color w:val="auto"/>
              </w:rPr>
            </w:pPr>
            <w:r>
              <w:rPr>
                <w:rFonts w:ascii="Arial" w:cs="Arial" w:eastAsia="Arial" w:hAnsi="Arial"/>
                <w:sz w:val="16"/>
                <w:szCs w:val="16"/>
                <w:color w:val="auto"/>
              </w:rPr>
              <w:t>888</w:t>
            </w:r>
          </w:p>
        </w:tc>
        <w:tc>
          <w:tcPr>
            <w:tcW w:w="280" w:type="dxa"/>
            <w:vAlign w:val="bottom"/>
            <w:tcBorders>
              <w:bottom w:val="single" w:sz="8" w:color="auto"/>
            </w:tcBorders>
            <w:shd w:val="clear" w:color="auto" w:fill="D4F1F5"/>
          </w:tcPr>
          <w:p>
            <w:pPr>
              <w:jc w:val="right"/>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shd w:val="clear" w:color="auto" w:fill="D4F1F5"/>
          </w:tcPr>
          <w:p>
            <w:pPr>
              <w:jc w:val="right"/>
              <w:spacing w:after="0"/>
              <w:rPr>
                <w:sz w:val="20"/>
                <w:szCs w:val="20"/>
                <w:color w:val="auto"/>
              </w:rPr>
            </w:pPr>
            <w:r>
              <w:rPr>
                <w:rFonts w:ascii="Arial" w:cs="Arial" w:eastAsia="Arial" w:hAnsi="Arial"/>
                <w:sz w:val="16"/>
                <w:szCs w:val="16"/>
                <w:color w:val="auto"/>
              </w:rPr>
              <w:t>(3)</w:t>
            </w:r>
          </w:p>
        </w:tc>
        <w:tc>
          <w:tcPr>
            <w:tcW w:w="220" w:type="dxa"/>
            <w:vAlign w:val="bottom"/>
            <w:tcBorders>
              <w:bottom w:val="single" w:sz="8" w:color="auto"/>
            </w:tcBorders>
            <w:shd w:val="clear" w:color="auto" w:fill="D4F1F5"/>
          </w:tcPr>
          <w:p>
            <w:pPr>
              <w:jc w:val="right"/>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shd w:val="clear" w:color="auto" w:fill="D4F1F5"/>
          </w:tcPr>
          <w:p>
            <w:pPr>
              <w:jc w:val="right"/>
              <w:ind w:right="2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auto"/>
            </w:tcBorders>
            <w:shd w:val="clear" w:color="auto" w:fill="D4F1F5"/>
          </w:tcPr>
          <w:p>
            <w:pPr>
              <w:jc w:val="right"/>
              <w:ind w:right="5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shd w:val="clear" w:color="auto" w:fill="D4F1F5"/>
          </w:tcPr>
          <w:p>
            <w:pPr>
              <w:jc w:val="right"/>
              <w:spacing w:after="0"/>
              <w:rPr>
                <w:sz w:val="20"/>
                <w:szCs w:val="20"/>
                <w:color w:val="auto"/>
              </w:rPr>
            </w:pPr>
            <w:r>
              <w:rPr>
                <w:rFonts w:ascii="Arial" w:cs="Arial" w:eastAsia="Arial" w:hAnsi="Arial"/>
                <w:sz w:val="16"/>
                <w:szCs w:val="16"/>
                <w:color w:val="auto"/>
              </w:rPr>
              <w:t>885</w:t>
            </w:r>
          </w:p>
        </w:tc>
      </w:tr>
    </w:tbl>
    <w:p>
      <w:pPr>
        <w:spacing w:after="0" w:line="128"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See Notes to Condensed Consolidated Financial Statements.</w:t>
      </w: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480060</wp:posOffset>
            </wp:positionV>
            <wp:extent cx="7132320" cy="45466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4546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FFFFFF"/>
        </w:rPr>
        <w:t>SEMPRA</w:t>
      </w:r>
    </w:p>
    <w:p>
      <w:pPr>
        <w:spacing w:after="0" w:line="59"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FFFFFF"/>
        </w:rPr>
        <w:t>CONDENSED CONSOLIDATED BALANCE SHEETS</w:t>
      </w:r>
    </w:p>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8300" w:type="dxa"/>
            <w:vAlign w:val="bottom"/>
          </w:tcPr>
          <w:p>
            <w:pPr>
              <w:ind w:left="20"/>
              <w:spacing w:after="0"/>
              <w:rPr>
                <w:sz w:val="20"/>
                <w:szCs w:val="20"/>
                <w:color w:val="auto"/>
              </w:rPr>
            </w:pPr>
            <w:r>
              <w:rPr>
                <w:rFonts w:ascii="Arial" w:cs="Arial" w:eastAsia="Arial" w:hAnsi="Arial"/>
                <w:sz w:val="14"/>
                <w:szCs w:val="14"/>
                <w:i w:val="1"/>
                <w:iCs w:val="1"/>
                <w:color w:val="FFFFFF"/>
              </w:rPr>
              <w:t>(Dollars in millions)</w:t>
            </w:r>
          </w:p>
        </w:tc>
        <w:tc>
          <w:tcPr>
            <w:tcW w:w="2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40" w:type="dxa"/>
            <w:vAlign w:val="bottom"/>
          </w:tcPr>
          <w:p>
            <w:pPr>
              <w:spacing w:after="0"/>
              <w:rPr>
                <w:sz w:val="16"/>
                <w:szCs w:val="16"/>
                <w:color w:val="auto"/>
              </w:rPr>
            </w:pPr>
          </w:p>
        </w:tc>
      </w:tr>
      <w:tr>
        <w:trPr>
          <w:trHeight w:val="229"/>
        </w:trPr>
        <w:tc>
          <w:tcPr>
            <w:tcW w:w="8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jc w:val="center"/>
              <w:ind w:right="200"/>
              <w:spacing w:after="0"/>
              <w:rPr>
                <w:sz w:val="20"/>
                <w:szCs w:val="20"/>
                <w:color w:val="auto"/>
              </w:rPr>
            </w:pPr>
            <w:r>
              <w:rPr>
                <w:rFonts w:ascii="Arial" w:cs="Arial" w:eastAsia="Arial" w:hAnsi="Arial"/>
                <w:sz w:val="14"/>
                <w:szCs w:val="14"/>
                <w:color w:val="auto"/>
              </w:rPr>
              <w:t>March 31,</w:t>
            </w:r>
          </w:p>
        </w:tc>
        <w:tc>
          <w:tcPr>
            <w:tcW w:w="240" w:type="dxa"/>
            <w:vAlign w:val="bottom"/>
          </w:tcPr>
          <w:p>
            <w:pPr>
              <w:spacing w:after="0"/>
              <w:rPr>
                <w:sz w:val="19"/>
                <w:szCs w:val="19"/>
                <w:color w:val="auto"/>
              </w:rPr>
            </w:pPr>
          </w:p>
        </w:tc>
        <w:tc>
          <w:tcPr>
            <w:tcW w:w="1240" w:type="dxa"/>
            <w:vAlign w:val="bottom"/>
          </w:tcPr>
          <w:p>
            <w:pPr>
              <w:jc w:val="right"/>
              <w:ind w:right="180"/>
              <w:spacing w:after="0"/>
              <w:rPr>
                <w:sz w:val="20"/>
                <w:szCs w:val="20"/>
                <w:color w:val="auto"/>
              </w:rPr>
            </w:pPr>
            <w:r>
              <w:rPr>
                <w:rFonts w:ascii="Arial" w:cs="Arial" w:eastAsia="Arial" w:hAnsi="Arial"/>
                <w:sz w:val="14"/>
                <w:szCs w:val="14"/>
                <w:color w:val="auto"/>
              </w:rPr>
              <w:t>December 31,</w:t>
            </w:r>
          </w:p>
        </w:tc>
      </w:tr>
      <w:tr>
        <w:trPr>
          <w:trHeight w:val="224"/>
        </w:trPr>
        <w:tc>
          <w:tcPr>
            <w:tcW w:w="83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center"/>
              <w:ind w:right="200"/>
              <w:spacing w:after="0"/>
              <w:rPr>
                <w:sz w:val="20"/>
                <w:szCs w:val="20"/>
                <w:color w:val="auto"/>
              </w:rPr>
            </w:pPr>
            <w:r>
              <w:rPr>
                <w:rFonts w:ascii="Arial" w:cs="Arial" w:eastAsia="Arial" w:hAnsi="Arial"/>
                <w:sz w:val="14"/>
                <w:szCs w:val="14"/>
                <w:color w:val="auto"/>
              </w:rPr>
              <w:t>2026</w:t>
            </w:r>
          </w:p>
        </w:tc>
        <w:tc>
          <w:tcPr>
            <w:tcW w:w="2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420"/>
              <w:spacing w:after="0"/>
              <w:rPr>
                <w:sz w:val="20"/>
                <w:szCs w:val="20"/>
                <w:color w:val="auto"/>
              </w:rPr>
            </w:pPr>
            <w:r>
              <w:rPr>
                <w:rFonts w:ascii="Arial" w:cs="Arial" w:eastAsia="Arial" w:hAnsi="Arial"/>
                <w:sz w:val="14"/>
                <w:szCs w:val="14"/>
                <w:color w:val="auto"/>
              </w:rPr>
              <w:t>2025</w:t>
            </w:r>
            <w:r>
              <w:rPr>
                <w:rFonts w:ascii="Arial" w:cs="Arial" w:eastAsia="Arial" w:hAnsi="Arial"/>
                <w:sz w:val="18"/>
                <w:szCs w:val="18"/>
                <w:color w:val="auto"/>
                <w:vertAlign w:val="superscript"/>
              </w:rPr>
              <w:t>(1)</w:t>
            </w:r>
          </w:p>
        </w:tc>
      </w:tr>
      <w:tr>
        <w:trPr>
          <w:trHeight w:val="210"/>
        </w:trPr>
        <w:tc>
          <w:tcPr>
            <w:tcW w:w="8300" w:type="dxa"/>
            <w:vAlign w:val="bottom"/>
            <w:shd w:val="clear" w:color="auto" w:fill="D4F1F5"/>
          </w:tcPr>
          <w:p>
            <w:pPr>
              <w:spacing w:after="0"/>
              <w:rPr>
                <w:sz w:val="18"/>
                <w:szCs w:val="18"/>
                <w:color w:val="auto"/>
              </w:rPr>
            </w:pPr>
          </w:p>
        </w:tc>
        <w:tc>
          <w:tcPr>
            <w:tcW w:w="220" w:type="dxa"/>
            <w:vAlign w:val="bottom"/>
            <w:shd w:val="clear" w:color="auto" w:fill="D4F1F5"/>
          </w:tcPr>
          <w:p>
            <w:pPr>
              <w:spacing w:after="0"/>
              <w:rPr>
                <w:sz w:val="18"/>
                <w:szCs w:val="18"/>
                <w:color w:val="auto"/>
              </w:rPr>
            </w:pPr>
          </w:p>
        </w:tc>
        <w:tc>
          <w:tcPr>
            <w:tcW w:w="1240" w:type="dxa"/>
            <w:vAlign w:val="bottom"/>
            <w:shd w:val="clear" w:color="auto" w:fill="D4F1F5"/>
          </w:tcPr>
          <w:p>
            <w:pPr>
              <w:jc w:val="center"/>
              <w:ind w:right="200"/>
              <w:spacing w:after="0"/>
              <w:rPr>
                <w:sz w:val="20"/>
                <w:szCs w:val="20"/>
                <w:color w:val="auto"/>
              </w:rPr>
            </w:pPr>
            <w:r>
              <w:rPr>
                <w:rFonts w:ascii="Arial" w:cs="Arial" w:eastAsia="Arial" w:hAnsi="Arial"/>
                <w:sz w:val="14"/>
                <w:szCs w:val="14"/>
                <w:color w:val="auto"/>
              </w:rPr>
              <w:t>(unaudited)</w:t>
            </w:r>
          </w:p>
        </w:tc>
        <w:tc>
          <w:tcPr>
            <w:tcW w:w="240" w:type="dxa"/>
            <w:vAlign w:val="bottom"/>
            <w:shd w:val="clear" w:color="auto" w:fill="D4F1F5"/>
          </w:tcPr>
          <w:p>
            <w:pPr>
              <w:spacing w:after="0"/>
              <w:rPr>
                <w:sz w:val="18"/>
                <w:szCs w:val="18"/>
                <w:color w:val="auto"/>
              </w:rPr>
            </w:pPr>
          </w:p>
        </w:tc>
        <w:tc>
          <w:tcPr>
            <w:tcW w:w="1240" w:type="dxa"/>
            <w:vAlign w:val="bottom"/>
            <w:shd w:val="clear" w:color="auto" w:fill="D4F1F5"/>
          </w:tcPr>
          <w:p>
            <w:pPr>
              <w:spacing w:after="0"/>
              <w:rPr>
                <w:sz w:val="18"/>
                <w:szCs w:val="18"/>
                <w:color w:val="auto"/>
              </w:rPr>
            </w:pPr>
          </w:p>
        </w:tc>
      </w:tr>
      <w:tr>
        <w:trPr>
          <w:trHeight w:val="215"/>
        </w:trPr>
        <w:tc>
          <w:tcPr>
            <w:tcW w:w="8300" w:type="dxa"/>
            <w:vAlign w:val="bottom"/>
          </w:tcPr>
          <w:p>
            <w:pPr>
              <w:ind w:left="20"/>
              <w:spacing w:after="0"/>
              <w:rPr>
                <w:sz w:val="20"/>
                <w:szCs w:val="20"/>
                <w:color w:val="auto"/>
              </w:rPr>
            </w:pPr>
            <w:r>
              <w:rPr>
                <w:rFonts w:ascii="Arial" w:cs="Arial" w:eastAsia="Arial" w:hAnsi="Arial"/>
                <w:sz w:val="16"/>
                <w:szCs w:val="16"/>
                <w:color w:val="auto"/>
              </w:rPr>
              <w:t>ASSETS</w:t>
            </w: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17"/>
        </w:trPr>
        <w:tc>
          <w:tcPr>
            <w:tcW w:w="8300" w:type="dxa"/>
            <w:vAlign w:val="bottom"/>
            <w:shd w:val="clear" w:color="auto" w:fill="D4F1F5"/>
          </w:tcPr>
          <w:p>
            <w:pPr>
              <w:ind w:left="20"/>
              <w:spacing w:after="0"/>
              <w:rPr>
                <w:sz w:val="20"/>
                <w:szCs w:val="20"/>
                <w:color w:val="auto"/>
              </w:rPr>
            </w:pPr>
            <w:r>
              <w:rPr>
                <w:rFonts w:ascii="Arial" w:cs="Arial" w:eastAsia="Arial" w:hAnsi="Arial"/>
                <w:sz w:val="16"/>
                <w:szCs w:val="16"/>
                <w:color w:val="auto"/>
              </w:rPr>
              <w:t>Current assets:</w:t>
            </w:r>
          </w:p>
        </w:tc>
        <w:tc>
          <w:tcPr>
            <w:tcW w:w="220" w:type="dxa"/>
            <w:vAlign w:val="bottom"/>
            <w:shd w:val="clear" w:color="auto" w:fill="D4F1F5"/>
          </w:tcPr>
          <w:p>
            <w:pPr>
              <w:spacing w:after="0"/>
              <w:rPr>
                <w:sz w:val="18"/>
                <w:szCs w:val="18"/>
                <w:color w:val="auto"/>
              </w:rPr>
            </w:pPr>
          </w:p>
        </w:tc>
        <w:tc>
          <w:tcPr>
            <w:tcW w:w="1240" w:type="dxa"/>
            <w:vAlign w:val="bottom"/>
            <w:shd w:val="clear" w:color="auto" w:fill="D4F1F5"/>
          </w:tcPr>
          <w:p>
            <w:pPr>
              <w:spacing w:after="0"/>
              <w:rPr>
                <w:sz w:val="18"/>
                <w:szCs w:val="18"/>
                <w:color w:val="auto"/>
              </w:rPr>
            </w:pPr>
          </w:p>
        </w:tc>
        <w:tc>
          <w:tcPr>
            <w:tcW w:w="240" w:type="dxa"/>
            <w:vAlign w:val="bottom"/>
            <w:shd w:val="clear" w:color="auto" w:fill="D4F1F5"/>
          </w:tcPr>
          <w:p>
            <w:pPr>
              <w:spacing w:after="0"/>
              <w:rPr>
                <w:sz w:val="18"/>
                <w:szCs w:val="18"/>
                <w:color w:val="auto"/>
              </w:rPr>
            </w:pPr>
          </w:p>
        </w:tc>
        <w:tc>
          <w:tcPr>
            <w:tcW w:w="1240" w:type="dxa"/>
            <w:vAlign w:val="bottom"/>
            <w:shd w:val="clear" w:color="auto" w:fill="D4F1F5"/>
          </w:tcPr>
          <w:p>
            <w:pPr>
              <w:spacing w:after="0"/>
              <w:rPr>
                <w:sz w:val="18"/>
                <w:szCs w:val="18"/>
                <w:color w:val="auto"/>
              </w:rPr>
            </w:pPr>
          </w:p>
        </w:tc>
      </w:tr>
      <w:tr>
        <w:trPr>
          <w:trHeight w:val="215"/>
        </w:trPr>
        <w:tc>
          <w:tcPr>
            <w:tcW w:w="8300" w:type="dxa"/>
            <w:vAlign w:val="bottom"/>
          </w:tcPr>
          <w:p>
            <w:pPr>
              <w:ind w:left="240"/>
              <w:spacing w:after="0"/>
              <w:rPr>
                <w:sz w:val="20"/>
                <w:szCs w:val="20"/>
                <w:color w:val="auto"/>
              </w:rPr>
            </w:pPr>
            <w:r>
              <w:rPr>
                <w:rFonts w:ascii="Arial" w:cs="Arial" w:eastAsia="Arial" w:hAnsi="Arial"/>
                <w:sz w:val="16"/>
                <w:szCs w:val="16"/>
                <w:color w:val="auto"/>
              </w:rPr>
              <w:t>Cash and cash equivalents</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240" w:type="dxa"/>
            <w:vAlign w:val="bottom"/>
          </w:tcPr>
          <w:p>
            <w:pPr>
              <w:jc w:val="right"/>
              <w:ind w:right="40"/>
              <w:spacing w:after="0"/>
              <w:rPr>
                <w:sz w:val="20"/>
                <w:szCs w:val="20"/>
                <w:color w:val="auto"/>
              </w:rPr>
            </w:pPr>
            <w:r>
              <w:rPr>
                <w:rFonts w:ascii="Arial" w:cs="Arial" w:eastAsia="Arial" w:hAnsi="Arial"/>
                <w:sz w:val="16"/>
                <w:szCs w:val="16"/>
                <w:color w:val="auto"/>
              </w:rPr>
              <w:t>794</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29</w:t>
            </w:r>
          </w:p>
        </w:tc>
      </w:tr>
      <w:tr>
        <w:trPr>
          <w:trHeight w:val="217"/>
        </w:trPr>
        <w:tc>
          <w:tcPr>
            <w:tcW w:w="8300" w:type="dxa"/>
            <w:vAlign w:val="bottom"/>
            <w:shd w:val="clear" w:color="auto" w:fill="D4F1F5"/>
          </w:tcPr>
          <w:p>
            <w:pPr>
              <w:ind w:left="240"/>
              <w:spacing w:after="0"/>
              <w:rPr>
                <w:sz w:val="20"/>
                <w:szCs w:val="20"/>
                <w:color w:val="auto"/>
              </w:rPr>
            </w:pPr>
            <w:r>
              <w:rPr>
                <w:rFonts w:ascii="Arial" w:cs="Arial" w:eastAsia="Arial" w:hAnsi="Arial"/>
                <w:sz w:val="16"/>
                <w:szCs w:val="16"/>
                <w:color w:val="auto"/>
              </w:rPr>
              <w:t>Restricted cash</w:t>
            </w:r>
          </w:p>
        </w:tc>
        <w:tc>
          <w:tcPr>
            <w:tcW w:w="220" w:type="dxa"/>
            <w:vAlign w:val="bottom"/>
            <w:shd w:val="clear" w:color="auto" w:fill="D4F1F5"/>
          </w:tcPr>
          <w:p>
            <w:pPr>
              <w:spacing w:after="0"/>
              <w:rPr>
                <w:sz w:val="18"/>
                <w:szCs w:val="18"/>
                <w:color w:val="auto"/>
              </w:rPr>
            </w:pPr>
          </w:p>
        </w:tc>
        <w:tc>
          <w:tcPr>
            <w:tcW w:w="1240" w:type="dxa"/>
            <w:vAlign w:val="bottom"/>
            <w:shd w:val="clear" w:color="auto" w:fill="D4F1F5"/>
          </w:tcPr>
          <w:p>
            <w:pPr>
              <w:jc w:val="right"/>
              <w:ind w:right="40"/>
              <w:spacing w:after="0"/>
              <w:rPr>
                <w:sz w:val="20"/>
                <w:szCs w:val="20"/>
                <w:color w:val="auto"/>
              </w:rPr>
            </w:pPr>
            <w:r>
              <w:rPr>
                <w:rFonts w:ascii="Arial" w:cs="Arial" w:eastAsia="Arial" w:hAnsi="Arial"/>
                <w:sz w:val="16"/>
                <w:szCs w:val="16"/>
                <w:color w:val="auto"/>
              </w:rPr>
              <w:t>2</w:t>
            </w:r>
          </w:p>
        </w:tc>
        <w:tc>
          <w:tcPr>
            <w:tcW w:w="240" w:type="dxa"/>
            <w:vAlign w:val="bottom"/>
            <w:shd w:val="clear" w:color="auto" w:fill="D4F1F5"/>
          </w:tcPr>
          <w:p>
            <w:pPr>
              <w:spacing w:after="0"/>
              <w:rPr>
                <w:sz w:val="18"/>
                <w:szCs w:val="18"/>
                <w:color w:val="auto"/>
              </w:rPr>
            </w:pPr>
          </w:p>
        </w:tc>
        <w:tc>
          <w:tcPr>
            <w:tcW w:w="1240" w:type="dxa"/>
            <w:vAlign w:val="bottom"/>
            <w:shd w:val="clear" w:color="auto" w:fill="D4F1F5"/>
          </w:tcPr>
          <w:p>
            <w:pPr>
              <w:jc w:val="right"/>
              <w:spacing w:after="0"/>
              <w:rPr>
                <w:sz w:val="20"/>
                <w:szCs w:val="20"/>
                <w:color w:val="auto"/>
              </w:rPr>
            </w:pPr>
            <w:r>
              <w:rPr>
                <w:rFonts w:ascii="Arial" w:cs="Arial" w:eastAsia="Arial" w:hAnsi="Arial"/>
                <w:sz w:val="16"/>
                <w:szCs w:val="16"/>
                <w:color w:val="auto"/>
              </w:rPr>
              <w:t>2</w:t>
            </w:r>
          </w:p>
        </w:tc>
      </w:tr>
      <w:tr>
        <w:trPr>
          <w:trHeight w:val="215"/>
        </w:trPr>
        <w:tc>
          <w:tcPr>
            <w:tcW w:w="8300" w:type="dxa"/>
            <w:vAlign w:val="bottom"/>
          </w:tcPr>
          <w:p>
            <w:pPr>
              <w:ind w:left="240"/>
              <w:spacing w:after="0"/>
              <w:rPr>
                <w:sz w:val="20"/>
                <w:szCs w:val="20"/>
                <w:color w:val="auto"/>
              </w:rPr>
            </w:pPr>
            <w:r>
              <w:rPr>
                <w:rFonts w:ascii="Arial" w:cs="Arial" w:eastAsia="Arial" w:hAnsi="Arial"/>
                <w:sz w:val="16"/>
                <w:szCs w:val="16"/>
                <w:color w:val="auto"/>
              </w:rPr>
              <w:t>Accounts receivable – trade, net</w:t>
            </w:r>
          </w:p>
        </w:tc>
        <w:tc>
          <w:tcPr>
            <w:tcW w:w="220" w:type="dxa"/>
            <w:vAlign w:val="bottom"/>
          </w:tcPr>
          <w:p>
            <w:pPr>
              <w:spacing w:after="0"/>
              <w:rPr>
                <w:sz w:val="18"/>
                <w:szCs w:val="18"/>
                <w:color w:val="auto"/>
              </w:rPr>
            </w:pPr>
          </w:p>
        </w:tc>
        <w:tc>
          <w:tcPr>
            <w:tcW w:w="1240" w:type="dxa"/>
            <w:vAlign w:val="bottom"/>
          </w:tcPr>
          <w:p>
            <w:pPr>
              <w:jc w:val="right"/>
              <w:ind w:right="40"/>
              <w:spacing w:after="0"/>
              <w:rPr>
                <w:sz w:val="20"/>
                <w:szCs w:val="20"/>
                <w:color w:val="auto"/>
              </w:rPr>
            </w:pPr>
            <w:r>
              <w:rPr>
                <w:rFonts w:ascii="Arial" w:cs="Arial" w:eastAsia="Arial" w:hAnsi="Arial"/>
                <w:sz w:val="16"/>
                <w:szCs w:val="16"/>
                <w:color w:val="auto"/>
              </w:rPr>
              <w:t>1,604</w:t>
            </w:r>
          </w:p>
        </w:tc>
        <w:tc>
          <w:tcPr>
            <w:tcW w:w="2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1,767</w:t>
            </w:r>
          </w:p>
        </w:tc>
      </w:tr>
      <w:tr>
        <w:trPr>
          <w:trHeight w:val="217"/>
        </w:trPr>
        <w:tc>
          <w:tcPr>
            <w:tcW w:w="8300" w:type="dxa"/>
            <w:vAlign w:val="bottom"/>
            <w:shd w:val="clear" w:color="auto" w:fill="D4F1F5"/>
          </w:tcPr>
          <w:p>
            <w:pPr>
              <w:ind w:left="240"/>
              <w:spacing w:after="0"/>
              <w:rPr>
                <w:sz w:val="20"/>
                <w:szCs w:val="20"/>
                <w:color w:val="auto"/>
              </w:rPr>
            </w:pPr>
            <w:r>
              <w:rPr>
                <w:rFonts w:ascii="Arial" w:cs="Arial" w:eastAsia="Arial" w:hAnsi="Arial"/>
                <w:sz w:val="16"/>
                <w:szCs w:val="16"/>
                <w:color w:val="auto"/>
              </w:rPr>
              <w:t>Accounts receivable – other, net</w:t>
            </w:r>
          </w:p>
        </w:tc>
        <w:tc>
          <w:tcPr>
            <w:tcW w:w="220" w:type="dxa"/>
            <w:vAlign w:val="bottom"/>
            <w:shd w:val="clear" w:color="auto" w:fill="D4F1F5"/>
          </w:tcPr>
          <w:p>
            <w:pPr>
              <w:spacing w:after="0"/>
              <w:rPr>
                <w:sz w:val="18"/>
                <w:szCs w:val="18"/>
                <w:color w:val="auto"/>
              </w:rPr>
            </w:pPr>
          </w:p>
        </w:tc>
        <w:tc>
          <w:tcPr>
            <w:tcW w:w="1240" w:type="dxa"/>
            <w:vAlign w:val="bottom"/>
            <w:shd w:val="clear" w:color="auto" w:fill="D4F1F5"/>
          </w:tcPr>
          <w:p>
            <w:pPr>
              <w:jc w:val="right"/>
              <w:ind w:right="40"/>
              <w:spacing w:after="0"/>
              <w:rPr>
                <w:sz w:val="20"/>
                <w:szCs w:val="20"/>
                <w:color w:val="auto"/>
              </w:rPr>
            </w:pPr>
            <w:r>
              <w:rPr>
                <w:rFonts w:ascii="Arial" w:cs="Arial" w:eastAsia="Arial" w:hAnsi="Arial"/>
                <w:sz w:val="16"/>
                <w:szCs w:val="16"/>
                <w:color w:val="auto"/>
              </w:rPr>
              <w:t>203</w:t>
            </w:r>
          </w:p>
        </w:tc>
        <w:tc>
          <w:tcPr>
            <w:tcW w:w="240" w:type="dxa"/>
            <w:vAlign w:val="bottom"/>
            <w:shd w:val="clear" w:color="auto" w:fill="D4F1F5"/>
          </w:tcPr>
          <w:p>
            <w:pPr>
              <w:spacing w:after="0"/>
              <w:rPr>
                <w:sz w:val="18"/>
                <w:szCs w:val="18"/>
                <w:color w:val="auto"/>
              </w:rPr>
            </w:pPr>
          </w:p>
        </w:tc>
        <w:tc>
          <w:tcPr>
            <w:tcW w:w="1240" w:type="dxa"/>
            <w:vAlign w:val="bottom"/>
            <w:shd w:val="clear" w:color="auto" w:fill="D4F1F5"/>
          </w:tcPr>
          <w:p>
            <w:pPr>
              <w:jc w:val="right"/>
              <w:spacing w:after="0"/>
              <w:rPr>
                <w:sz w:val="20"/>
                <w:szCs w:val="20"/>
                <w:color w:val="auto"/>
              </w:rPr>
            </w:pPr>
            <w:r>
              <w:rPr>
                <w:rFonts w:ascii="Arial" w:cs="Arial" w:eastAsia="Arial" w:hAnsi="Arial"/>
                <w:sz w:val="16"/>
                <w:szCs w:val="16"/>
                <w:color w:val="auto"/>
              </w:rPr>
              <w:t>157</w:t>
            </w:r>
          </w:p>
        </w:tc>
      </w:tr>
      <w:tr>
        <w:trPr>
          <w:trHeight w:val="215"/>
        </w:trPr>
        <w:tc>
          <w:tcPr>
            <w:tcW w:w="8300" w:type="dxa"/>
            <w:vAlign w:val="bottom"/>
          </w:tcPr>
          <w:p>
            <w:pPr>
              <w:ind w:left="240"/>
              <w:spacing w:after="0"/>
              <w:rPr>
                <w:sz w:val="20"/>
                <w:szCs w:val="20"/>
                <w:color w:val="auto"/>
              </w:rPr>
            </w:pPr>
            <w:r>
              <w:rPr>
                <w:rFonts w:ascii="Arial" w:cs="Arial" w:eastAsia="Arial" w:hAnsi="Arial"/>
                <w:sz w:val="16"/>
                <w:szCs w:val="16"/>
                <w:color w:val="auto"/>
              </w:rPr>
              <w:t>Due from unconsolidated affiliates</w:t>
            </w:r>
          </w:p>
        </w:tc>
        <w:tc>
          <w:tcPr>
            <w:tcW w:w="220" w:type="dxa"/>
            <w:vAlign w:val="bottom"/>
          </w:tcPr>
          <w:p>
            <w:pPr>
              <w:spacing w:after="0"/>
              <w:rPr>
                <w:sz w:val="18"/>
                <w:szCs w:val="18"/>
                <w:color w:val="auto"/>
              </w:rPr>
            </w:pPr>
          </w:p>
        </w:tc>
        <w:tc>
          <w:tcPr>
            <w:tcW w:w="1240" w:type="dxa"/>
            <w:vAlign w:val="bottom"/>
          </w:tcPr>
          <w:p>
            <w:pPr>
              <w:jc w:val="right"/>
              <w:ind w:right="40"/>
              <w:spacing w:after="0"/>
              <w:rPr>
                <w:sz w:val="20"/>
                <w:szCs w:val="20"/>
                <w:color w:val="auto"/>
              </w:rPr>
            </w:pPr>
            <w:r>
              <w:rPr>
                <w:rFonts w:ascii="Arial" w:cs="Arial" w:eastAsia="Arial" w:hAnsi="Arial"/>
                <w:sz w:val="16"/>
                <w:szCs w:val="16"/>
                <w:color w:val="auto"/>
              </w:rPr>
              <w:t>34</w:t>
            </w:r>
          </w:p>
        </w:tc>
        <w:tc>
          <w:tcPr>
            <w:tcW w:w="2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7"/>
        </w:trPr>
        <w:tc>
          <w:tcPr>
            <w:tcW w:w="8300" w:type="dxa"/>
            <w:vAlign w:val="bottom"/>
            <w:shd w:val="clear" w:color="auto" w:fill="D4F1F5"/>
          </w:tcPr>
          <w:p>
            <w:pPr>
              <w:ind w:left="240"/>
              <w:spacing w:after="0"/>
              <w:rPr>
                <w:sz w:val="20"/>
                <w:szCs w:val="20"/>
                <w:color w:val="auto"/>
              </w:rPr>
            </w:pPr>
            <w:r>
              <w:rPr>
                <w:rFonts w:ascii="Arial" w:cs="Arial" w:eastAsia="Arial" w:hAnsi="Arial"/>
                <w:sz w:val="16"/>
                <w:szCs w:val="16"/>
                <w:color w:val="auto"/>
              </w:rPr>
              <w:t>Income taxes receivable</w:t>
            </w:r>
          </w:p>
        </w:tc>
        <w:tc>
          <w:tcPr>
            <w:tcW w:w="220" w:type="dxa"/>
            <w:vAlign w:val="bottom"/>
            <w:shd w:val="clear" w:color="auto" w:fill="D4F1F5"/>
          </w:tcPr>
          <w:p>
            <w:pPr>
              <w:spacing w:after="0"/>
              <w:rPr>
                <w:sz w:val="18"/>
                <w:szCs w:val="18"/>
                <w:color w:val="auto"/>
              </w:rPr>
            </w:pPr>
          </w:p>
        </w:tc>
        <w:tc>
          <w:tcPr>
            <w:tcW w:w="1240" w:type="dxa"/>
            <w:vAlign w:val="bottom"/>
            <w:shd w:val="clear" w:color="auto" w:fill="D4F1F5"/>
          </w:tcPr>
          <w:p>
            <w:pPr>
              <w:jc w:val="right"/>
              <w:ind w:right="40"/>
              <w:spacing w:after="0"/>
              <w:rPr>
                <w:sz w:val="20"/>
                <w:szCs w:val="20"/>
                <w:color w:val="auto"/>
              </w:rPr>
            </w:pPr>
            <w:r>
              <w:rPr>
                <w:rFonts w:ascii="Arial" w:cs="Arial" w:eastAsia="Arial" w:hAnsi="Arial"/>
                <w:sz w:val="16"/>
                <w:szCs w:val="16"/>
                <w:color w:val="auto"/>
              </w:rPr>
              <w:t>177</w:t>
            </w:r>
          </w:p>
        </w:tc>
        <w:tc>
          <w:tcPr>
            <w:tcW w:w="240" w:type="dxa"/>
            <w:vAlign w:val="bottom"/>
            <w:shd w:val="clear" w:color="auto" w:fill="D4F1F5"/>
          </w:tcPr>
          <w:p>
            <w:pPr>
              <w:spacing w:after="0"/>
              <w:rPr>
                <w:sz w:val="18"/>
                <w:szCs w:val="18"/>
                <w:color w:val="auto"/>
              </w:rPr>
            </w:pPr>
          </w:p>
        </w:tc>
        <w:tc>
          <w:tcPr>
            <w:tcW w:w="1240" w:type="dxa"/>
            <w:vAlign w:val="bottom"/>
            <w:shd w:val="clear" w:color="auto" w:fill="D4F1F5"/>
          </w:tcPr>
          <w:p>
            <w:pPr>
              <w:jc w:val="right"/>
              <w:spacing w:after="0"/>
              <w:rPr>
                <w:sz w:val="20"/>
                <w:szCs w:val="20"/>
                <w:color w:val="auto"/>
              </w:rPr>
            </w:pPr>
            <w:r>
              <w:rPr>
                <w:rFonts w:ascii="Arial" w:cs="Arial" w:eastAsia="Arial" w:hAnsi="Arial"/>
                <w:sz w:val="16"/>
                <w:szCs w:val="16"/>
                <w:color w:val="auto"/>
              </w:rPr>
              <w:t>71</w:t>
            </w:r>
          </w:p>
        </w:tc>
      </w:tr>
      <w:tr>
        <w:trPr>
          <w:trHeight w:val="215"/>
        </w:trPr>
        <w:tc>
          <w:tcPr>
            <w:tcW w:w="8300" w:type="dxa"/>
            <w:vAlign w:val="bottom"/>
          </w:tcPr>
          <w:p>
            <w:pPr>
              <w:ind w:left="240"/>
              <w:spacing w:after="0"/>
              <w:rPr>
                <w:sz w:val="20"/>
                <w:szCs w:val="20"/>
                <w:color w:val="auto"/>
              </w:rPr>
            </w:pPr>
            <w:r>
              <w:rPr>
                <w:rFonts w:ascii="Arial" w:cs="Arial" w:eastAsia="Arial" w:hAnsi="Arial"/>
                <w:sz w:val="16"/>
                <w:szCs w:val="16"/>
                <w:color w:val="auto"/>
              </w:rPr>
              <w:t>Inventories</w:t>
            </w:r>
          </w:p>
        </w:tc>
        <w:tc>
          <w:tcPr>
            <w:tcW w:w="220" w:type="dxa"/>
            <w:vAlign w:val="bottom"/>
          </w:tcPr>
          <w:p>
            <w:pPr>
              <w:spacing w:after="0"/>
              <w:rPr>
                <w:sz w:val="18"/>
                <w:szCs w:val="18"/>
                <w:color w:val="auto"/>
              </w:rPr>
            </w:pPr>
          </w:p>
        </w:tc>
        <w:tc>
          <w:tcPr>
            <w:tcW w:w="1240" w:type="dxa"/>
            <w:vAlign w:val="bottom"/>
          </w:tcPr>
          <w:p>
            <w:pPr>
              <w:jc w:val="right"/>
              <w:ind w:right="40"/>
              <w:spacing w:after="0"/>
              <w:rPr>
                <w:sz w:val="20"/>
                <w:szCs w:val="20"/>
                <w:color w:val="auto"/>
              </w:rPr>
            </w:pPr>
            <w:r>
              <w:rPr>
                <w:rFonts w:ascii="Arial" w:cs="Arial" w:eastAsia="Arial" w:hAnsi="Arial"/>
                <w:sz w:val="16"/>
                <w:szCs w:val="16"/>
                <w:color w:val="auto"/>
              </w:rPr>
              <w:t>530</w:t>
            </w:r>
          </w:p>
        </w:tc>
        <w:tc>
          <w:tcPr>
            <w:tcW w:w="2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561</w:t>
            </w:r>
          </w:p>
        </w:tc>
      </w:tr>
      <w:tr>
        <w:trPr>
          <w:trHeight w:val="217"/>
        </w:trPr>
        <w:tc>
          <w:tcPr>
            <w:tcW w:w="8300" w:type="dxa"/>
            <w:vAlign w:val="bottom"/>
            <w:shd w:val="clear" w:color="auto" w:fill="D4F1F5"/>
          </w:tcPr>
          <w:p>
            <w:pPr>
              <w:ind w:left="240"/>
              <w:spacing w:after="0"/>
              <w:rPr>
                <w:sz w:val="20"/>
                <w:szCs w:val="20"/>
                <w:color w:val="auto"/>
              </w:rPr>
            </w:pPr>
            <w:r>
              <w:rPr>
                <w:rFonts w:ascii="Arial" w:cs="Arial" w:eastAsia="Arial" w:hAnsi="Arial"/>
                <w:sz w:val="16"/>
                <w:szCs w:val="16"/>
                <w:color w:val="auto"/>
              </w:rPr>
              <w:t>Regulatory assets</w:t>
            </w:r>
          </w:p>
        </w:tc>
        <w:tc>
          <w:tcPr>
            <w:tcW w:w="220" w:type="dxa"/>
            <w:vAlign w:val="bottom"/>
            <w:shd w:val="clear" w:color="auto" w:fill="D4F1F5"/>
          </w:tcPr>
          <w:p>
            <w:pPr>
              <w:spacing w:after="0"/>
              <w:rPr>
                <w:sz w:val="18"/>
                <w:szCs w:val="18"/>
                <w:color w:val="auto"/>
              </w:rPr>
            </w:pPr>
          </w:p>
        </w:tc>
        <w:tc>
          <w:tcPr>
            <w:tcW w:w="1240" w:type="dxa"/>
            <w:vAlign w:val="bottom"/>
            <w:shd w:val="clear" w:color="auto" w:fill="D4F1F5"/>
          </w:tcPr>
          <w:p>
            <w:pPr>
              <w:jc w:val="right"/>
              <w:ind w:right="40"/>
              <w:spacing w:after="0"/>
              <w:rPr>
                <w:sz w:val="20"/>
                <w:szCs w:val="20"/>
                <w:color w:val="auto"/>
              </w:rPr>
            </w:pPr>
            <w:r>
              <w:rPr>
                <w:rFonts w:ascii="Arial" w:cs="Arial" w:eastAsia="Arial" w:hAnsi="Arial"/>
                <w:sz w:val="16"/>
                <w:szCs w:val="16"/>
                <w:color w:val="auto"/>
              </w:rPr>
              <w:t>561</w:t>
            </w:r>
          </w:p>
        </w:tc>
        <w:tc>
          <w:tcPr>
            <w:tcW w:w="240" w:type="dxa"/>
            <w:vAlign w:val="bottom"/>
            <w:shd w:val="clear" w:color="auto" w:fill="D4F1F5"/>
          </w:tcPr>
          <w:p>
            <w:pPr>
              <w:spacing w:after="0"/>
              <w:rPr>
                <w:sz w:val="18"/>
                <w:szCs w:val="18"/>
                <w:color w:val="auto"/>
              </w:rPr>
            </w:pPr>
          </w:p>
        </w:tc>
        <w:tc>
          <w:tcPr>
            <w:tcW w:w="1240" w:type="dxa"/>
            <w:vAlign w:val="bottom"/>
            <w:shd w:val="clear" w:color="auto" w:fill="D4F1F5"/>
          </w:tcPr>
          <w:p>
            <w:pPr>
              <w:jc w:val="right"/>
              <w:spacing w:after="0"/>
              <w:rPr>
                <w:sz w:val="20"/>
                <w:szCs w:val="20"/>
                <w:color w:val="auto"/>
              </w:rPr>
            </w:pPr>
            <w:r>
              <w:rPr>
                <w:rFonts w:ascii="Arial" w:cs="Arial" w:eastAsia="Arial" w:hAnsi="Arial"/>
                <w:sz w:val="16"/>
                <w:szCs w:val="16"/>
                <w:color w:val="auto"/>
              </w:rPr>
              <w:t>761</w:t>
            </w:r>
          </w:p>
        </w:tc>
      </w:tr>
      <w:tr>
        <w:trPr>
          <w:trHeight w:val="215"/>
        </w:trPr>
        <w:tc>
          <w:tcPr>
            <w:tcW w:w="8300" w:type="dxa"/>
            <w:vAlign w:val="bottom"/>
          </w:tcPr>
          <w:p>
            <w:pPr>
              <w:ind w:left="240"/>
              <w:spacing w:after="0"/>
              <w:rPr>
                <w:sz w:val="20"/>
                <w:szCs w:val="20"/>
                <w:color w:val="auto"/>
              </w:rPr>
            </w:pPr>
            <w:r>
              <w:rPr>
                <w:rFonts w:ascii="Arial" w:cs="Arial" w:eastAsia="Arial" w:hAnsi="Arial"/>
                <w:sz w:val="16"/>
                <w:szCs w:val="16"/>
                <w:color w:val="auto"/>
              </w:rPr>
              <w:t>Greenhouse gas allowances</w:t>
            </w:r>
          </w:p>
        </w:tc>
        <w:tc>
          <w:tcPr>
            <w:tcW w:w="220" w:type="dxa"/>
            <w:vAlign w:val="bottom"/>
          </w:tcPr>
          <w:p>
            <w:pPr>
              <w:spacing w:after="0"/>
              <w:rPr>
                <w:sz w:val="18"/>
                <w:szCs w:val="18"/>
                <w:color w:val="auto"/>
              </w:rPr>
            </w:pPr>
          </w:p>
        </w:tc>
        <w:tc>
          <w:tcPr>
            <w:tcW w:w="1240" w:type="dxa"/>
            <w:vAlign w:val="bottom"/>
          </w:tcPr>
          <w:p>
            <w:pPr>
              <w:jc w:val="right"/>
              <w:ind w:right="40"/>
              <w:spacing w:after="0"/>
              <w:rPr>
                <w:sz w:val="20"/>
                <w:szCs w:val="20"/>
                <w:color w:val="auto"/>
              </w:rPr>
            </w:pPr>
            <w:r>
              <w:rPr>
                <w:rFonts w:ascii="Arial" w:cs="Arial" w:eastAsia="Arial" w:hAnsi="Arial"/>
                <w:sz w:val="16"/>
                <w:szCs w:val="16"/>
                <w:color w:val="auto"/>
              </w:rPr>
              <w:t>199</w:t>
            </w:r>
          </w:p>
        </w:tc>
        <w:tc>
          <w:tcPr>
            <w:tcW w:w="2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203</w:t>
            </w:r>
          </w:p>
        </w:tc>
      </w:tr>
      <w:tr>
        <w:trPr>
          <w:trHeight w:val="217"/>
        </w:trPr>
        <w:tc>
          <w:tcPr>
            <w:tcW w:w="8300" w:type="dxa"/>
            <w:vAlign w:val="bottom"/>
            <w:shd w:val="clear" w:color="auto" w:fill="D4F1F5"/>
          </w:tcPr>
          <w:p>
            <w:pPr>
              <w:ind w:left="240"/>
              <w:spacing w:after="0"/>
              <w:rPr>
                <w:sz w:val="20"/>
                <w:szCs w:val="20"/>
                <w:color w:val="auto"/>
              </w:rPr>
            </w:pPr>
            <w:r>
              <w:rPr>
                <w:rFonts w:ascii="Arial" w:cs="Arial" w:eastAsia="Arial" w:hAnsi="Arial"/>
                <w:sz w:val="16"/>
                <w:szCs w:val="16"/>
                <w:color w:val="auto"/>
              </w:rPr>
              <w:t>Assets held for sale</w:t>
            </w:r>
          </w:p>
        </w:tc>
        <w:tc>
          <w:tcPr>
            <w:tcW w:w="220" w:type="dxa"/>
            <w:vAlign w:val="bottom"/>
            <w:shd w:val="clear" w:color="auto" w:fill="D4F1F5"/>
          </w:tcPr>
          <w:p>
            <w:pPr>
              <w:spacing w:after="0"/>
              <w:rPr>
                <w:sz w:val="18"/>
                <w:szCs w:val="18"/>
                <w:color w:val="auto"/>
              </w:rPr>
            </w:pPr>
          </w:p>
        </w:tc>
        <w:tc>
          <w:tcPr>
            <w:tcW w:w="1240" w:type="dxa"/>
            <w:vAlign w:val="bottom"/>
            <w:shd w:val="clear" w:color="auto" w:fill="D4F1F5"/>
          </w:tcPr>
          <w:p>
            <w:pPr>
              <w:jc w:val="right"/>
              <w:ind w:right="40"/>
              <w:spacing w:after="0"/>
              <w:rPr>
                <w:sz w:val="20"/>
                <w:szCs w:val="20"/>
                <w:color w:val="auto"/>
              </w:rPr>
            </w:pPr>
            <w:r>
              <w:rPr>
                <w:rFonts w:ascii="Arial" w:cs="Arial" w:eastAsia="Arial" w:hAnsi="Arial"/>
                <w:sz w:val="16"/>
                <w:szCs w:val="16"/>
                <w:color w:val="auto"/>
              </w:rPr>
              <w:t>31,865</w:t>
            </w:r>
          </w:p>
        </w:tc>
        <w:tc>
          <w:tcPr>
            <w:tcW w:w="240" w:type="dxa"/>
            <w:vAlign w:val="bottom"/>
            <w:shd w:val="clear" w:color="auto" w:fill="D4F1F5"/>
          </w:tcPr>
          <w:p>
            <w:pPr>
              <w:spacing w:after="0"/>
              <w:rPr>
                <w:sz w:val="18"/>
                <w:szCs w:val="18"/>
                <w:color w:val="auto"/>
              </w:rPr>
            </w:pPr>
          </w:p>
        </w:tc>
        <w:tc>
          <w:tcPr>
            <w:tcW w:w="1240" w:type="dxa"/>
            <w:vAlign w:val="bottom"/>
            <w:shd w:val="clear" w:color="auto" w:fill="D4F1F5"/>
          </w:tcPr>
          <w:p>
            <w:pPr>
              <w:jc w:val="right"/>
              <w:spacing w:after="0"/>
              <w:rPr>
                <w:sz w:val="20"/>
                <w:szCs w:val="20"/>
                <w:color w:val="auto"/>
              </w:rPr>
            </w:pPr>
            <w:r>
              <w:rPr>
                <w:rFonts w:ascii="Arial" w:cs="Arial" w:eastAsia="Arial" w:hAnsi="Arial"/>
                <w:sz w:val="16"/>
                <w:szCs w:val="16"/>
                <w:color w:val="auto"/>
              </w:rPr>
              <w:t>31,024</w:t>
            </w:r>
          </w:p>
        </w:tc>
      </w:tr>
      <w:tr>
        <w:trPr>
          <w:trHeight w:val="215"/>
        </w:trPr>
        <w:tc>
          <w:tcPr>
            <w:tcW w:w="8300" w:type="dxa"/>
            <w:vAlign w:val="bottom"/>
            <w:tcBorders>
              <w:bottom w:val="single" w:sz="8" w:color="D4F1F5"/>
            </w:tcBorders>
          </w:tcPr>
          <w:p>
            <w:pPr>
              <w:ind w:left="240"/>
              <w:spacing w:after="0"/>
              <w:rPr>
                <w:sz w:val="20"/>
                <w:szCs w:val="20"/>
                <w:color w:val="auto"/>
              </w:rPr>
            </w:pPr>
            <w:r>
              <w:rPr>
                <w:rFonts w:ascii="Arial" w:cs="Arial" w:eastAsia="Arial" w:hAnsi="Arial"/>
                <w:sz w:val="16"/>
                <w:szCs w:val="16"/>
                <w:color w:val="auto"/>
              </w:rPr>
              <w:t>Other current assets</w:t>
            </w:r>
          </w:p>
        </w:tc>
        <w:tc>
          <w:tcPr>
            <w:tcW w:w="2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234</w:t>
            </w:r>
          </w:p>
        </w:tc>
        <w:tc>
          <w:tcPr>
            <w:tcW w:w="2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262</w:t>
            </w:r>
          </w:p>
        </w:tc>
      </w:tr>
      <w:tr>
        <w:trPr>
          <w:trHeight w:val="209"/>
        </w:trPr>
        <w:tc>
          <w:tcPr>
            <w:tcW w:w="8300" w:type="dxa"/>
            <w:vAlign w:val="bottom"/>
            <w:shd w:val="clear" w:color="auto" w:fill="D4F1F5"/>
          </w:tcPr>
          <w:p>
            <w:pPr>
              <w:ind w:left="460"/>
              <w:spacing w:after="0"/>
              <w:rPr>
                <w:sz w:val="20"/>
                <w:szCs w:val="20"/>
                <w:color w:val="auto"/>
              </w:rPr>
            </w:pPr>
            <w:r>
              <w:rPr>
                <w:rFonts w:ascii="Arial" w:cs="Arial" w:eastAsia="Arial" w:hAnsi="Arial"/>
                <w:sz w:val="16"/>
                <w:szCs w:val="16"/>
                <w:color w:val="auto"/>
              </w:rPr>
              <w:t>Total current assets</w:t>
            </w:r>
          </w:p>
        </w:tc>
        <w:tc>
          <w:tcPr>
            <w:tcW w:w="220" w:type="dxa"/>
            <w:vAlign w:val="bottom"/>
            <w:tcBorders>
              <w:bottom w:val="single" w:sz="8" w:color="auto"/>
            </w:tcBorders>
            <w:shd w:val="clear" w:color="auto" w:fill="D4F1F5"/>
          </w:tcPr>
          <w:p>
            <w:pPr>
              <w:spacing w:after="0"/>
              <w:rPr>
                <w:sz w:val="18"/>
                <w:szCs w:val="18"/>
                <w:color w:val="auto"/>
              </w:rPr>
            </w:pPr>
          </w:p>
        </w:tc>
        <w:tc>
          <w:tcPr>
            <w:tcW w:w="1240" w:type="dxa"/>
            <w:vAlign w:val="bottom"/>
            <w:tcBorders>
              <w:bottom w:val="single" w:sz="8" w:color="auto"/>
            </w:tcBorders>
            <w:shd w:val="clear" w:color="auto" w:fill="D4F1F5"/>
          </w:tcPr>
          <w:p>
            <w:pPr>
              <w:jc w:val="right"/>
              <w:ind w:right="40"/>
              <w:spacing w:after="0"/>
              <w:rPr>
                <w:sz w:val="20"/>
                <w:szCs w:val="20"/>
                <w:color w:val="auto"/>
              </w:rPr>
            </w:pPr>
            <w:r>
              <w:rPr>
                <w:rFonts w:ascii="Arial" w:cs="Arial" w:eastAsia="Arial" w:hAnsi="Arial"/>
                <w:sz w:val="16"/>
                <w:szCs w:val="16"/>
                <w:color w:val="auto"/>
              </w:rPr>
              <w:t>36,203</w:t>
            </w:r>
          </w:p>
        </w:tc>
        <w:tc>
          <w:tcPr>
            <w:tcW w:w="240" w:type="dxa"/>
            <w:vAlign w:val="bottom"/>
            <w:tcBorders>
              <w:bottom w:val="single" w:sz="8" w:color="auto"/>
            </w:tcBorders>
            <w:shd w:val="clear" w:color="auto" w:fill="D4F1F5"/>
          </w:tcPr>
          <w:p>
            <w:pPr>
              <w:spacing w:after="0"/>
              <w:rPr>
                <w:sz w:val="18"/>
                <w:szCs w:val="18"/>
                <w:color w:val="auto"/>
              </w:rPr>
            </w:pPr>
          </w:p>
        </w:tc>
        <w:tc>
          <w:tcPr>
            <w:tcW w:w="1240" w:type="dxa"/>
            <w:vAlign w:val="bottom"/>
            <w:tcBorders>
              <w:bottom w:val="single" w:sz="8" w:color="auto"/>
            </w:tcBorders>
            <w:shd w:val="clear" w:color="auto" w:fill="D4F1F5"/>
          </w:tcPr>
          <w:p>
            <w:pPr>
              <w:jc w:val="right"/>
              <w:spacing w:after="0"/>
              <w:rPr>
                <w:sz w:val="20"/>
                <w:szCs w:val="20"/>
                <w:color w:val="auto"/>
              </w:rPr>
            </w:pPr>
            <w:r>
              <w:rPr>
                <w:rFonts w:ascii="Arial" w:cs="Arial" w:eastAsia="Arial" w:hAnsi="Arial"/>
                <w:sz w:val="16"/>
                <w:szCs w:val="16"/>
                <w:color w:val="auto"/>
              </w:rPr>
              <w:t>34,837</w:t>
            </w:r>
          </w:p>
        </w:tc>
      </w:tr>
      <w:tr>
        <w:trPr>
          <w:trHeight w:val="197"/>
        </w:trPr>
        <w:tc>
          <w:tcPr>
            <w:tcW w:w="8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216"/>
        </w:trPr>
        <w:tc>
          <w:tcPr>
            <w:tcW w:w="8300" w:type="dxa"/>
            <w:vAlign w:val="bottom"/>
            <w:shd w:val="clear" w:color="auto" w:fill="D4F1F5"/>
          </w:tcPr>
          <w:p>
            <w:pPr>
              <w:ind w:left="20"/>
              <w:spacing w:after="0"/>
              <w:rPr>
                <w:sz w:val="20"/>
                <w:szCs w:val="20"/>
                <w:color w:val="auto"/>
              </w:rPr>
            </w:pPr>
            <w:r>
              <w:rPr>
                <w:rFonts w:ascii="Arial" w:cs="Arial" w:eastAsia="Arial" w:hAnsi="Arial"/>
                <w:sz w:val="16"/>
                <w:szCs w:val="16"/>
                <w:color w:val="auto"/>
              </w:rPr>
              <w:t>Other assets:</w:t>
            </w:r>
          </w:p>
        </w:tc>
        <w:tc>
          <w:tcPr>
            <w:tcW w:w="220" w:type="dxa"/>
            <w:vAlign w:val="bottom"/>
            <w:shd w:val="clear" w:color="auto" w:fill="D4F1F5"/>
          </w:tcPr>
          <w:p>
            <w:pPr>
              <w:spacing w:after="0"/>
              <w:rPr>
                <w:sz w:val="18"/>
                <w:szCs w:val="18"/>
                <w:color w:val="auto"/>
              </w:rPr>
            </w:pPr>
          </w:p>
        </w:tc>
        <w:tc>
          <w:tcPr>
            <w:tcW w:w="1240" w:type="dxa"/>
            <w:vAlign w:val="bottom"/>
            <w:shd w:val="clear" w:color="auto" w:fill="D4F1F5"/>
          </w:tcPr>
          <w:p>
            <w:pPr>
              <w:spacing w:after="0"/>
              <w:rPr>
                <w:sz w:val="18"/>
                <w:szCs w:val="18"/>
                <w:color w:val="auto"/>
              </w:rPr>
            </w:pPr>
          </w:p>
        </w:tc>
        <w:tc>
          <w:tcPr>
            <w:tcW w:w="240" w:type="dxa"/>
            <w:vAlign w:val="bottom"/>
            <w:shd w:val="clear" w:color="auto" w:fill="D4F1F5"/>
          </w:tcPr>
          <w:p>
            <w:pPr>
              <w:spacing w:after="0"/>
              <w:rPr>
                <w:sz w:val="18"/>
                <w:szCs w:val="18"/>
                <w:color w:val="auto"/>
              </w:rPr>
            </w:pPr>
          </w:p>
        </w:tc>
        <w:tc>
          <w:tcPr>
            <w:tcW w:w="1240" w:type="dxa"/>
            <w:vAlign w:val="bottom"/>
            <w:shd w:val="clear" w:color="auto" w:fill="D4F1F5"/>
          </w:tcPr>
          <w:p>
            <w:pPr>
              <w:spacing w:after="0"/>
              <w:rPr>
                <w:sz w:val="18"/>
                <w:szCs w:val="18"/>
                <w:color w:val="auto"/>
              </w:rPr>
            </w:pPr>
          </w:p>
        </w:tc>
      </w:tr>
      <w:tr>
        <w:trPr>
          <w:trHeight w:val="215"/>
        </w:trPr>
        <w:tc>
          <w:tcPr>
            <w:tcW w:w="8300" w:type="dxa"/>
            <w:vAlign w:val="bottom"/>
          </w:tcPr>
          <w:p>
            <w:pPr>
              <w:ind w:left="240"/>
              <w:spacing w:after="0"/>
              <w:rPr>
                <w:sz w:val="20"/>
                <w:szCs w:val="20"/>
                <w:color w:val="auto"/>
              </w:rPr>
            </w:pPr>
            <w:r>
              <w:rPr>
                <w:rFonts w:ascii="Arial" w:cs="Arial" w:eastAsia="Arial" w:hAnsi="Arial"/>
                <w:sz w:val="16"/>
                <w:szCs w:val="16"/>
                <w:color w:val="auto"/>
              </w:rPr>
              <w:t>Regulatory assets</w:t>
            </w:r>
          </w:p>
        </w:tc>
        <w:tc>
          <w:tcPr>
            <w:tcW w:w="220" w:type="dxa"/>
            <w:vAlign w:val="bottom"/>
          </w:tcPr>
          <w:p>
            <w:pPr>
              <w:spacing w:after="0"/>
              <w:rPr>
                <w:sz w:val="18"/>
                <w:szCs w:val="18"/>
                <w:color w:val="auto"/>
              </w:rPr>
            </w:pPr>
          </w:p>
        </w:tc>
        <w:tc>
          <w:tcPr>
            <w:tcW w:w="1240" w:type="dxa"/>
            <w:vAlign w:val="bottom"/>
          </w:tcPr>
          <w:p>
            <w:pPr>
              <w:jc w:val="right"/>
              <w:ind w:right="40"/>
              <w:spacing w:after="0"/>
              <w:rPr>
                <w:sz w:val="20"/>
                <w:szCs w:val="20"/>
                <w:color w:val="auto"/>
              </w:rPr>
            </w:pPr>
            <w:r>
              <w:rPr>
                <w:rFonts w:ascii="Arial" w:cs="Arial" w:eastAsia="Arial" w:hAnsi="Arial"/>
                <w:sz w:val="16"/>
                <w:szCs w:val="16"/>
                <w:color w:val="auto"/>
              </w:rPr>
              <w:t>4,077</w:t>
            </w:r>
          </w:p>
        </w:tc>
        <w:tc>
          <w:tcPr>
            <w:tcW w:w="2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3,868</w:t>
            </w:r>
          </w:p>
        </w:tc>
      </w:tr>
      <w:tr>
        <w:trPr>
          <w:trHeight w:val="217"/>
        </w:trPr>
        <w:tc>
          <w:tcPr>
            <w:tcW w:w="8300" w:type="dxa"/>
            <w:vAlign w:val="bottom"/>
            <w:shd w:val="clear" w:color="auto" w:fill="D4F1F5"/>
          </w:tcPr>
          <w:p>
            <w:pPr>
              <w:ind w:left="240"/>
              <w:spacing w:after="0"/>
              <w:rPr>
                <w:sz w:val="20"/>
                <w:szCs w:val="20"/>
                <w:color w:val="auto"/>
              </w:rPr>
            </w:pPr>
            <w:r>
              <w:rPr>
                <w:rFonts w:ascii="Arial" w:cs="Arial" w:eastAsia="Arial" w:hAnsi="Arial"/>
                <w:sz w:val="16"/>
                <w:szCs w:val="16"/>
                <w:color w:val="auto"/>
              </w:rPr>
              <w:t>Greenhouse gas allowances</w:t>
            </w:r>
          </w:p>
        </w:tc>
        <w:tc>
          <w:tcPr>
            <w:tcW w:w="220" w:type="dxa"/>
            <w:vAlign w:val="bottom"/>
            <w:shd w:val="clear" w:color="auto" w:fill="D4F1F5"/>
          </w:tcPr>
          <w:p>
            <w:pPr>
              <w:spacing w:after="0"/>
              <w:rPr>
                <w:sz w:val="18"/>
                <w:szCs w:val="18"/>
                <w:color w:val="auto"/>
              </w:rPr>
            </w:pPr>
          </w:p>
        </w:tc>
        <w:tc>
          <w:tcPr>
            <w:tcW w:w="1240" w:type="dxa"/>
            <w:vAlign w:val="bottom"/>
            <w:shd w:val="clear" w:color="auto" w:fill="D4F1F5"/>
          </w:tcPr>
          <w:p>
            <w:pPr>
              <w:jc w:val="right"/>
              <w:ind w:right="40"/>
              <w:spacing w:after="0"/>
              <w:rPr>
                <w:sz w:val="20"/>
                <w:szCs w:val="20"/>
                <w:color w:val="auto"/>
              </w:rPr>
            </w:pPr>
            <w:r>
              <w:rPr>
                <w:rFonts w:ascii="Arial" w:cs="Arial" w:eastAsia="Arial" w:hAnsi="Arial"/>
                <w:sz w:val="16"/>
                <w:szCs w:val="16"/>
                <w:color w:val="auto"/>
              </w:rPr>
              <w:t>1,378</w:t>
            </w:r>
          </w:p>
        </w:tc>
        <w:tc>
          <w:tcPr>
            <w:tcW w:w="240" w:type="dxa"/>
            <w:vAlign w:val="bottom"/>
            <w:shd w:val="clear" w:color="auto" w:fill="D4F1F5"/>
          </w:tcPr>
          <w:p>
            <w:pPr>
              <w:spacing w:after="0"/>
              <w:rPr>
                <w:sz w:val="18"/>
                <w:szCs w:val="18"/>
                <w:color w:val="auto"/>
              </w:rPr>
            </w:pPr>
          </w:p>
        </w:tc>
        <w:tc>
          <w:tcPr>
            <w:tcW w:w="1240" w:type="dxa"/>
            <w:vAlign w:val="bottom"/>
            <w:shd w:val="clear" w:color="auto" w:fill="D4F1F5"/>
          </w:tcPr>
          <w:p>
            <w:pPr>
              <w:jc w:val="right"/>
              <w:spacing w:after="0"/>
              <w:rPr>
                <w:sz w:val="20"/>
                <w:szCs w:val="20"/>
                <w:color w:val="auto"/>
              </w:rPr>
            </w:pPr>
            <w:r>
              <w:rPr>
                <w:rFonts w:ascii="Arial" w:cs="Arial" w:eastAsia="Arial" w:hAnsi="Arial"/>
                <w:sz w:val="16"/>
                <w:szCs w:val="16"/>
                <w:color w:val="auto"/>
              </w:rPr>
              <w:t>1,221</w:t>
            </w:r>
          </w:p>
        </w:tc>
      </w:tr>
      <w:tr>
        <w:trPr>
          <w:trHeight w:val="215"/>
        </w:trPr>
        <w:tc>
          <w:tcPr>
            <w:tcW w:w="8300" w:type="dxa"/>
            <w:vAlign w:val="bottom"/>
          </w:tcPr>
          <w:p>
            <w:pPr>
              <w:ind w:left="240"/>
              <w:spacing w:after="0"/>
              <w:rPr>
                <w:sz w:val="20"/>
                <w:szCs w:val="20"/>
                <w:color w:val="auto"/>
              </w:rPr>
            </w:pPr>
            <w:r>
              <w:rPr>
                <w:rFonts w:ascii="Arial" w:cs="Arial" w:eastAsia="Arial" w:hAnsi="Arial"/>
                <w:sz w:val="16"/>
                <w:szCs w:val="16"/>
                <w:color w:val="auto"/>
              </w:rPr>
              <w:t>Nuclear decommissioning trusts</w:t>
            </w:r>
          </w:p>
        </w:tc>
        <w:tc>
          <w:tcPr>
            <w:tcW w:w="220" w:type="dxa"/>
            <w:vAlign w:val="bottom"/>
          </w:tcPr>
          <w:p>
            <w:pPr>
              <w:spacing w:after="0"/>
              <w:rPr>
                <w:sz w:val="18"/>
                <w:szCs w:val="18"/>
                <w:color w:val="auto"/>
              </w:rPr>
            </w:pPr>
          </w:p>
        </w:tc>
        <w:tc>
          <w:tcPr>
            <w:tcW w:w="1240" w:type="dxa"/>
            <w:vAlign w:val="bottom"/>
          </w:tcPr>
          <w:p>
            <w:pPr>
              <w:jc w:val="right"/>
              <w:ind w:right="40"/>
              <w:spacing w:after="0"/>
              <w:rPr>
                <w:sz w:val="20"/>
                <w:szCs w:val="20"/>
                <w:color w:val="auto"/>
              </w:rPr>
            </w:pPr>
            <w:r>
              <w:rPr>
                <w:rFonts w:ascii="Arial" w:cs="Arial" w:eastAsia="Arial" w:hAnsi="Arial"/>
                <w:sz w:val="16"/>
                <w:szCs w:val="16"/>
                <w:color w:val="auto"/>
              </w:rPr>
              <w:t>884</w:t>
            </w:r>
          </w:p>
        </w:tc>
        <w:tc>
          <w:tcPr>
            <w:tcW w:w="2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899</w:t>
            </w:r>
          </w:p>
        </w:tc>
      </w:tr>
      <w:tr>
        <w:trPr>
          <w:trHeight w:val="217"/>
        </w:trPr>
        <w:tc>
          <w:tcPr>
            <w:tcW w:w="8300" w:type="dxa"/>
            <w:vAlign w:val="bottom"/>
            <w:shd w:val="clear" w:color="auto" w:fill="D4F1F5"/>
          </w:tcPr>
          <w:p>
            <w:pPr>
              <w:ind w:left="240"/>
              <w:spacing w:after="0"/>
              <w:rPr>
                <w:sz w:val="20"/>
                <w:szCs w:val="20"/>
                <w:color w:val="auto"/>
              </w:rPr>
            </w:pPr>
            <w:r>
              <w:rPr>
                <w:rFonts w:ascii="Arial" w:cs="Arial" w:eastAsia="Arial" w:hAnsi="Arial"/>
                <w:sz w:val="16"/>
                <w:szCs w:val="16"/>
                <w:color w:val="auto"/>
              </w:rPr>
              <w:t>Dedicated assets in support of certain benefit plans</w:t>
            </w:r>
          </w:p>
        </w:tc>
        <w:tc>
          <w:tcPr>
            <w:tcW w:w="220" w:type="dxa"/>
            <w:vAlign w:val="bottom"/>
            <w:shd w:val="clear" w:color="auto" w:fill="D4F1F5"/>
          </w:tcPr>
          <w:p>
            <w:pPr>
              <w:spacing w:after="0"/>
              <w:rPr>
                <w:sz w:val="18"/>
                <w:szCs w:val="18"/>
                <w:color w:val="auto"/>
              </w:rPr>
            </w:pPr>
          </w:p>
        </w:tc>
        <w:tc>
          <w:tcPr>
            <w:tcW w:w="1240" w:type="dxa"/>
            <w:vAlign w:val="bottom"/>
            <w:shd w:val="clear" w:color="auto" w:fill="D4F1F5"/>
          </w:tcPr>
          <w:p>
            <w:pPr>
              <w:jc w:val="right"/>
              <w:ind w:right="40"/>
              <w:spacing w:after="0"/>
              <w:rPr>
                <w:sz w:val="20"/>
                <w:szCs w:val="20"/>
                <w:color w:val="auto"/>
              </w:rPr>
            </w:pPr>
            <w:r>
              <w:rPr>
                <w:rFonts w:ascii="Arial" w:cs="Arial" w:eastAsia="Arial" w:hAnsi="Arial"/>
                <w:sz w:val="16"/>
                <w:szCs w:val="16"/>
                <w:color w:val="auto"/>
              </w:rPr>
              <w:t>588</w:t>
            </w:r>
          </w:p>
        </w:tc>
        <w:tc>
          <w:tcPr>
            <w:tcW w:w="240" w:type="dxa"/>
            <w:vAlign w:val="bottom"/>
            <w:shd w:val="clear" w:color="auto" w:fill="D4F1F5"/>
          </w:tcPr>
          <w:p>
            <w:pPr>
              <w:spacing w:after="0"/>
              <w:rPr>
                <w:sz w:val="18"/>
                <w:szCs w:val="18"/>
                <w:color w:val="auto"/>
              </w:rPr>
            </w:pPr>
          </w:p>
        </w:tc>
        <w:tc>
          <w:tcPr>
            <w:tcW w:w="1240" w:type="dxa"/>
            <w:vAlign w:val="bottom"/>
            <w:shd w:val="clear" w:color="auto" w:fill="D4F1F5"/>
          </w:tcPr>
          <w:p>
            <w:pPr>
              <w:jc w:val="right"/>
              <w:spacing w:after="0"/>
              <w:rPr>
                <w:sz w:val="20"/>
                <w:szCs w:val="20"/>
                <w:color w:val="auto"/>
              </w:rPr>
            </w:pPr>
            <w:r>
              <w:rPr>
                <w:rFonts w:ascii="Arial" w:cs="Arial" w:eastAsia="Arial" w:hAnsi="Arial"/>
                <w:sz w:val="16"/>
                <w:szCs w:val="16"/>
                <w:color w:val="auto"/>
              </w:rPr>
              <w:t>605</w:t>
            </w:r>
          </w:p>
        </w:tc>
      </w:tr>
      <w:tr>
        <w:trPr>
          <w:trHeight w:val="215"/>
        </w:trPr>
        <w:tc>
          <w:tcPr>
            <w:tcW w:w="8300" w:type="dxa"/>
            <w:vAlign w:val="bottom"/>
          </w:tcPr>
          <w:p>
            <w:pPr>
              <w:ind w:left="240"/>
              <w:spacing w:after="0"/>
              <w:rPr>
                <w:sz w:val="20"/>
                <w:szCs w:val="20"/>
                <w:color w:val="auto"/>
              </w:rPr>
            </w:pPr>
            <w:r>
              <w:rPr>
                <w:rFonts w:ascii="Arial" w:cs="Arial" w:eastAsia="Arial" w:hAnsi="Arial"/>
                <w:sz w:val="16"/>
                <w:szCs w:val="16"/>
                <w:color w:val="auto"/>
              </w:rPr>
              <w:t>Deferred income taxes</w:t>
            </w:r>
          </w:p>
        </w:tc>
        <w:tc>
          <w:tcPr>
            <w:tcW w:w="220" w:type="dxa"/>
            <w:vAlign w:val="bottom"/>
          </w:tcPr>
          <w:p>
            <w:pPr>
              <w:spacing w:after="0"/>
              <w:rPr>
                <w:sz w:val="18"/>
                <w:szCs w:val="18"/>
                <w:color w:val="auto"/>
              </w:rPr>
            </w:pPr>
          </w:p>
        </w:tc>
        <w:tc>
          <w:tcPr>
            <w:tcW w:w="1240" w:type="dxa"/>
            <w:vAlign w:val="bottom"/>
          </w:tcPr>
          <w:p>
            <w:pPr>
              <w:jc w:val="right"/>
              <w:ind w:right="40"/>
              <w:spacing w:after="0"/>
              <w:rPr>
                <w:sz w:val="20"/>
                <w:szCs w:val="20"/>
                <w:color w:val="auto"/>
              </w:rPr>
            </w:pPr>
            <w:r>
              <w:rPr>
                <w:rFonts w:ascii="Arial" w:cs="Arial" w:eastAsia="Arial" w:hAnsi="Arial"/>
                <w:sz w:val="16"/>
                <w:szCs w:val="16"/>
                <w:color w:val="auto"/>
              </w:rPr>
              <w:t>10</w:t>
            </w:r>
          </w:p>
        </w:tc>
        <w:tc>
          <w:tcPr>
            <w:tcW w:w="2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10</w:t>
            </w:r>
          </w:p>
        </w:tc>
      </w:tr>
      <w:tr>
        <w:trPr>
          <w:trHeight w:val="217"/>
        </w:trPr>
        <w:tc>
          <w:tcPr>
            <w:tcW w:w="8300" w:type="dxa"/>
            <w:vAlign w:val="bottom"/>
            <w:shd w:val="clear" w:color="auto" w:fill="D4F1F5"/>
          </w:tcPr>
          <w:p>
            <w:pPr>
              <w:ind w:left="240"/>
              <w:spacing w:after="0"/>
              <w:rPr>
                <w:sz w:val="20"/>
                <w:szCs w:val="20"/>
                <w:color w:val="auto"/>
              </w:rPr>
            </w:pPr>
            <w:r>
              <w:rPr>
                <w:rFonts w:ascii="Arial" w:cs="Arial" w:eastAsia="Arial" w:hAnsi="Arial"/>
                <w:sz w:val="16"/>
                <w:szCs w:val="16"/>
                <w:color w:val="auto"/>
              </w:rPr>
              <w:t>Right-of-use assets – operating leases</w:t>
            </w:r>
          </w:p>
        </w:tc>
        <w:tc>
          <w:tcPr>
            <w:tcW w:w="220" w:type="dxa"/>
            <w:vAlign w:val="bottom"/>
            <w:shd w:val="clear" w:color="auto" w:fill="D4F1F5"/>
          </w:tcPr>
          <w:p>
            <w:pPr>
              <w:spacing w:after="0"/>
              <w:rPr>
                <w:sz w:val="18"/>
                <w:szCs w:val="18"/>
                <w:color w:val="auto"/>
              </w:rPr>
            </w:pPr>
          </w:p>
        </w:tc>
        <w:tc>
          <w:tcPr>
            <w:tcW w:w="1240" w:type="dxa"/>
            <w:vAlign w:val="bottom"/>
            <w:shd w:val="clear" w:color="auto" w:fill="D4F1F5"/>
          </w:tcPr>
          <w:p>
            <w:pPr>
              <w:jc w:val="right"/>
              <w:ind w:right="40"/>
              <w:spacing w:after="0"/>
              <w:rPr>
                <w:sz w:val="20"/>
                <w:szCs w:val="20"/>
                <w:color w:val="auto"/>
              </w:rPr>
            </w:pPr>
            <w:r>
              <w:rPr>
                <w:rFonts w:ascii="Arial" w:cs="Arial" w:eastAsia="Arial" w:hAnsi="Arial"/>
                <w:sz w:val="16"/>
                <w:szCs w:val="16"/>
                <w:color w:val="auto"/>
              </w:rPr>
              <w:t>1,297</w:t>
            </w:r>
          </w:p>
        </w:tc>
        <w:tc>
          <w:tcPr>
            <w:tcW w:w="240" w:type="dxa"/>
            <w:vAlign w:val="bottom"/>
            <w:shd w:val="clear" w:color="auto" w:fill="D4F1F5"/>
          </w:tcPr>
          <w:p>
            <w:pPr>
              <w:spacing w:after="0"/>
              <w:rPr>
                <w:sz w:val="18"/>
                <w:szCs w:val="18"/>
                <w:color w:val="auto"/>
              </w:rPr>
            </w:pPr>
          </w:p>
        </w:tc>
        <w:tc>
          <w:tcPr>
            <w:tcW w:w="1240" w:type="dxa"/>
            <w:vAlign w:val="bottom"/>
            <w:shd w:val="clear" w:color="auto" w:fill="D4F1F5"/>
          </w:tcPr>
          <w:p>
            <w:pPr>
              <w:jc w:val="right"/>
              <w:spacing w:after="0"/>
              <w:rPr>
                <w:sz w:val="20"/>
                <w:szCs w:val="20"/>
                <w:color w:val="auto"/>
              </w:rPr>
            </w:pPr>
            <w:r>
              <w:rPr>
                <w:rFonts w:ascii="Arial" w:cs="Arial" w:eastAsia="Arial" w:hAnsi="Arial"/>
                <w:sz w:val="16"/>
                <w:szCs w:val="16"/>
                <w:color w:val="auto"/>
              </w:rPr>
              <w:t>1,262</w:t>
            </w:r>
          </w:p>
        </w:tc>
      </w:tr>
      <w:tr>
        <w:trPr>
          <w:trHeight w:val="215"/>
        </w:trPr>
        <w:tc>
          <w:tcPr>
            <w:tcW w:w="8300" w:type="dxa"/>
            <w:vAlign w:val="bottom"/>
          </w:tcPr>
          <w:p>
            <w:pPr>
              <w:ind w:left="240"/>
              <w:spacing w:after="0"/>
              <w:rPr>
                <w:sz w:val="20"/>
                <w:szCs w:val="20"/>
                <w:color w:val="auto"/>
              </w:rPr>
            </w:pPr>
            <w:r>
              <w:rPr>
                <w:rFonts w:ascii="Arial" w:cs="Arial" w:eastAsia="Arial" w:hAnsi="Arial"/>
                <w:sz w:val="16"/>
                <w:szCs w:val="16"/>
                <w:color w:val="auto"/>
              </w:rPr>
              <w:t>Investment in Oncor Holdings</w:t>
            </w:r>
          </w:p>
        </w:tc>
        <w:tc>
          <w:tcPr>
            <w:tcW w:w="220" w:type="dxa"/>
            <w:vAlign w:val="bottom"/>
          </w:tcPr>
          <w:p>
            <w:pPr>
              <w:spacing w:after="0"/>
              <w:rPr>
                <w:sz w:val="18"/>
                <w:szCs w:val="18"/>
                <w:color w:val="auto"/>
              </w:rPr>
            </w:pPr>
          </w:p>
        </w:tc>
        <w:tc>
          <w:tcPr>
            <w:tcW w:w="1240" w:type="dxa"/>
            <w:vAlign w:val="bottom"/>
          </w:tcPr>
          <w:p>
            <w:pPr>
              <w:jc w:val="right"/>
              <w:ind w:right="40"/>
              <w:spacing w:after="0"/>
              <w:rPr>
                <w:sz w:val="20"/>
                <w:szCs w:val="20"/>
                <w:color w:val="auto"/>
              </w:rPr>
            </w:pPr>
            <w:r>
              <w:rPr>
                <w:rFonts w:ascii="Arial" w:cs="Arial" w:eastAsia="Arial" w:hAnsi="Arial"/>
                <w:sz w:val="16"/>
                <w:szCs w:val="16"/>
                <w:color w:val="auto"/>
              </w:rPr>
              <w:t>18,243</w:t>
            </w:r>
          </w:p>
        </w:tc>
        <w:tc>
          <w:tcPr>
            <w:tcW w:w="2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17,472</w:t>
            </w:r>
          </w:p>
        </w:tc>
      </w:tr>
      <w:tr>
        <w:trPr>
          <w:trHeight w:val="217"/>
        </w:trPr>
        <w:tc>
          <w:tcPr>
            <w:tcW w:w="8300" w:type="dxa"/>
            <w:vAlign w:val="bottom"/>
            <w:shd w:val="clear" w:color="auto" w:fill="D4F1F5"/>
          </w:tcPr>
          <w:p>
            <w:pPr>
              <w:ind w:left="240"/>
              <w:spacing w:after="0"/>
              <w:rPr>
                <w:sz w:val="20"/>
                <w:szCs w:val="20"/>
                <w:color w:val="auto"/>
              </w:rPr>
            </w:pPr>
            <w:r>
              <w:rPr>
                <w:rFonts w:ascii="Arial" w:cs="Arial" w:eastAsia="Arial" w:hAnsi="Arial"/>
                <w:sz w:val="16"/>
                <w:szCs w:val="16"/>
                <w:color w:val="auto"/>
              </w:rPr>
              <w:t>Other investments</w:t>
            </w:r>
          </w:p>
        </w:tc>
        <w:tc>
          <w:tcPr>
            <w:tcW w:w="220" w:type="dxa"/>
            <w:vAlign w:val="bottom"/>
            <w:shd w:val="clear" w:color="auto" w:fill="D4F1F5"/>
          </w:tcPr>
          <w:p>
            <w:pPr>
              <w:spacing w:after="0"/>
              <w:rPr>
                <w:sz w:val="18"/>
                <w:szCs w:val="18"/>
                <w:color w:val="auto"/>
              </w:rPr>
            </w:pPr>
          </w:p>
        </w:tc>
        <w:tc>
          <w:tcPr>
            <w:tcW w:w="1240" w:type="dxa"/>
            <w:vAlign w:val="bottom"/>
            <w:shd w:val="clear" w:color="auto" w:fill="D4F1F5"/>
          </w:tcPr>
          <w:p>
            <w:pPr>
              <w:jc w:val="right"/>
              <w:ind w:right="40"/>
              <w:spacing w:after="0"/>
              <w:rPr>
                <w:sz w:val="20"/>
                <w:szCs w:val="20"/>
                <w:color w:val="auto"/>
              </w:rPr>
            </w:pPr>
            <w:r>
              <w:rPr>
                <w:rFonts w:ascii="Arial" w:cs="Arial" w:eastAsia="Arial" w:hAnsi="Arial"/>
                <w:sz w:val="16"/>
                <w:szCs w:val="16"/>
                <w:color w:val="auto"/>
              </w:rPr>
              <w:t>148</w:t>
            </w:r>
          </w:p>
        </w:tc>
        <w:tc>
          <w:tcPr>
            <w:tcW w:w="240" w:type="dxa"/>
            <w:vAlign w:val="bottom"/>
            <w:shd w:val="clear" w:color="auto" w:fill="D4F1F5"/>
          </w:tcPr>
          <w:p>
            <w:pPr>
              <w:spacing w:after="0"/>
              <w:rPr>
                <w:sz w:val="18"/>
                <w:szCs w:val="18"/>
                <w:color w:val="auto"/>
              </w:rPr>
            </w:pPr>
          </w:p>
        </w:tc>
        <w:tc>
          <w:tcPr>
            <w:tcW w:w="1240" w:type="dxa"/>
            <w:vAlign w:val="bottom"/>
            <w:shd w:val="clear" w:color="auto" w:fill="D4F1F5"/>
          </w:tcPr>
          <w:p>
            <w:pPr>
              <w:jc w:val="right"/>
              <w:spacing w:after="0"/>
              <w:rPr>
                <w:sz w:val="20"/>
                <w:szCs w:val="20"/>
                <w:color w:val="auto"/>
              </w:rPr>
            </w:pPr>
            <w:r>
              <w:rPr>
                <w:rFonts w:ascii="Arial" w:cs="Arial" w:eastAsia="Arial" w:hAnsi="Arial"/>
                <w:sz w:val="16"/>
                <w:szCs w:val="16"/>
                <w:color w:val="auto"/>
              </w:rPr>
              <w:t>147</w:t>
            </w:r>
          </w:p>
        </w:tc>
      </w:tr>
      <w:tr>
        <w:trPr>
          <w:trHeight w:val="215"/>
        </w:trPr>
        <w:tc>
          <w:tcPr>
            <w:tcW w:w="8300" w:type="dxa"/>
            <w:vAlign w:val="bottom"/>
          </w:tcPr>
          <w:p>
            <w:pPr>
              <w:ind w:left="240"/>
              <w:spacing w:after="0"/>
              <w:rPr>
                <w:sz w:val="20"/>
                <w:szCs w:val="20"/>
                <w:color w:val="auto"/>
              </w:rPr>
            </w:pPr>
            <w:r>
              <w:rPr>
                <w:rFonts w:ascii="Arial" w:cs="Arial" w:eastAsia="Arial" w:hAnsi="Arial"/>
                <w:sz w:val="16"/>
                <w:szCs w:val="16"/>
                <w:color w:val="auto"/>
              </w:rPr>
              <w:t>Wildfire fund</w:t>
            </w:r>
          </w:p>
        </w:tc>
        <w:tc>
          <w:tcPr>
            <w:tcW w:w="220" w:type="dxa"/>
            <w:vAlign w:val="bottom"/>
          </w:tcPr>
          <w:p>
            <w:pPr>
              <w:spacing w:after="0"/>
              <w:rPr>
                <w:sz w:val="18"/>
                <w:szCs w:val="18"/>
                <w:color w:val="auto"/>
              </w:rPr>
            </w:pPr>
          </w:p>
        </w:tc>
        <w:tc>
          <w:tcPr>
            <w:tcW w:w="1240" w:type="dxa"/>
            <w:vAlign w:val="bottom"/>
          </w:tcPr>
          <w:p>
            <w:pPr>
              <w:jc w:val="right"/>
              <w:ind w:right="40"/>
              <w:spacing w:after="0"/>
              <w:rPr>
                <w:sz w:val="20"/>
                <w:szCs w:val="20"/>
                <w:color w:val="auto"/>
              </w:rPr>
            </w:pPr>
            <w:r>
              <w:rPr>
                <w:rFonts w:ascii="Arial" w:cs="Arial" w:eastAsia="Arial" w:hAnsi="Arial"/>
                <w:sz w:val="16"/>
                <w:szCs w:val="16"/>
                <w:color w:val="auto"/>
              </w:rPr>
              <w:t>240</w:t>
            </w:r>
          </w:p>
        </w:tc>
        <w:tc>
          <w:tcPr>
            <w:tcW w:w="2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246</w:t>
            </w:r>
          </w:p>
        </w:tc>
      </w:tr>
      <w:tr>
        <w:trPr>
          <w:trHeight w:val="217"/>
        </w:trPr>
        <w:tc>
          <w:tcPr>
            <w:tcW w:w="8300" w:type="dxa"/>
            <w:vAlign w:val="bottom"/>
            <w:shd w:val="clear" w:color="auto" w:fill="D4F1F5"/>
          </w:tcPr>
          <w:p>
            <w:pPr>
              <w:ind w:left="240"/>
              <w:spacing w:after="0"/>
              <w:rPr>
                <w:sz w:val="20"/>
                <w:szCs w:val="20"/>
                <w:color w:val="auto"/>
              </w:rPr>
            </w:pPr>
            <w:r>
              <w:rPr>
                <w:rFonts w:ascii="Arial" w:cs="Arial" w:eastAsia="Arial" w:hAnsi="Arial"/>
                <w:sz w:val="16"/>
                <w:szCs w:val="16"/>
                <w:color w:val="auto"/>
              </w:rPr>
              <w:t>Other long-term assets</w:t>
            </w:r>
          </w:p>
        </w:tc>
        <w:tc>
          <w:tcPr>
            <w:tcW w:w="220" w:type="dxa"/>
            <w:vAlign w:val="bottom"/>
            <w:tcBorders>
              <w:bottom w:val="single" w:sz="8" w:color="auto"/>
            </w:tcBorders>
            <w:shd w:val="clear" w:color="auto" w:fill="D4F1F5"/>
          </w:tcPr>
          <w:p>
            <w:pPr>
              <w:spacing w:after="0"/>
              <w:rPr>
                <w:sz w:val="18"/>
                <w:szCs w:val="18"/>
                <w:color w:val="auto"/>
              </w:rPr>
            </w:pPr>
          </w:p>
        </w:tc>
        <w:tc>
          <w:tcPr>
            <w:tcW w:w="1240" w:type="dxa"/>
            <w:vAlign w:val="bottom"/>
            <w:tcBorders>
              <w:bottom w:val="single" w:sz="8" w:color="auto"/>
            </w:tcBorders>
            <w:shd w:val="clear" w:color="auto" w:fill="D4F1F5"/>
          </w:tcPr>
          <w:p>
            <w:pPr>
              <w:jc w:val="right"/>
              <w:ind w:right="40"/>
              <w:spacing w:after="0"/>
              <w:rPr>
                <w:sz w:val="20"/>
                <w:szCs w:val="20"/>
                <w:color w:val="auto"/>
              </w:rPr>
            </w:pPr>
            <w:r>
              <w:rPr>
                <w:rFonts w:ascii="Arial" w:cs="Arial" w:eastAsia="Arial" w:hAnsi="Arial"/>
                <w:sz w:val="16"/>
                <w:szCs w:val="16"/>
                <w:color w:val="auto"/>
              </w:rPr>
              <w:t>1,261</w:t>
            </w:r>
          </w:p>
        </w:tc>
        <w:tc>
          <w:tcPr>
            <w:tcW w:w="240" w:type="dxa"/>
            <w:vAlign w:val="bottom"/>
            <w:tcBorders>
              <w:bottom w:val="single" w:sz="8" w:color="auto"/>
            </w:tcBorders>
            <w:shd w:val="clear" w:color="auto" w:fill="D4F1F5"/>
          </w:tcPr>
          <w:p>
            <w:pPr>
              <w:spacing w:after="0"/>
              <w:rPr>
                <w:sz w:val="18"/>
                <w:szCs w:val="18"/>
                <w:color w:val="auto"/>
              </w:rPr>
            </w:pPr>
          </w:p>
        </w:tc>
        <w:tc>
          <w:tcPr>
            <w:tcW w:w="1240" w:type="dxa"/>
            <w:vAlign w:val="bottom"/>
            <w:tcBorders>
              <w:bottom w:val="single" w:sz="8" w:color="auto"/>
            </w:tcBorders>
            <w:shd w:val="clear" w:color="auto" w:fill="D4F1F5"/>
          </w:tcPr>
          <w:p>
            <w:pPr>
              <w:jc w:val="right"/>
              <w:spacing w:after="0"/>
              <w:rPr>
                <w:sz w:val="20"/>
                <w:szCs w:val="20"/>
                <w:color w:val="auto"/>
              </w:rPr>
            </w:pPr>
            <w:r>
              <w:rPr>
                <w:rFonts w:ascii="Arial" w:cs="Arial" w:eastAsia="Arial" w:hAnsi="Arial"/>
                <w:sz w:val="16"/>
                <w:szCs w:val="16"/>
                <w:color w:val="auto"/>
              </w:rPr>
              <w:t>1,300</w:t>
            </w:r>
          </w:p>
        </w:tc>
      </w:tr>
      <w:tr>
        <w:trPr>
          <w:trHeight w:val="209"/>
        </w:trPr>
        <w:tc>
          <w:tcPr>
            <w:tcW w:w="8300" w:type="dxa"/>
            <w:vAlign w:val="bottom"/>
            <w:tcBorders>
              <w:bottom w:val="single" w:sz="8" w:color="D4F1F5"/>
            </w:tcBorders>
          </w:tcPr>
          <w:p>
            <w:pPr>
              <w:ind w:left="460"/>
              <w:spacing w:after="0"/>
              <w:rPr>
                <w:sz w:val="20"/>
                <w:szCs w:val="20"/>
                <w:color w:val="auto"/>
              </w:rPr>
            </w:pPr>
            <w:r>
              <w:rPr>
                <w:rFonts w:ascii="Arial" w:cs="Arial" w:eastAsia="Arial" w:hAnsi="Arial"/>
                <w:sz w:val="16"/>
                <w:szCs w:val="16"/>
                <w:color w:val="auto"/>
              </w:rPr>
              <w:t>Total other assets</w:t>
            </w:r>
          </w:p>
        </w:tc>
        <w:tc>
          <w:tcPr>
            <w:tcW w:w="2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28,126</w:t>
            </w:r>
          </w:p>
        </w:tc>
        <w:tc>
          <w:tcPr>
            <w:tcW w:w="2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27,030</w:t>
            </w:r>
          </w:p>
        </w:tc>
      </w:tr>
      <w:tr>
        <w:trPr>
          <w:trHeight w:val="197"/>
        </w:trPr>
        <w:tc>
          <w:tcPr>
            <w:tcW w:w="8300" w:type="dxa"/>
            <w:vAlign w:val="bottom"/>
            <w:shd w:val="clear" w:color="auto" w:fill="D4F1F5"/>
          </w:tcPr>
          <w:p>
            <w:pPr>
              <w:spacing w:after="0"/>
              <w:rPr>
                <w:sz w:val="17"/>
                <w:szCs w:val="17"/>
                <w:color w:val="auto"/>
              </w:rPr>
            </w:pPr>
          </w:p>
        </w:tc>
        <w:tc>
          <w:tcPr>
            <w:tcW w:w="220" w:type="dxa"/>
            <w:vAlign w:val="bottom"/>
            <w:shd w:val="clear" w:color="auto" w:fill="D4F1F5"/>
          </w:tcPr>
          <w:p>
            <w:pPr>
              <w:spacing w:after="0"/>
              <w:rPr>
                <w:sz w:val="17"/>
                <w:szCs w:val="17"/>
                <w:color w:val="auto"/>
              </w:rPr>
            </w:pPr>
          </w:p>
        </w:tc>
        <w:tc>
          <w:tcPr>
            <w:tcW w:w="1240" w:type="dxa"/>
            <w:vAlign w:val="bottom"/>
            <w:shd w:val="clear" w:color="auto" w:fill="D4F1F5"/>
          </w:tcPr>
          <w:p>
            <w:pPr>
              <w:spacing w:after="0"/>
              <w:rPr>
                <w:sz w:val="17"/>
                <w:szCs w:val="17"/>
                <w:color w:val="auto"/>
              </w:rPr>
            </w:pPr>
          </w:p>
        </w:tc>
        <w:tc>
          <w:tcPr>
            <w:tcW w:w="240" w:type="dxa"/>
            <w:vAlign w:val="bottom"/>
            <w:shd w:val="clear" w:color="auto" w:fill="D4F1F5"/>
          </w:tcPr>
          <w:p>
            <w:pPr>
              <w:spacing w:after="0"/>
              <w:rPr>
                <w:sz w:val="17"/>
                <w:szCs w:val="17"/>
                <w:color w:val="auto"/>
              </w:rPr>
            </w:pPr>
          </w:p>
        </w:tc>
        <w:tc>
          <w:tcPr>
            <w:tcW w:w="1240" w:type="dxa"/>
            <w:vAlign w:val="bottom"/>
            <w:shd w:val="clear" w:color="auto" w:fill="D4F1F5"/>
          </w:tcPr>
          <w:p>
            <w:pPr>
              <w:spacing w:after="0"/>
              <w:rPr>
                <w:sz w:val="17"/>
                <w:szCs w:val="17"/>
                <w:color w:val="auto"/>
              </w:rPr>
            </w:pPr>
          </w:p>
        </w:tc>
      </w:tr>
      <w:tr>
        <w:trPr>
          <w:trHeight w:val="215"/>
        </w:trPr>
        <w:tc>
          <w:tcPr>
            <w:tcW w:w="8300" w:type="dxa"/>
            <w:vAlign w:val="bottom"/>
          </w:tcPr>
          <w:p>
            <w:pPr>
              <w:ind w:left="20"/>
              <w:spacing w:after="0"/>
              <w:rPr>
                <w:sz w:val="20"/>
                <w:szCs w:val="20"/>
                <w:color w:val="auto"/>
              </w:rPr>
            </w:pPr>
            <w:r>
              <w:rPr>
                <w:rFonts w:ascii="Arial" w:cs="Arial" w:eastAsia="Arial" w:hAnsi="Arial"/>
                <w:sz w:val="16"/>
                <w:szCs w:val="16"/>
                <w:color w:val="auto"/>
              </w:rPr>
              <w:t>Property, plant and equipment:</w:t>
            </w: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17"/>
        </w:trPr>
        <w:tc>
          <w:tcPr>
            <w:tcW w:w="8300" w:type="dxa"/>
            <w:vAlign w:val="bottom"/>
            <w:shd w:val="clear" w:color="auto" w:fill="D4F1F5"/>
          </w:tcPr>
          <w:p>
            <w:pPr>
              <w:ind w:left="240"/>
              <w:spacing w:after="0"/>
              <w:rPr>
                <w:sz w:val="20"/>
                <w:szCs w:val="20"/>
                <w:color w:val="auto"/>
              </w:rPr>
            </w:pPr>
            <w:r>
              <w:rPr>
                <w:rFonts w:ascii="Arial" w:cs="Arial" w:eastAsia="Arial" w:hAnsi="Arial"/>
                <w:sz w:val="16"/>
                <w:szCs w:val="16"/>
                <w:color w:val="auto"/>
              </w:rPr>
              <w:t>Property, plant and equipment</w:t>
            </w:r>
          </w:p>
        </w:tc>
        <w:tc>
          <w:tcPr>
            <w:tcW w:w="220" w:type="dxa"/>
            <w:vAlign w:val="bottom"/>
            <w:shd w:val="clear" w:color="auto" w:fill="D4F1F5"/>
          </w:tcPr>
          <w:p>
            <w:pPr>
              <w:spacing w:after="0"/>
              <w:rPr>
                <w:sz w:val="18"/>
                <w:szCs w:val="18"/>
                <w:color w:val="auto"/>
              </w:rPr>
            </w:pPr>
          </w:p>
        </w:tc>
        <w:tc>
          <w:tcPr>
            <w:tcW w:w="1240" w:type="dxa"/>
            <w:vAlign w:val="bottom"/>
            <w:shd w:val="clear" w:color="auto" w:fill="D4F1F5"/>
          </w:tcPr>
          <w:p>
            <w:pPr>
              <w:jc w:val="right"/>
              <w:ind w:right="40"/>
              <w:spacing w:after="0"/>
              <w:rPr>
                <w:sz w:val="20"/>
                <w:szCs w:val="20"/>
                <w:color w:val="auto"/>
              </w:rPr>
            </w:pPr>
            <w:r>
              <w:rPr>
                <w:rFonts w:ascii="Arial" w:cs="Arial" w:eastAsia="Arial" w:hAnsi="Arial"/>
                <w:sz w:val="16"/>
                <w:szCs w:val="16"/>
                <w:color w:val="auto"/>
              </w:rPr>
              <w:t>67,477</w:t>
            </w:r>
          </w:p>
        </w:tc>
        <w:tc>
          <w:tcPr>
            <w:tcW w:w="240" w:type="dxa"/>
            <w:vAlign w:val="bottom"/>
            <w:shd w:val="clear" w:color="auto" w:fill="D4F1F5"/>
          </w:tcPr>
          <w:p>
            <w:pPr>
              <w:spacing w:after="0"/>
              <w:rPr>
                <w:sz w:val="18"/>
                <w:szCs w:val="18"/>
                <w:color w:val="auto"/>
              </w:rPr>
            </w:pPr>
          </w:p>
        </w:tc>
        <w:tc>
          <w:tcPr>
            <w:tcW w:w="1240" w:type="dxa"/>
            <w:vAlign w:val="bottom"/>
            <w:shd w:val="clear" w:color="auto" w:fill="D4F1F5"/>
          </w:tcPr>
          <w:p>
            <w:pPr>
              <w:jc w:val="right"/>
              <w:spacing w:after="0"/>
              <w:rPr>
                <w:sz w:val="20"/>
                <w:szCs w:val="20"/>
                <w:color w:val="auto"/>
              </w:rPr>
            </w:pPr>
            <w:r>
              <w:rPr>
                <w:rFonts w:ascii="Arial" w:cs="Arial" w:eastAsia="Arial" w:hAnsi="Arial"/>
                <w:sz w:val="16"/>
                <w:szCs w:val="16"/>
                <w:color w:val="auto"/>
              </w:rPr>
              <w:t>66,900</w:t>
            </w:r>
          </w:p>
        </w:tc>
      </w:tr>
      <w:tr>
        <w:trPr>
          <w:trHeight w:val="215"/>
        </w:trPr>
        <w:tc>
          <w:tcPr>
            <w:tcW w:w="8300" w:type="dxa"/>
            <w:vAlign w:val="bottom"/>
            <w:tcBorders>
              <w:bottom w:val="single" w:sz="8" w:color="D4F1F5"/>
            </w:tcBorders>
          </w:tcPr>
          <w:p>
            <w:pPr>
              <w:ind w:left="240"/>
              <w:spacing w:after="0"/>
              <w:rPr>
                <w:sz w:val="20"/>
                <w:szCs w:val="20"/>
                <w:color w:val="auto"/>
              </w:rPr>
            </w:pPr>
            <w:r>
              <w:rPr>
                <w:rFonts w:ascii="Arial" w:cs="Arial" w:eastAsia="Arial" w:hAnsi="Arial"/>
                <w:sz w:val="16"/>
                <w:szCs w:val="16"/>
                <w:color w:val="auto"/>
              </w:rPr>
              <w:t>Less accumulated depreciation and amortization</w:t>
            </w:r>
          </w:p>
        </w:tc>
        <w:tc>
          <w:tcPr>
            <w:tcW w:w="2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(18,288)</w:t>
            </w:r>
          </w:p>
        </w:tc>
        <w:tc>
          <w:tcPr>
            <w:tcW w:w="2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(17,889)</w:t>
            </w:r>
          </w:p>
        </w:tc>
      </w:tr>
      <w:tr>
        <w:trPr>
          <w:trHeight w:val="210"/>
        </w:trPr>
        <w:tc>
          <w:tcPr>
            <w:tcW w:w="8300" w:type="dxa"/>
            <w:vAlign w:val="bottom"/>
            <w:shd w:val="clear" w:color="auto" w:fill="D4F1F5"/>
          </w:tcPr>
          <w:p>
            <w:pPr>
              <w:ind w:left="460"/>
              <w:spacing w:after="0"/>
              <w:rPr>
                <w:sz w:val="20"/>
                <w:szCs w:val="20"/>
                <w:color w:val="auto"/>
              </w:rPr>
            </w:pPr>
            <w:r>
              <w:rPr>
                <w:rFonts w:ascii="Arial" w:cs="Arial" w:eastAsia="Arial" w:hAnsi="Arial"/>
                <w:sz w:val="16"/>
                <w:szCs w:val="16"/>
                <w:color w:val="auto"/>
              </w:rPr>
              <w:t>Property, plant and equipment, net</w:t>
            </w:r>
          </w:p>
        </w:tc>
        <w:tc>
          <w:tcPr>
            <w:tcW w:w="220" w:type="dxa"/>
            <w:vAlign w:val="bottom"/>
            <w:tcBorders>
              <w:bottom w:val="single" w:sz="8" w:color="auto"/>
            </w:tcBorders>
            <w:shd w:val="clear" w:color="auto" w:fill="D4F1F5"/>
          </w:tcPr>
          <w:p>
            <w:pPr>
              <w:spacing w:after="0"/>
              <w:rPr>
                <w:sz w:val="18"/>
                <w:szCs w:val="18"/>
                <w:color w:val="auto"/>
              </w:rPr>
            </w:pPr>
          </w:p>
        </w:tc>
        <w:tc>
          <w:tcPr>
            <w:tcW w:w="1240" w:type="dxa"/>
            <w:vAlign w:val="bottom"/>
            <w:tcBorders>
              <w:bottom w:val="single" w:sz="8" w:color="auto"/>
            </w:tcBorders>
            <w:shd w:val="clear" w:color="auto" w:fill="D4F1F5"/>
          </w:tcPr>
          <w:p>
            <w:pPr>
              <w:jc w:val="right"/>
              <w:ind w:right="40"/>
              <w:spacing w:after="0"/>
              <w:rPr>
                <w:sz w:val="20"/>
                <w:szCs w:val="20"/>
                <w:color w:val="auto"/>
              </w:rPr>
            </w:pPr>
            <w:r>
              <w:rPr>
                <w:rFonts w:ascii="Arial" w:cs="Arial" w:eastAsia="Arial" w:hAnsi="Arial"/>
                <w:sz w:val="16"/>
                <w:szCs w:val="16"/>
                <w:color w:val="auto"/>
              </w:rPr>
              <w:t>49,189</w:t>
            </w:r>
          </w:p>
        </w:tc>
        <w:tc>
          <w:tcPr>
            <w:tcW w:w="240" w:type="dxa"/>
            <w:vAlign w:val="bottom"/>
            <w:tcBorders>
              <w:bottom w:val="single" w:sz="8" w:color="auto"/>
            </w:tcBorders>
            <w:shd w:val="clear" w:color="auto" w:fill="D4F1F5"/>
          </w:tcPr>
          <w:p>
            <w:pPr>
              <w:spacing w:after="0"/>
              <w:rPr>
                <w:sz w:val="18"/>
                <w:szCs w:val="18"/>
                <w:color w:val="auto"/>
              </w:rPr>
            </w:pPr>
          </w:p>
        </w:tc>
        <w:tc>
          <w:tcPr>
            <w:tcW w:w="1240" w:type="dxa"/>
            <w:vAlign w:val="bottom"/>
            <w:tcBorders>
              <w:bottom w:val="single" w:sz="8" w:color="auto"/>
            </w:tcBorders>
            <w:shd w:val="clear" w:color="auto" w:fill="D4F1F5"/>
          </w:tcPr>
          <w:p>
            <w:pPr>
              <w:jc w:val="right"/>
              <w:spacing w:after="0"/>
              <w:rPr>
                <w:sz w:val="20"/>
                <w:szCs w:val="20"/>
                <w:color w:val="auto"/>
              </w:rPr>
            </w:pPr>
            <w:r>
              <w:rPr>
                <w:rFonts w:ascii="Arial" w:cs="Arial" w:eastAsia="Arial" w:hAnsi="Arial"/>
                <w:sz w:val="16"/>
                <w:szCs w:val="16"/>
                <w:color w:val="auto"/>
              </w:rPr>
              <w:t>49,011</w:t>
            </w:r>
          </w:p>
        </w:tc>
      </w:tr>
      <w:tr>
        <w:trPr>
          <w:trHeight w:val="216"/>
        </w:trPr>
        <w:tc>
          <w:tcPr>
            <w:tcW w:w="83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Total assets</w:t>
            </w: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113,518</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110,878</w:t>
            </w:r>
          </w:p>
        </w:tc>
      </w:tr>
    </w:tbl>
    <w:p>
      <w:pPr>
        <w:spacing w:after="0" w:line="59" w:lineRule="exact"/>
        <w:rPr>
          <w:sz w:val="20"/>
          <w:szCs w:val="20"/>
          <w:color w:val="auto"/>
        </w:rPr>
      </w:pPr>
    </w:p>
    <w:p>
      <w:pPr>
        <w:spacing w:after="0"/>
        <w:tabs>
          <w:tab w:leader="none" w:pos="240" w:val="left"/>
        </w:tabs>
        <w:rPr>
          <w:sz w:val="20"/>
          <w:szCs w:val="20"/>
          <w:color w:val="auto"/>
        </w:rPr>
      </w:pPr>
      <w:r>
        <w:rPr>
          <w:rFonts w:ascii="Arial" w:cs="Arial" w:eastAsia="Arial" w:hAnsi="Arial"/>
          <w:sz w:val="21"/>
          <w:szCs w:val="21"/>
          <w:i w:val="1"/>
          <w:iCs w:val="1"/>
          <w:color w:val="auto"/>
          <w:vertAlign w:val="superscript"/>
        </w:rPr>
        <w:t>(1)</w:t>
      </w:r>
      <w:r>
        <w:rPr>
          <w:sz w:val="20"/>
          <w:szCs w:val="20"/>
          <w:color w:val="auto"/>
        </w:rPr>
        <w:tab/>
      </w:r>
      <w:r>
        <w:rPr>
          <w:rFonts w:ascii="Arial" w:cs="Arial" w:eastAsia="Arial" w:hAnsi="Arial"/>
          <w:sz w:val="14"/>
          <w:szCs w:val="14"/>
          <w:i w:val="1"/>
          <w:iCs w:val="1"/>
          <w:color w:val="auto"/>
        </w:rPr>
        <w:t>Derived from audited financial statements.</w:t>
      </w:r>
    </w:p>
    <w:p>
      <w:pPr>
        <w:spacing w:after="0" w:line="55"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See Notes to Condensed Consolidated Financial Statements.</w:t>
      </w: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150495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480060</wp:posOffset>
            </wp:positionV>
            <wp:extent cx="7132320" cy="45466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4546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FFFFFF"/>
        </w:rPr>
        <w:t>SEMPRA</w:t>
      </w:r>
    </w:p>
    <w:p>
      <w:pPr>
        <w:spacing w:after="0" w:line="59"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FFFFFF"/>
        </w:rPr>
        <w:t>CONDENSED CONSOLIDATED BALANCE SHEETS (CONTINUED)</w:t>
      </w:r>
    </w:p>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8300" w:type="dxa"/>
            <w:vAlign w:val="bottom"/>
          </w:tcPr>
          <w:p>
            <w:pPr>
              <w:ind w:left="20"/>
              <w:spacing w:after="0"/>
              <w:rPr>
                <w:sz w:val="20"/>
                <w:szCs w:val="20"/>
                <w:color w:val="auto"/>
              </w:rPr>
            </w:pPr>
            <w:r>
              <w:rPr>
                <w:rFonts w:ascii="Arial" w:cs="Arial" w:eastAsia="Arial" w:hAnsi="Arial"/>
                <w:sz w:val="14"/>
                <w:szCs w:val="14"/>
                <w:i w:val="1"/>
                <w:iCs w:val="1"/>
                <w:color w:val="FFFFFF"/>
              </w:rPr>
              <w:t>(Dollars in millions)</w:t>
            </w:r>
          </w:p>
        </w:tc>
        <w:tc>
          <w:tcPr>
            <w:tcW w:w="2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8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jc w:val="center"/>
              <w:ind w:right="200"/>
              <w:spacing w:after="0"/>
              <w:rPr>
                <w:sz w:val="20"/>
                <w:szCs w:val="20"/>
                <w:color w:val="auto"/>
              </w:rPr>
            </w:pPr>
            <w:r>
              <w:rPr>
                <w:rFonts w:ascii="Arial" w:cs="Arial" w:eastAsia="Arial" w:hAnsi="Arial"/>
                <w:sz w:val="14"/>
                <w:szCs w:val="14"/>
                <w:color w:val="auto"/>
              </w:rPr>
              <w:t>March 31,</w:t>
            </w:r>
          </w:p>
        </w:tc>
        <w:tc>
          <w:tcPr>
            <w:tcW w:w="240" w:type="dxa"/>
            <w:vAlign w:val="bottom"/>
          </w:tcPr>
          <w:p>
            <w:pPr>
              <w:spacing w:after="0"/>
              <w:rPr>
                <w:sz w:val="19"/>
                <w:szCs w:val="19"/>
                <w:color w:val="auto"/>
              </w:rPr>
            </w:pPr>
          </w:p>
        </w:tc>
        <w:tc>
          <w:tcPr>
            <w:tcW w:w="1240" w:type="dxa"/>
            <w:vAlign w:val="bottom"/>
          </w:tcPr>
          <w:p>
            <w:pPr>
              <w:jc w:val="right"/>
              <w:ind w:right="180"/>
              <w:spacing w:after="0"/>
              <w:rPr>
                <w:sz w:val="20"/>
                <w:szCs w:val="20"/>
                <w:color w:val="auto"/>
              </w:rPr>
            </w:pPr>
            <w:r>
              <w:rPr>
                <w:rFonts w:ascii="Arial" w:cs="Arial" w:eastAsia="Arial" w:hAnsi="Arial"/>
                <w:sz w:val="14"/>
                <w:szCs w:val="14"/>
                <w:color w:val="auto"/>
              </w:rPr>
              <w:t>December 31,</w:t>
            </w:r>
          </w:p>
        </w:tc>
        <w:tc>
          <w:tcPr>
            <w:tcW w:w="0" w:type="dxa"/>
            <w:vAlign w:val="bottom"/>
          </w:tcPr>
          <w:p>
            <w:pPr>
              <w:spacing w:after="0"/>
              <w:rPr>
                <w:sz w:val="1"/>
                <w:szCs w:val="1"/>
                <w:color w:val="auto"/>
              </w:rPr>
            </w:pPr>
          </w:p>
        </w:tc>
      </w:tr>
      <w:tr>
        <w:trPr>
          <w:trHeight w:val="224"/>
        </w:trPr>
        <w:tc>
          <w:tcPr>
            <w:tcW w:w="83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center"/>
              <w:ind w:right="200"/>
              <w:spacing w:after="0"/>
              <w:rPr>
                <w:sz w:val="20"/>
                <w:szCs w:val="20"/>
                <w:color w:val="auto"/>
              </w:rPr>
            </w:pPr>
            <w:r>
              <w:rPr>
                <w:rFonts w:ascii="Arial" w:cs="Arial" w:eastAsia="Arial" w:hAnsi="Arial"/>
                <w:sz w:val="14"/>
                <w:szCs w:val="14"/>
                <w:color w:val="auto"/>
              </w:rPr>
              <w:t>2026</w:t>
            </w:r>
          </w:p>
        </w:tc>
        <w:tc>
          <w:tcPr>
            <w:tcW w:w="2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420"/>
              <w:spacing w:after="0"/>
              <w:rPr>
                <w:sz w:val="20"/>
                <w:szCs w:val="20"/>
                <w:color w:val="auto"/>
              </w:rPr>
            </w:pPr>
            <w:r>
              <w:rPr>
                <w:rFonts w:ascii="Arial" w:cs="Arial" w:eastAsia="Arial" w:hAnsi="Arial"/>
                <w:sz w:val="14"/>
                <w:szCs w:val="14"/>
                <w:color w:val="auto"/>
              </w:rPr>
              <w:t>2025</w:t>
            </w:r>
            <w:r>
              <w:rPr>
                <w:rFonts w:ascii="Arial" w:cs="Arial" w:eastAsia="Arial" w:hAnsi="Arial"/>
                <w:sz w:val="18"/>
                <w:szCs w:val="18"/>
                <w:color w:val="auto"/>
                <w:vertAlign w:val="superscript"/>
              </w:rPr>
              <w:t>(1)</w:t>
            </w:r>
          </w:p>
        </w:tc>
        <w:tc>
          <w:tcPr>
            <w:tcW w:w="0" w:type="dxa"/>
            <w:vAlign w:val="bottom"/>
          </w:tcPr>
          <w:p>
            <w:pPr>
              <w:spacing w:after="0"/>
              <w:rPr>
                <w:sz w:val="1"/>
                <w:szCs w:val="1"/>
                <w:color w:val="auto"/>
              </w:rPr>
            </w:pPr>
          </w:p>
        </w:tc>
      </w:tr>
      <w:tr>
        <w:trPr>
          <w:trHeight w:val="210"/>
        </w:trPr>
        <w:tc>
          <w:tcPr>
            <w:tcW w:w="8300" w:type="dxa"/>
            <w:vAlign w:val="bottom"/>
            <w:shd w:val="clear" w:color="auto" w:fill="D4F1F5"/>
          </w:tcPr>
          <w:p>
            <w:pPr>
              <w:spacing w:after="0"/>
              <w:rPr>
                <w:sz w:val="18"/>
                <w:szCs w:val="18"/>
                <w:color w:val="auto"/>
              </w:rPr>
            </w:pPr>
          </w:p>
        </w:tc>
        <w:tc>
          <w:tcPr>
            <w:tcW w:w="220" w:type="dxa"/>
            <w:vAlign w:val="bottom"/>
            <w:shd w:val="clear" w:color="auto" w:fill="D4F1F5"/>
          </w:tcPr>
          <w:p>
            <w:pPr>
              <w:spacing w:after="0"/>
              <w:rPr>
                <w:sz w:val="18"/>
                <w:szCs w:val="18"/>
                <w:color w:val="auto"/>
              </w:rPr>
            </w:pPr>
          </w:p>
        </w:tc>
        <w:tc>
          <w:tcPr>
            <w:tcW w:w="1240" w:type="dxa"/>
            <w:vAlign w:val="bottom"/>
            <w:shd w:val="clear" w:color="auto" w:fill="D4F1F5"/>
          </w:tcPr>
          <w:p>
            <w:pPr>
              <w:jc w:val="center"/>
              <w:ind w:right="200"/>
              <w:spacing w:after="0"/>
              <w:rPr>
                <w:sz w:val="20"/>
                <w:szCs w:val="20"/>
                <w:color w:val="auto"/>
              </w:rPr>
            </w:pPr>
            <w:r>
              <w:rPr>
                <w:rFonts w:ascii="Arial" w:cs="Arial" w:eastAsia="Arial" w:hAnsi="Arial"/>
                <w:sz w:val="14"/>
                <w:szCs w:val="14"/>
                <w:color w:val="auto"/>
              </w:rPr>
              <w:t>(unaudited)</w:t>
            </w:r>
          </w:p>
        </w:tc>
        <w:tc>
          <w:tcPr>
            <w:tcW w:w="240" w:type="dxa"/>
            <w:vAlign w:val="bottom"/>
            <w:shd w:val="clear" w:color="auto" w:fill="D4F1F5"/>
          </w:tcPr>
          <w:p>
            <w:pPr>
              <w:spacing w:after="0"/>
              <w:rPr>
                <w:sz w:val="18"/>
                <w:szCs w:val="18"/>
                <w:color w:val="auto"/>
              </w:rPr>
            </w:pPr>
          </w:p>
        </w:tc>
        <w:tc>
          <w:tcPr>
            <w:tcW w:w="1240" w:type="dxa"/>
            <w:vAlign w:val="bottom"/>
            <w:shd w:val="clear" w:color="auto" w:fill="D4F1F5"/>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8300" w:type="dxa"/>
            <w:vAlign w:val="bottom"/>
          </w:tcPr>
          <w:p>
            <w:pPr>
              <w:ind w:left="20"/>
              <w:spacing w:after="0"/>
              <w:rPr>
                <w:sz w:val="20"/>
                <w:szCs w:val="20"/>
                <w:color w:val="auto"/>
              </w:rPr>
            </w:pPr>
            <w:r>
              <w:rPr>
                <w:rFonts w:ascii="Arial" w:cs="Arial" w:eastAsia="Arial" w:hAnsi="Arial"/>
                <w:sz w:val="16"/>
                <w:szCs w:val="16"/>
                <w:color w:val="auto"/>
              </w:rPr>
              <w:t>LIABILITIES, CONTINGENTLY REDEEMABLE NONCONTROLLING INTEREST, AND EQUITY</w:t>
            </w: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8300" w:type="dxa"/>
            <w:vAlign w:val="bottom"/>
            <w:shd w:val="clear" w:color="auto" w:fill="D4F1F5"/>
          </w:tcPr>
          <w:p>
            <w:pPr>
              <w:ind w:left="20"/>
              <w:spacing w:after="0"/>
              <w:rPr>
                <w:sz w:val="20"/>
                <w:szCs w:val="20"/>
                <w:color w:val="auto"/>
              </w:rPr>
            </w:pPr>
            <w:r>
              <w:rPr>
                <w:rFonts w:ascii="Arial" w:cs="Arial" w:eastAsia="Arial" w:hAnsi="Arial"/>
                <w:sz w:val="16"/>
                <w:szCs w:val="16"/>
                <w:color w:val="auto"/>
              </w:rPr>
              <w:t>Current liabilities:</w:t>
            </w:r>
          </w:p>
        </w:tc>
        <w:tc>
          <w:tcPr>
            <w:tcW w:w="220" w:type="dxa"/>
            <w:vAlign w:val="bottom"/>
            <w:shd w:val="clear" w:color="auto" w:fill="D4F1F5"/>
          </w:tcPr>
          <w:p>
            <w:pPr>
              <w:spacing w:after="0"/>
              <w:rPr>
                <w:sz w:val="18"/>
                <w:szCs w:val="18"/>
                <w:color w:val="auto"/>
              </w:rPr>
            </w:pPr>
          </w:p>
        </w:tc>
        <w:tc>
          <w:tcPr>
            <w:tcW w:w="1240" w:type="dxa"/>
            <w:vAlign w:val="bottom"/>
            <w:shd w:val="clear" w:color="auto" w:fill="D4F1F5"/>
          </w:tcPr>
          <w:p>
            <w:pPr>
              <w:spacing w:after="0"/>
              <w:rPr>
                <w:sz w:val="18"/>
                <w:szCs w:val="18"/>
                <w:color w:val="auto"/>
              </w:rPr>
            </w:pPr>
          </w:p>
        </w:tc>
        <w:tc>
          <w:tcPr>
            <w:tcW w:w="240" w:type="dxa"/>
            <w:vAlign w:val="bottom"/>
            <w:shd w:val="clear" w:color="auto" w:fill="D4F1F5"/>
          </w:tcPr>
          <w:p>
            <w:pPr>
              <w:spacing w:after="0"/>
              <w:rPr>
                <w:sz w:val="18"/>
                <w:szCs w:val="18"/>
                <w:color w:val="auto"/>
              </w:rPr>
            </w:pPr>
          </w:p>
        </w:tc>
        <w:tc>
          <w:tcPr>
            <w:tcW w:w="1240" w:type="dxa"/>
            <w:vAlign w:val="bottom"/>
            <w:shd w:val="clear" w:color="auto" w:fill="D4F1F5"/>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8300" w:type="dxa"/>
            <w:vAlign w:val="bottom"/>
          </w:tcPr>
          <w:p>
            <w:pPr>
              <w:ind w:left="240"/>
              <w:spacing w:after="0"/>
              <w:rPr>
                <w:sz w:val="20"/>
                <w:szCs w:val="20"/>
                <w:color w:val="auto"/>
              </w:rPr>
            </w:pPr>
            <w:r>
              <w:rPr>
                <w:rFonts w:ascii="Arial" w:cs="Arial" w:eastAsia="Arial" w:hAnsi="Arial"/>
                <w:sz w:val="16"/>
                <w:szCs w:val="16"/>
                <w:color w:val="auto"/>
              </w:rPr>
              <w:t>Short-term debt</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240" w:type="dxa"/>
            <w:vAlign w:val="bottom"/>
          </w:tcPr>
          <w:p>
            <w:pPr>
              <w:jc w:val="right"/>
              <w:ind w:right="40"/>
              <w:spacing w:after="0"/>
              <w:rPr>
                <w:sz w:val="20"/>
                <w:szCs w:val="20"/>
                <w:color w:val="auto"/>
              </w:rPr>
            </w:pPr>
            <w:r>
              <w:rPr>
                <w:rFonts w:ascii="Arial" w:cs="Arial" w:eastAsia="Arial" w:hAnsi="Arial"/>
                <w:sz w:val="16"/>
                <w:szCs w:val="16"/>
                <w:color w:val="auto"/>
              </w:rPr>
              <w:t>3,708</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4,166</w:t>
            </w:r>
          </w:p>
        </w:tc>
        <w:tc>
          <w:tcPr>
            <w:tcW w:w="0" w:type="dxa"/>
            <w:vAlign w:val="bottom"/>
          </w:tcPr>
          <w:p>
            <w:pPr>
              <w:spacing w:after="0"/>
              <w:rPr>
                <w:sz w:val="1"/>
                <w:szCs w:val="1"/>
                <w:color w:val="auto"/>
              </w:rPr>
            </w:pPr>
          </w:p>
        </w:tc>
      </w:tr>
      <w:tr>
        <w:trPr>
          <w:trHeight w:val="217"/>
        </w:trPr>
        <w:tc>
          <w:tcPr>
            <w:tcW w:w="8300" w:type="dxa"/>
            <w:vAlign w:val="bottom"/>
            <w:shd w:val="clear" w:color="auto" w:fill="D4F1F5"/>
          </w:tcPr>
          <w:p>
            <w:pPr>
              <w:ind w:left="240"/>
              <w:spacing w:after="0"/>
              <w:rPr>
                <w:sz w:val="20"/>
                <w:szCs w:val="20"/>
                <w:color w:val="auto"/>
              </w:rPr>
            </w:pPr>
            <w:r>
              <w:rPr>
                <w:rFonts w:ascii="Arial" w:cs="Arial" w:eastAsia="Arial" w:hAnsi="Arial"/>
                <w:sz w:val="16"/>
                <w:szCs w:val="16"/>
                <w:color w:val="auto"/>
              </w:rPr>
              <w:t>Accounts payable – trade</w:t>
            </w:r>
          </w:p>
        </w:tc>
        <w:tc>
          <w:tcPr>
            <w:tcW w:w="220" w:type="dxa"/>
            <w:vAlign w:val="bottom"/>
            <w:shd w:val="clear" w:color="auto" w:fill="D4F1F5"/>
          </w:tcPr>
          <w:p>
            <w:pPr>
              <w:spacing w:after="0"/>
              <w:rPr>
                <w:sz w:val="18"/>
                <w:szCs w:val="18"/>
                <w:color w:val="auto"/>
              </w:rPr>
            </w:pPr>
          </w:p>
        </w:tc>
        <w:tc>
          <w:tcPr>
            <w:tcW w:w="1240" w:type="dxa"/>
            <w:vAlign w:val="bottom"/>
            <w:shd w:val="clear" w:color="auto" w:fill="D4F1F5"/>
          </w:tcPr>
          <w:p>
            <w:pPr>
              <w:jc w:val="right"/>
              <w:ind w:right="40"/>
              <w:spacing w:after="0"/>
              <w:rPr>
                <w:sz w:val="20"/>
                <w:szCs w:val="20"/>
                <w:color w:val="auto"/>
              </w:rPr>
            </w:pPr>
            <w:r>
              <w:rPr>
                <w:rFonts w:ascii="Arial" w:cs="Arial" w:eastAsia="Arial" w:hAnsi="Arial"/>
                <w:sz w:val="16"/>
                <w:szCs w:val="16"/>
                <w:color w:val="auto"/>
              </w:rPr>
              <w:t>1,134</w:t>
            </w:r>
          </w:p>
        </w:tc>
        <w:tc>
          <w:tcPr>
            <w:tcW w:w="240" w:type="dxa"/>
            <w:vAlign w:val="bottom"/>
            <w:shd w:val="clear" w:color="auto" w:fill="D4F1F5"/>
          </w:tcPr>
          <w:p>
            <w:pPr>
              <w:spacing w:after="0"/>
              <w:rPr>
                <w:sz w:val="18"/>
                <w:szCs w:val="18"/>
                <w:color w:val="auto"/>
              </w:rPr>
            </w:pPr>
          </w:p>
        </w:tc>
        <w:tc>
          <w:tcPr>
            <w:tcW w:w="1240" w:type="dxa"/>
            <w:vAlign w:val="bottom"/>
            <w:shd w:val="clear" w:color="auto" w:fill="D4F1F5"/>
          </w:tcPr>
          <w:p>
            <w:pPr>
              <w:jc w:val="right"/>
              <w:spacing w:after="0"/>
              <w:rPr>
                <w:sz w:val="20"/>
                <w:szCs w:val="20"/>
                <w:color w:val="auto"/>
              </w:rPr>
            </w:pPr>
            <w:r>
              <w:rPr>
                <w:rFonts w:ascii="Arial" w:cs="Arial" w:eastAsia="Arial" w:hAnsi="Arial"/>
                <w:sz w:val="16"/>
                <w:szCs w:val="16"/>
                <w:color w:val="auto"/>
              </w:rPr>
              <w:t>1,461</w:t>
            </w:r>
          </w:p>
        </w:tc>
        <w:tc>
          <w:tcPr>
            <w:tcW w:w="0" w:type="dxa"/>
            <w:vAlign w:val="bottom"/>
          </w:tcPr>
          <w:p>
            <w:pPr>
              <w:spacing w:after="0"/>
              <w:rPr>
                <w:sz w:val="1"/>
                <w:szCs w:val="1"/>
                <w:color w:val="auto"/>
              </w:rPr>
            </w:pPr>
          </w:p>
        </w:tc>
      </w:tr>
      <w:tr>
        <w:trPr>
          <w:trHeight w:val="215"/>
        </w:trPr>
        <w:tc>
          <w:tcPr>
            <w:tcW w:w="8300" w:type="dxa"/>
            <w:vAlign w:val="bottom"/>
          </w:tcPr>
          <w:p>
            <w:pPr>
              <w:ind w:left="240"/>
              <w:spacing w:after="0"/>
              <w:rPr>
                <w:sz w:val="20"/>
                <w:szCs w:val="20"/>
                <w:color w:val="auto"/>
              </w:rPr>
            </w:pPr>
            <w:r>
              <w:rPr>
                <w:rFonts w:ascii="Arial" w:cs="Arial" w:eastAsia="Arial" w:hAnsi="Arial"/>
                <w:sz w:val="16"/>
                <w:szCs w:val="16"/>
                <w:color w:val="auto"/>
              </w:rPr>
              <w:t>Accounts payable – other</w:t>
            </w:r>
          </w:p>
        </w:tc>
        <w:tc>
          <w:tcPr>
            <w:tcW w:w="220" w:type="dxa"/>
            <w:vAlign w:val="bottom"/>
          </w:tcPr>
          <w:p>
            <w:pPr>
              <w:spacing w:after="0"/>
              <w:rPr>
                <w:sz w:val="18"/>
                <w:szCs w:val="18"/>
                <w:color w:val="auto"/>
              </w:rPr>
            </w:pPr>
          </w:p>
        </w:tc>
        <w:tc>
          <w:tcPr>
            <w:tcW w:w="1240" w:type="dxa"/>
            <w:vAlign w:val="bottom"/>
          </w:tcPr>
          <w:p>
            <w:pPr>
              <w:jc w:val="right"/>
              <w:ind w:right="40"/>
              <w:spacing w:after="0"/>
              <w:rPr>
                <w:sz w:val="20"/>
                <w:szCs w:val="20"/>
                <w:color w:val="auto"/>
              </w:rPr>
            </w:pPr>
            <w:r>
              <w:rPr>
                <w:rFonts w:ascii="Arial" w:cs="Arial" w:eastAsia="Arial" w:hAnsi="Arial"/>
                <w:sz w:val="16"/>
                <w:szCs w:val="16"/>
                <w:color w:val="auto"/>
              </w:rPr>
              <w:t>174</w:t>
            </w:r>
          </w:p>
        </w:tc>
        <w:tc>
          <w:tcPr>
            <w:tcW w:w="2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203</w:t>
            </w:r>
          </w:p>
        </w:tc>
        <w:tc>
          <w:tcPr>
            <w:tcW w:w="0" w:type="dxa"/>
            <w:vAlign w:val="bottom"/>
          </w:tcPr>
          <w:p>
            <w:pPr>
              <w:spacing w:after="0"/>
              <w:rPr>
                <w:sz w:val="1"/>
                <w:szCs w:val="1"/>
                <w:color w:val="auto"/>
              </w:rPr>
            </w:pPr>
          </w:p>
        </w:tc>
      </w:tr>
      <w:tr>
        <w:trPr>
          <w:trHeight w:val="217"/>
        </w:trPr>
        <w:tc>
          <w:tcPr>
            <w:tcW w:w="8300" w:type="dxa"/>
            <w:vAlign w:val="bottom"/>
            <w:shd w:val="clear" w:color="auto" w:fill="D4F1F5"/>
          </w:tcPr>
          <w:p>
            <w:pPr>
              <w:ind w:left="240"/>
              <w:spacing w:after="0"/>
              <w:rPr>
                <w:sz w:val="20"/>
                <w:szCs w:val="20"/>
                <w:color w:val="auto"/>
              </w:rPr>
            </w:pPr>
            <w:r>
              <w:rPr>
                <w:rFonts w:ascii="Arial" w:cs="Arial" w:eastAsia="Arial" w:hAnsi="Arial"/>
                <w:sz w:val="16"/>
                <w:szCs w:val="16"/>
                <w:color w:val="auto"/>
              </w:rPr>
              <w:t>Due to unconsolidated affiliates</w:t>
            </w:r>
          </w:p>
        </w:tc>
        <w:tc>
          <w:tcPr>
            <w:tcW w:w="220" w:type="dxa"/>
            <w:vAlign w:val="bottom"/>
            <w:shd w:val="clear" w:color="auto" w:fill="D4F1F5"/>
          </w:tcPr>
          <w:p>
            <w:pPr>
              <w:spacing w:after="0"/>
              <w:rPr>
                <w:sz w:val="18"/>
                <w:szCs w:val="18"/>
                <w:color w:val="auto"/>
              </w:rPr>
            </w:pPr>
          </w:p>
        </w:tc>
        <w:tc>
          <w:tcPr>
            <w:tcW w:w="1240" w:type="dxa"/>
            <w:vAlign w:val="bottom"/>
            <w:shd w:val="clear" w:color="auto" w:fill="D4F1F5"/>
          </w:tcPr>
          <w:p>
            <w:pPr>
              <w:jc w:val="right"/>
              <w:ind w:right="40"/>
              <w:spacing w:after="0"/>
              <w:rPr>
                <w:sz w:val="20"/>
                <w:szCs w:val="20"/>
                <w:color w:val="auto"/>
              </w:rPr>
            </w:pPr>
            <w:r>
              <w:rPr>
                <w:rFonts w:ascii="Arial" w:cs="Arial" w:eastAsia="Arial" w:hAnsi="Arial"/>
                <w:sz w:val="16"/>
                <w:szCs w:val="16"/>
                <w:color w:val="auto"/>
              </w:rPr>
              <w:t>—</w:t>
            </w:r>
          </w:p>
        </w:tc>
        <w:tc>
          <w:tcPr>
            <w:tcW w:w="240" w:type="dxa"/>
            <w:vAlign w:val="bottom"/>
            <w:shd w:val="clear" w:color="auto" w:fill="D4F1F5"/>
          </w:tcPr>
          <w:p>
            <w:pPr>
              <w:spacing w:after="0"/>
              <w:rPr>
                <w:sz w:val="18"/>
                <w:szCs w:val="18"/>
                <w:color w:val="auto"/>
              </w:rPr>
            </w:pPr>
          </w:p>
        </w:tc>
        <w:tc>
          <w:tcPr>
            <w:tcW w:w="1240" w:type="dxa"/>
            <w:vAlign w:val="bottom"/>
            <w:shd w:val="clear" w:color="auto" w:fill="D4F1F5"/>
          </w:tcPr>
          <w:p>
            <w:pPr>
              <w:jc w:val="right"/>
              <w:spacing w:after="0"/>
              <w:rPr>
                <w:sz w:val="20"/>
                <w:szCs w:val="20"/>
                <w:color w:val="auto"/>
              </w:rPr>
            </w:pPr>
            <w:r>
              <w:rPr>
                <w:rFonts w:ascii="Arial" w:cs="Arial" w:eastAsia="Arial" w:hAnsi="Arial"/>
                <w:sz w:val="16"/>
                <w:szCs w:val="16"/>
                <w:color w:val="auto"/>
              </w:rPr>
              <w:t>8</w:t>
            </w:r>
          </w:p>
        </w:tc>
        <w:tc>
          <w:tcPr>
            <w:tcW w:w="0" w:type="dxa"/>
            <w:vAlign w:val="bottom"/>
          </w:tcPr>
          <w:p>
            <w:pPr>
              <w:spacing w:after="0"/>
              <w:rPr>
                <w:sz w:val="1"/>
                <w:szCs w:val="1"/>
                <w:color w:val="auto"/>
              </w:rPr>
            </w:pPr>
          </w:p>
        </w:tc>
      </w:tr>
      <w:tr>
        <w:trPr>
          <w:trHeight w:val="215"/>
        </w:trPr>
        <w:tc>
          <w:tcPr>
            <w:tcW w:w="8300" w:type="dxa"/>
            <w:vAlign w:val="bottom"/>
          </w:tcPr>
          <w:p>
            <w:pPr>
              <w:ind w:left="240"/>
              <w:spacing w:after="0"/>
              <w:rPr>
                <w:sz w:val="20"/>
                <w:szCs w:val="20"/>
                <w:color w:val="auto"/>
              </w:rPr>
            </w:pPr>
            <w:r>
              <w:rPr>
                <w:rFonts w:ascii="Arial" w:cs="Arial" w:eastAsia="Arial" w:hAnsi="Arial"/>
                <w:sz w:val="16"/>
                <w:szCs w:val="16"/>
                <w:color w:val="auto"/>
              </w:rPr>
              <w:t>Dividends and interest payable</w:t>
            </w:r>
          </w:p>
        </w:tc>
        <w:tc>
          <w:tcPr>
            <w:tcW w:w="220" w:type="dxa"/>
            <w:vAlign w:val="bottom"/>
          </w:tcPr>
          <w:p>
            <w:pPr>
              <w:spacing w:after="0"/>
              <w:rPr>
                <w:sz w:val="18"/>
                <w:szCs w:val="18"/>
                <w:color w:val="auto"/>
              </w:rPr>
            </w:pPr>
          </w:p>
        </w:tc>
        <w:tc>
          <w:tcPr>
            <w:tcW w:w="1240" w:type="dxa"/>
            <w:vAlign w:val="bottom"/>
          </w:tcPr>
          <w:p>
            <w:pPr>
              <w:jc w:val="right"/>
              <w:ind w:right="40"/>
              <w:spacing w:after="0"/>
              <w:rPr>
                <w:sz w:val="20"/>
                <w:szCs w:val="20"/>
                <w:color w:val="auto"/>
              </w:rPr>
            </w:pPr>
            <w:r>
              <w:rPr>
                <w:rFonts w:ascii="Arial" w:cs="Arial" w:eastAsia="Arial" w:hAnsi="Arial"/>
                <w:sz w:val="16"/>
                <w:szCs w:val="16"/>
                <w:color w:val="auto"/>
              </w:rPr>
              <w:t>920</w:t>
            </w:r>
          </w:p>
        </w:tc>
        <w:tc>
          <w:tcPr>
            <w:tcW w:w="2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770</w:t>
            </w:r>
          </w:p>
        </w:tc>
        <w:tc>
          <w:tcPr>
            <w:tcW w:w="0" w:type="dxa"/>
            <w:vAlign w:val="bottom"/>
          </w:tcPr>
          <w:p>
            <w:pPr>
              <w:spacing w:after="0"/>
              <w:rPr>
                <w:sz w:val="1"/>
                <w:szCs w:val="1"/>
                <w:color w:val="auto"/>
              </w:rPr>
            </w:pPr>
          </w:p>
        </w:tc>
      </w:tr>
      <w:tr>
        <w:trPr>
          <w:trHeight w:val="217"/>
        </w:trPr>
        <w:tc>
          <w:tcPr>
            <w:tcW w:w="8300" w:type="dxa"/>
            <w:vAlign w:val="bottom"/>
            <w:shd w:val="clear" w:color="auto" w:fill="D4F1F5"/>
          </w:tcPr>
          <w:p>
            <w:pPr>
              <w:ind w:left="240"/>
              <w:spacing w:after="0"/>
              <w:rPr>
                <w:sz w:val="20"/>
                <w:szCs w:val="20"/>
                <w:color w:val="auto"/>
              </w:rPr>
            </w:pPr>
            <w:r>
              <w:rPr>
                <w:rFonts w:ascii="Arial" w:cs="Arial" w:eastAsia="Arial" w:hAnsi="Arial"/>
                <w:sz w:val="16"/>
                <w:szCs w:val="16"/>
                <w:color w:val="auto"/>
              </w:rPr>
              <w:t>Accrued compensation and benefits</w:t>
            </w:r>
          </w:p>
        </w:tc>
        <w:tc>
          <w:tcPr>
            <w:tcW w:w="220" w:type="dxa"/>
            <w:vAlign w:val="bottom"/>
            <w:shd w:val="clear" w:color="auto" w:fill="D4F1F5"/>
          </w:tcPr>
          <w:p>
            <w:pPr>
              <w:spacing w:after="0"/>
              <w:rPr>
                <w:sz w:val="18"/>
                <w:szCs w:val="18"/>
                <w:color w:val="auto"/>
              </w:rPr>
            </w:pPr>
          </w:p>
        </w:tc>
        <w:tc>
          <w:tcPr>
            <w:tcW w:w="1240" w:type="dxa"/>
            <w:vAlign w:val="bottom"/>
            <w:shd w:val="clear" w:color="auto" w:fill="D4F1F5"/>
          </w:tcPr>
          <w:p>
            <w:pPr>
              <w:jc w:val="right"/>
              <w:ind w:right="40"/>
              <w:spacing w:after="0"/>
              <w:rPr>
                <w:sz w:val="20"/>
                <w:szCs w:val="20"/>
                <w:color w:val="auto"/>
              </w:rPr>
            </w:pPr>
            <w:r>
              <w:rPr>
                <w:rFonts w:ascii="Arial" w:cs="Arial" w:eastAsia="Arial" w:hAnsi="Arial"/>
                <w:sz w:val="16"/>
                <w:szCs w:val="16"/>
                <w:color w:val="auto"/>
              </w:rPr>
              <w:t>316</w:t>
            </w:r>
          </w:p>
        </w:tc>
        <w:tc>
          <w:tcPr>
            <w:tcW w:w="240" w:type="dxa"/>
            <w:vAlign w:val="bottom"/>
            <w:shd w:val="clear" w:color="auto" w:fill="D4F1F5"/>
          </w:tcPr>
          <w:p>
            <w:pPr>
              <w:spacing w:after="0"/>
              <w:rPr>
                <w:sz w:val="18"/>
                <w:szCs w:val="18"/>
                <w:color w:val="auto"/>
              </w:rPr>
            </w:pPr>
          </w:p>
        </w:tc>
        <w:tc>
          <w:tcPr>
            <w:tcW w:w="1240" w:type="dxa"/>
            <w:vAlign w:val="bottom"/>
            <w:shd w:val="clear" w:color="auto" w:fill="D4F1F5"/>
          </w:tcPr>
          <w:p>
            <w:pPr>
              <w:jc w:val="right"/>
              <w:spacing w:after="0"/>
              <w:rPr>
                <w:sz w:val="20"/>
                <w:szCs w:val="20"/>
                <w:color w:val="auto"/>
              </w:rPr>
            </w:pPr>
            <w:r>
              <w:rPr>
                <w:rFonts w:ascii="Arial" w:cs="Arial" w:eastAsia="Arial" w:hAnsi="Arial"/>
                <w:sz w:val="16"/>
                <w:szCs w:val="16"/>
                <w:color w:val="auto"/>
              </w:rPr>
              <w:t>521</w:t>
            </w:r>
          </w:p>
        </w:tc>
        <w:tc>
          <w:tcPr>
            <w:tcW w:w="0" w:type="dxa"/>
            <w:vAlign w:val="bottom"/>
          </w:tcPr>
          <w:p>
            <w:pPr>
              <w:spacing w:after="0"/>
              <w:rPr>
                <w:sz w:val="1"/>
                <w:szCs w:val="1"/>
                <w:color w:val="auto"/>
              </w:rPr>
            </w:pPr>
          </w:p>
        </w:tc>
      </w:tr>
      <w:tr>
        <w:trPr>
          <w:trHeight w:val="215"/>
        </w:trPr>
        <w:tc>
          <w:tcPr>
            <w:tcW w:w="8300" w:type="dxa"/>
            <w:vAlign w:val="bottom"/>
          </w:tcPr>
          <w:p>
            <w:pPr>
              <w:ind w:left="240"/>
              <w:spacing w:after="0"/>
              <w:rPr>
                <w:sz w:val="20"/>
                <w:szCs w:val="20"/>
                <w:color w:val="auto"/>
              </w:rPr>
            </w:pPr>
            <w:r>
              <w:rPr>
                <w:rFonts w:ascii="Arial" w:cs="Arial" w:eastAsia="Arial" w:hAnsi="Arial"/>
                <w:sz w:val="16"/>
                <w:szCs w:val="16"/>
                <w:color w:val="auto"/>
              </w:rPr>
              <w:t>Regulatory liabilities</w:t>
            </w:r>
          </w:p>
        </w:tc>
        <w:tc>
          <w:tcPr>
            <w:tcW w:w="220" w:type="dxa"/>
            <w:vAlign w:val="bottom"/>
          </w:tcPr>
          <w:p>
            <w:pPr>
              <w:spacing w:after="0"/>
              <w:rPr>
                <w:sz w:val="18"/>
                <w:szCs w:val="18"/>
                <w:color w:val="auto"/>
              </w:rPr>
            </w:pPr>
          </w:p>
        </w:tc>
        <w:tc>
          <w:tcPr>
            <w:tcW w:w="1240" w:type="dxa"/>
            <w:vAlign w:val="bottom"/>
          </w:tcPr>
          <w:p>
            <w:pPr>
              <w:jc w:val="right"/>
              <w:ind w:right="40"/>
              <w:spacing w:after="0"/>
              <w:rPr>
                <w:sz w:val="20"/>
                <w:szCs w:val="20"/>
                <w:color w:val="auto"/>
              </w:rPr>
            </w:pPr>
            <w:r>
              <w:rPr>
                <w:rFonts w:ascii="Arial" w:cs="Arial" w:eastAsia="Arial" w:hAnsi="Arial"/>
                <w:sz w:val="16"/>
                <w:szCs w:val="16"/>
                <w:color w:val="auto"/>
              </w:rPr>
              <w:t>3</w:t>
            </w:r>
          </w:p>
        </w:tc>
        <w:tc>
          <w:tcPr>
            <w:tcW w:w="2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17"/>
        </w:trPr>
        <w:tc>
          <w:tcPr>
            <w:tcW w:w="8300" w:type="dxa"/>
            <w:vAlign w:val="bottom"/>
            <w:shd w:val="clear" w:color="auto" w:fill="D4F1F5"/>
          </w:tcPr>
          <w:p>
            <w:pPr>
              <w:ind w:left="240"/>
              <w:spacing w:after="0"/>
              <w:rPr>
                <w:sz w:val="20"/>
                <w:szCs w:val="20"/>
                <w:color w:val="auto"/>
              </w:rPr>
            </w:pPr>
            <w:r>
              <w:rPr>
                <w:rFonts w:ascii="Arial" w:cs="Arial" w:eastAsia="Arial" w:hAnsi="Arial"/>
                <w:sz w:val="16"/>
                <w:szCs w:val="16"/>
                <w:color w:val="auto"/>
              </w:rPr>
              <w:t>Current portion of long-term debt and finance leases</w:t>
            </w:r>
          </w:p>
        </w:tc>
        <w:tc>
          <w:tcPr>
            <w:tcW w:w="220" w:type="dxa"/>
            <w:vAlign w:val="bottom"/>
            <w:shd w:val="clear" w:color="auto" w:fill="D4F1F5"/>
          </w:tcPr>
          <w:p>
            <w:pPr>
              <w:spacing w:after="0"/>
              <w:rPr>
                <w:sz w:val="18"/>
                <w:szCs w:val="18"/>
                <w:color w:val="auto"/>
              </w:rPr>
            </w:pPr>
          </w:p>
        </w:tc>
        <w:tc>
          <w:tcPr>
            <w:tcW w:w="1240" w:type="dxa"/>
            <w:vAlign w:val="bottom"/>
            <w:shd w:val="clear" w:color="auto" w:fill="D4F1F5"/>
          </w:tcPr>
          <w:p>
            <w:pPr>
              <w:jc w:val="right"/>
              <w:ind w:right="40"/>
              <w:spacing w:after="0"/>
              <w:rPr>
                <w:sz w:val="20"/>
                <w:szCs w:val="20"/>
                <w:color w:val="auto"/>
              </w:rPr>
            </w:pPr>
            <w:r>
              <w:rPr>
                <w:rFonts w:ascii="Arial" w:cs="Arial" w:eastAsia="Arial" w:hAnsi="Arial"/>
                <w:sz w:val="16"/>
                <w:szCs w:val="16"/>
                <w:color w:val="auto"/>
              </w:rPr>
              <w:t>1,878</w:t>
            </w:r>
          </w:p>
        </w:tc>
        <w:tc>
          <w:tcPr>
            <w:tcW w:w="240" w:type="dxa"/>
            <w:vAlign w:val="bottom"/>
            <w:shd w:val="clear" w:color="auto" w:fill="D4F1F5"/>
          </w:tcPr>
          <w:p>
            <w:pPr>
              <w:spacing w:after="0"/>
              <w:rPr>
                <w:sz w:val="18"/>
                <w:szCs w:val="18"/>
                <w:color w:val="auto"/>
              </w:rPr>
            </w:pPr>
          </w:p>
        </w:tc>
        <w:tc>
          <w:tcPr>
            <w:tcW w:w="1240" w:type="dxa"/>
            <w:vAlign w:val="bottom"/>
            <w:shd w:val="clear" w:color="auto" w:fill="D4F1F5"/>
          </w:tcPr>
          <w:p>
            <w:pPr>
              <w:jc w:val="right"/>
              <w:spacing w:after="0"/>
              <w:rPr>
                <w:sz w:val="20"/>
                <w:szCs w:val="20"/>
                <w:color w:val="auto"/>
              </w:rPr>
            </w:pPr>
            <w:r>
              <w:rPr>
                <w:rFonts w:ascii="Arial" w:cs="Arial" w:eastAsia="Arial" w:hAnsi="Arial"/>
                <w:sz w:val="16"/>
                <w:szCs w:val="16"/>
                <w:color w:val="auto"/>
              </w:rPr>
              <w:t>1,876</w:t>
            </w:r>
          </w:p>
        </w:tc>
        <w:tc>
          <w:tcPr>
            <w:tcW w:w="0" w:type="dxa"/>
            <w:vAlign w:val="bottom"/>
          </w:tcPr>
          <w:p>
            <w:pPr>
              <w:spacing w:after="0"/>
              <w:rPr>
                <w:sz w:val="1"/>
                <w:szCs w:val="1"/>
                <w:color w:val="auto"/>
              </w:rPr>
            </w:pPr>
          </w:p>
        </w:tc>
      </w:tr>
      <w:tr>
        <w:trPr>
          <w:trHeight w:val="215"/>
        </w:trPr>
        <w:tc>
          <w:tcPr>
            <w:tcW w:w="8300" w:type="dxa"/>
            <w:vAlign w:val="bottom"/>
          </w:tcPr>
          <w:p>
            <w:pPr>
              <w:ind w:left="240"/>
              <w:spacing w:after="0"/>
              <w:rPr>
                <w:sz w:val="20"/>
                <w:szCs w:val="20"/>
                <w:color w:val="auto"/>
              </w:rPr>
            </w:pPr>
            <w:r>
              <w:rPr>
                <w:rFonts w:ascii="Arial" w:cs="Arial" w:eastAsia="Arial" w:hAnsi="Arial"/>
                <w:sz w:val="16"/>
                <w:szCs w:val="16"/>
                <w:color w:val="auto"/>
              </w:rPr>
              <w:t>Greenhouse gas obligations</w:t>
            </w:r>
          </w:p>
        </w:tc>
        <w:tc>
          <w:tcPr>
            <w:tcW w:w="220" w:type="dxa"/>
            <w:vAlign w:val="bottom"/>
          </w:tcPr>
          <w:p>
            <w:pPr>
              <w:spacing w:after="0"/>
              <w:rPr>
                <w:sz w:val="18"/>
                <w:szCs w:val="18"/>
                <w:color w:val="auto"/>
              </w:rPr>
            </w:pPr>
          </w:p>
        </w:tc>
        <w:tc>
          <w:tcPr>
            <w:tcW w:w="1240" w:type="dxa"/>
            <w:vAlign w:val="bottom"/>
          </w:tcPr>
          <w:p>
            <w:pPr>
              <w:jc w:val="right"/>
              <w:ind w:right="40"/>
              <w:spacing w:after="0"/>
              <w:rPr>
                <w:sz w:val="20"/>
                <w:szCs w:val="20"/>
                <w:color w:val="auto"/>
              </w:rPr>
            </w:pPr>
            <w:r>
              <w:rPr>
                <w:rFonts w:ascii="Arial" w:cs="Arial" w:eastAsia="Arial" w:hAnsi="Arial"/>
                <w:sz w:val="16"/>
                <w:szCs w:val="16"/>
                <w:color w:val="auto"/>
              </w:rPr>
              <w:t>199</w:t>
            </w:r>
          </w:p>
        </w:tc>
        <w:tc>
          <w:tcPr>
            <w:tcW w:w="2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203</w:t>
            </w:r>
          </w:p>
        </w:tc>
        <w:tc>
          <w:tcPr>
            <w:tcW w:w="0" w:type="dxa"/>
            <w:vAlign w:val="bottom"/>
          </w:tcPr>
          <w:p>
            <w:pPr>
              <w:spacing w:after="0"/>
              <w:rPr>
                <w:sz w:val="1"/>
                <w:szCs w:val="1"/>
                <w:color w:val="auto"/>
              </w:rPr>
            </w:pPr>
          </w:p>
        </w:tc>
      </w:tr>
      <w:tr>
        <w:trPr>
          <w:trHeight w:val="217"/>
        </w:trPr>
        <w:tc>
          <w:tcPr>
            <w:tcW w:w="8300" w:type="dxa"/>
            <w:vAlign w:val="bottom"/>
            <w:shd w:val="clear" w:color="auto" w:fill="D4F1F5"/>
          </w:tcPr>
          <w:p>
            <w:pPr>
              <w:ind w:left="240"/>
              <w:spacing w:after="0"/>
              <w:rPr>
                <w:sz w:val="20"/>
                <w:szCs w:val="20"/>
                <w:color w:val="auto"/>
              </w:rPr>
            </w:pPr>
            <w:r>
              <w:rPr>
                <w:rFonts w:ascii="Arial" w:cs="Arial" w:eastAsia="Arial" w:hAnsi="Arial"/>
                <w:sz w:val="16"/>
                <w:szCs w:val="16"/>
                <w:color w:val="auto"/>
              </w:rPr>
              <w:t>Liabilities held for sale</w:t>
            </w:r>
          </w:p>
        </w:tc>
        <w:tc>
          <w:tcPr>
            <w:tcW w:w="220" w:type="dxa"/>
            <w:vAlign w:val="bottom"/>
            <w:shd w:val="clear" w:color="auto" w:fill="D4F1F5"/>
          </w:tcPr>
          <w:p>
            <w:pPr>
              <w:spacing w:after="0"/>
              <w:rPr>
                <w:sz w:val="18"/>
                <w:szCs w:val="18"/>
                <w:color w:val="auto"/>
              </w:rPr>
            </w:pPr>
          </w:p>
        </w:tc>
        <w:tc>
          <w:tcPr>
            <w:tcW w:w="1240" w:type="dxa"/>
            <w:vAlign w:val="bottom"/>
            <w:shd w:val="clear" w:color="auto" w:fill="D4F1F5"/>
          </w:tcPr>
          <w:p>
            <w:pPr>
              <w:jc w:val="right"/>
              <w:ind w:right="40"/>
              <w:spacing w:after="0"/>
              <w:rPr>
                <w:sz w:val="20"/>
                <w:szCs w:val="20"/>
                <w:color w:val="auto"/>
              </w:rPr>
            </w:pPr>
            <w:r>
              <w:rPr>
                <w:rFonts w:ascii="Arial" w:cs="Arial" w:eastAsia="Arial" w:hAnsi="Arial"/>
                <w:sz w:val="16"/>
                <w:szCs w:val="16"/>
                <w:color w:val="auto"/>
              </w:rPr>
              <w:t>12,249</w:t>
            </w:r>
          </w:p>
        </w:tc>
        <w:tc>
          <w:tcPr>
            <w:tcW w:w="240" w:type="dxa"/>
            <w:vAlign w:val="bottom"/>
            <w:shd w:val="clear" w:color="auto" w:fill="D4F1F5"/>
          </w:tcPr>
          <w:p>
            <w:pPr>
              <w:spacing w:after="0"/>
              <w:rPr>
                <w:sz w:val="18"/>
                <w:szCs w:val="18"/>
                <w:color w:val="auto"/>
              </w:rPr>
            </w:pPr>
          </w:p>
        </w:tc>
        <w:tc>
          <w:tcPr>
            <w:tcW w:w="1240" w:type="dxa"/>
            <w:vAlign w:val="bottom"/>
            <w:shd w:val="clear" w:color="auto" w:fill="D4F1F5"/>
          </w:tcPr>
          <w:p>
            <w:pPr>
              <w:jc w:val="right"/>
              <w:spacing w:after="0"/>
              <w:rPr>
                <w:sz w:val="20"/>
                <w:szCs w:val="20"/>
                <w:color w:val="auto"/>
              </w:rPr>
            </w:pPr>
            <w:r>
              <w:rPr>
                <w:rFonts w:ascii="Arial" w:cs="Arial" w:eastAsia="Arial" w:hAnsi="Arial"/>
                <w:sz w:val="16"/>
                <w:szCs w:val="16"/>
                <w:color w:val="auto"/>
              </w:rPr>
              <w:t>11,704</w:t>
            </w:r>
          </w:p>
        </w:tc>
        <w:tc>
          <w:tcPr>
            <w:tcW w:w="0" w:type="dxa"/>
            <w:vAlign w:val="bottom"/>
          </w:tcPr>
          <w:p>
            <w:pPr>
              <w:spacing w:after="0"/>
              <w:rPr>
                <w:sz w:val="1"/>
                <w:szCs w:val="1"/>
                <w:color w:val="auto"/>
              </w:rPr>
            </w:pPr>
          </w:p>
        </w:tc>
      </w:tr>
      <w:tr>
        <w:trPr>
          <w:trHeight w:val="215"/>
        </w:trPr>
        <w:tc>
          <w:tcPr>
            <w:tcW w:w="8300" w:type="dxa"/>
            <w:vAlign w:val="bottom"/>
            <w:tcBorders>
              <w:bottom w:val="single" w:sz="8" w:color="D4F1F5"/>
            </w:tcBorders>
          </w:tcPr>
          <w:p>
            <w:pPr>
              <w:ind w:left="240"/>
              <w:spacing w:after="0"/>
              <w:rPr>
                <w:sz w:val="20"/>
                <w:szCs w:val="20"/>
                <w:color w:val="auto"/>
              </w:rPr>
            </w:pPr>
            <w:r>
              <w:rPr>
                <w:rFonts w:ascii="Arial" w:cs="Arial" w:eastAsia="Arial" w:hAnsi="Arial"/>
                <w:sz w:val="16"/>
                <w:szCs w:val="16"/>
                <w:color w:val="auto"/>
              </w:rPr>
              <w:t>Other current liabilities</w:t>
            </w:r>
          </w:p>
        </w:tc>
        <w:tc>
          <w:tcPr>
            <w:tcW w:w="2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858</w:t>
            </w:r>
          </w:p>
        </w:tc>
        <w:tc>
          <w:tcPr>
            <w:tcW w:w="2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979</w:t>
            </w:r>
          </w:p>
        </w:tc>
        <w:tc>
          <w:tcPr>
            <w:tcW w:w="0" w:type="dxa"/>
            <w:vAlign w:val="bottom"/>
          </w:tcPr>
          <w:p>
            <w:pPr>
              <w:spacing w:after="0"/>
              <w:rPr>
                <w:sz w:val="1"/>
                <w:szCs w:val="1"/>
                <w:color w:val="auto"/>
              </w:rPr>
            </w:pPr>
          </w:p>
        </w:tc>
      </w:tr>
      <w:tr>
        <w:trPr>
          <w:trHeight w:val="209"/>
        </w:trPr>
        <w:tc>
          <w:tcPr>
            <w:tcW w:w="8300" w:type="dxa"/>
            <w:vAlign w:val="bottom"/>
            <w:shd w:val="clear" w:color="auto" w:fill="D4F1F5"/>
          </w:tcPr>
          <w:p>
            <w:pPr>
              <w:ind w:left="460"/>
              <w:spacing w:after="0"/>
              <w:rPr>
                <w:sz w:val="20"/>
                <w:szCs w:val="20"/>
                <w:color w:val="auto"/>
              </w:rPr>
            </w:pPr>
            <w:r>
              <w:rPr>
                <w:rFonts w:ascii="Arial" w:cs="Arial" w:eastAsia="Arial" w:hAnsi="Arial"/>
                <w:sz w:val="16"/>
                <w:szCs w:val="16"/>
                <w:color w:val="auto"/>
              </w:rPr>
              <w:t>Total current liabilities</w:t>
            </w:r>
          </w:p>
        </w:tc>
        <w:tc>
          <w:tcPr>
            <w:tcW w:w="220" w:type="dxa"/>
            <w:vAlign w:val="bottom"/>
            <w:tcBorders>
              <w:bottom w:val="single" w:sz="8" w:color="auto"/>
            </w:tcBorders>
            <w:shd w:val="clear" w:color="auto" w:fill="D4F1F5"/>
          </w:tcPr>
          <w:p>
            <w:pPr>
              <w:spacing w:after="0"/>
              <w:rPr>
                <w:sz w:val="18"/>
                <w:szCs w:val="18"/>
                <w:color w:val="auto"/>
              </w:rPr>
            </w:pPr>
          </w:p>
        </w:tc>
        <w:tc>
          <w:tcPr>
            <w:tcW w:w="1240" w:type="dxa"/>
            <w:vAlign w:val="bottom"/>
            <w:tcBorders>
              <w:bottom w:val="single" w:sz="8" w:color="auto"/>
            </w:tcBorders>
            <w:shd w:val="clear" w:color="auto" w:fill="D4F1F5"/>
          </w:tcPr>
          <w:p>
            <w:pPr>
              <w:jc w:val="right"/>
              <w:ind w:right="40"/>
              <w:spacing w:after="0"/>
              <w:rPr>
                <w:sz w:val="20"/>
                <w:szCs w:val="20"/>
                <w:color w:val="auto"/>
              </w:rPr>
            </w:pPr>
            <w:r>
              <w:rPr>
                <w:rFonts w:ascii="Arial" w:cs="Arial" w:eastAsia="Arial" w:hAnsi="Arial"/>
                <w:sz w:val="16"/>
                <w:szCs w:val="16"/>
                <w:color w:val="auto"/>
              </w:rPr>
              <w:t>21,439</w:t>
            </w:r>
          </w:p>
        </w:tc>
        <w:tc>
          <w:tcPr>
            <w:tcW w:w="240" w:type="dxa"/>
            <w:vAlign w:val="bottom"/>
            <w:tcBorders>
              <w:bottom w:val="single" w:sz="8" w:color="auto"/>
            </w:tcBorders>
            <w:shd w:val="clear" w:color="auto" w:fill="D4F1F5"/>
          </w:tcPr>
          <w:p>
            <w:pPr>
              <w:spacing w:after="0"/>
              <w:rPr>
                <w:sz w:val="18"/>
                <w:szCs w:val="18"/>
                <w:color w:val="auto"/>
              </w:rPr>
            </w:pPr>
          </w:p>
        </w:tc>
        <w:tc>
          <w:tcPr>
            <w:tcW w:w="1240" w:type="dxa"/>
            <w:vAlign w:val="bottom"/>
            <w:tcBorders>
              <w:bottom w:val="single" w:sz="8" w:color="auto"/>
            </w:tcBorders>
            <w:shd w:val="clear" w:color="auto" w:fill="D4F1F5"/>
          </w:tcPr>
          <w:p>
            <w:pPr>
              <w:jc w:val="right"/>
              <w:spacing w:after="0"/>
              <w:rPr>
                <w:sz w:val="20"/>
                <w:szCs w:val="20"/>
                <w:color w:val="auto"/>
              </w:rPr>
            </w:pPr>
            <w:r>
              <w:rPr>
                <w:rFonts w:ascii="Arial" w:cs="Arial" w:eastAsia="Arial" w:hAnsi="Arial"/>
                <w:sz w:val="16"/>
                <w:szCs w:val="16"/>
                <w:color w:val="auto"/>
              </w:rPr>
              <w:t>21,894</w:t>
            </w:r>
          </w:p>
        </w:tc>
        <w:tc>
          <w:tcPr>
            <w:tcW w:w="0" w:type="dxa"/>
            <w:vAlign w:val="bottom"/>
          </w:tcPr>
          <w:p>
            <w:pPr>
              <w:spacing w:after="0"/>
              <w:rPr>
                <w:sz w:val="1"/>
                <w:szCs w:val="1"/>
                <w:color w:val="auto"/>
              </w:rPr>
            </w:pPr>
          </w:p>
        </w:tc>
      </w:tr>
      <w:tr>
        <w:trPr>
          <w:trHeight w:val="197"/>
        </w:trPr>
        <w:tc>
          <w:tcPr>
            <w:tcW w:w="8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8300" w:type="dxa"/>
            <w:vAlign w:val="bottom"/>
            <w:shd w:val="clear" w:color="auto" w:fill="D4F1F5"/>
          </w:tcPr>
          <w:p>
            <w:pPr>
              <w:ind w:left="20"/>
              <w:spacing w:after="0"/>
              <w:rPr>
                <w:sz w:val="20"/>
                <w:szCs w:val="20"/>
                <w:color w:val="auto"/>
              </w:rPr>
            </w:pPr>
            <w:r>
              <w:rPr>
                <w:rFonts w:ascii="Arial" w:cs="Arial" w:eastAsia="Arial" w:hAnsi="Arial"/>
                <w:sz w:val="16"/>
                <w:szCs w:val="16"/>
                <w:color w:val="auto"/>
              </w:rPr>
              <w:t>Long-term debt and finance leases</w:t>
            </w:r>
          </w:p>
        </w:tc>
        <w:tc>
          <w:tcPr>
            <w:tcW w:w="220" w:type="dxa"/>
            <w:vAlign w:val="bottom"/>
            <w:tcBorders>
              <w:bottom w:val="single" w:sz="8" w:color="auto"/>
            </w:tcBorders>
            <w:shd w:val="clear" w:color="auto" w:fill="D4F1F5"/>
          </w:tcPr>
          <w:p>
            <w:pPr>
              <w:spacing w:after="0"/>
              <w:rPr>
                <w:sz w:val="18"/>
                <w:szCs w:val="18"/>
                <w:color w:val="auto"/>
              </w:rPr>
            </w:pPr>
          </w:p>
        </w:tc>
        <w:tc>
          <w:tcPr>
            <w:tcW w:w="1240" w:type="dxa"/>
            <w:vAlign w:val="bottom"/>
            <w:tcBorders>
              <w:bottom w:val="single" w:sz="8" w:color="auto"/>
            </w:tcBorders>
            <w:shd w:val="clear" w:color="auto" w:fill="D4F1F5"/>
          </w:tcPr>
          <w:p>
            <w:pPr>
              <w:jc w:val="right"/>
              <w:ind w:right="40"/>
              <w:spacing w:after="0"/>
              <w:rPr>
                <w:sz w:val="20"/>
                <w:szCs w:val="20"/>
                <w:color w:val="auto"/>
              </w:rPr>
            </w:pPr>
            <w:r>
              <w:rPr>
                <w:rFonts w:ascii="Arial" w:cs="Arial" w:eastAsia="Arial" w:hAnsi="Arial"/>
                <w:sz w:val="16"/>
                <w:szCs w:val="16"/>
                <w:color w:val="auto"/>
              </w:rPr>
              <w:t>30,847</w:t>
            </w:r>
          </w:p>
        </w:tc>
        <w:tc>
          <w:tcPr>
            <w:tcW w:w="240" w:type="dxa"/>
            <w:vAlign w:val="bottom"/>
            <w:tcBorders>
              <w:bottom w:val="single" w:sz="8" w:color="auto"/>
            </w:tcBorders>
            <w:shd w:val="clear" w:color="auto" w:fill="D4F1F5"/>
          </w:tcPr>
          <w:p>
            <w:pPr>
              <w:spacing w:after="0"/>
              <w:rPr>
                <w:sz w:val="18"/>
                <w:szCs w:val="18"/>
                <w:color w:val="auto"/>
              </w:rPr>
            </w:pPr>
          </w:p>
        </w:tc>
        <w:tc>
          <w:tcPr>
            <w:tcW w:w="1240" w:type="dxa"/>
            <w:vAlign w:val="bottom"/>
            <w:tcBorders>
              <w:bottom w:val="single" w:sz="8" w:color="auto"/>
            </w:tcBorders>
            <w:shd w:val="clear" w:color="auto" w:fill="D4F1F5"/>
          </w:tcPr>
          <w:p>
            <w:pPr>
              <w:jc w:val="right"/>
              <w:spacing w:after="0"/>
              <w:rPr>
                <w:sz w:val="20"/>
                <w:szCs w:val="20"/>
                <w:color w:val="auto"/>
              </w:rPr>
            </w:pPr>
            <w:r>
              <w:rPr>
                <w:rFonts w:ascii="Arial" w:cs="Arial" w:eastAsia="Arial" w:hAnsi="Arial"/>
                <w:sz w:val="16"/>
                <w:szCs w:val="16"/>
                <w:color w:val="auto"/>
              </w:rPr>
              <w:t>28,979</w:t>
            </w:r>
          </w:p>
        </w:tc>
        <w:tc>
          <w:tcPr>
            <w:tcW w:w="0" w:type="dxa"/>
            <w:vAlign w:val="bottom"/>
          </w:tcPr>
          <w:p>
            <w:pPr>
              <w:spacing w:after="0"/>
              <w:rPr>
                <w:sz w:val="1"/>
                <w:szCs w:val="1"/>
                <w:color w:val="auto"/>
              </w:rPr>
            </w:pPr>
          </w:p>
        </w:tc>
      </w:tr>
      <w:tr>
        <w:trPr>
          <w:trHeight w:val="197"/>
        </w:trPr>
        <w:tc>
          <w:tcPr>
            <w:tcW w:w="8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300" w:type="dxa"/>
            <w:vAlign w:val="bottom"/>
            <w:shd w:val="clear" w:color="auto" w:fill="D4F1F5"/>
          </w:tcPr>
          <w:p>
            <w:pPr>
              <w:ind w:left="20"/>
              <w:spacing w:after="0"/>
              <w:rPr>
                <w:sz w:val="20"/>
                <w:szCs w:val="20"/>
                <w:color w:val="auto"/>
              </w:rPr>
            </w:pPr>
            <w:r>
              <w:rPr>
                <w:rFonts w:ascii="Arial" w:cs="Arial" w:eastAsia="Arial" w:hAnsi="Arial"/>
                <w:sz w:val="16"/>
                <w:szCs w:val="16"/>
                <w:color w:val="auto"/>
              </w:rPr>
              <w:t>Deferred credits and other liabilities:</w:t>
            </w:r>
          </w:p>
        </w:tc>
        <w:tc>
          <w:tcPr>
            <w:tcW w:w="220" w:type="dxa"/>
            <w:vAlign w:val="bottom"/>
            <w:shd w:val="clear" w:color="auto" w:fill="D4F1F5"/>
          </w:tcPr>
          <w:p>
            <w:pPr>
              <w:spacing w:after="0"/>
              <w:rPr>
                <w:sz w:val="18"/>
                <w:szCs w:val="18"/>
                <w:color w:val="auto"/>
              </w:rPr>
            </w:pPr>
          </w:p>
        </w:tc>
        <w:tc>
          <w:tcPr>
            <w:tcW w:w="1240" w:type="dxa"/>
            <w:vAlign w:val="bottom"/>
            <w:shd w:val="clear" w:color="auto" w:fill="D4F1F5"/>
          </w:tcPr>
          <w:p>
            <w:pPr>
              <w:spacing w:after="0"/>
              <w:rPr>
                <w:sz w:val="18"/>
                <w:szCs w:val="18"/>
                <w:color w:val="auto"/>
              </w:rPr>
            </w:pPr>
          </w:p>
        </w:tc>
        <w:tc>
          <w:tcPr>
            <w:tcW w:w="240" w:type="dxa"/>
            <w:vAlign w:val="bottom"/>
            <w:shd w:val="clear" w:color="auto" w:fill="D4F1F5"/>
          </w:tcPr>
          <w:p>
            <w:pPr>
              <w:spacing w:after="0"/>
              <w:rPr>
                <w:sz w:val="18"/>
                <w:szCs w:val="18"/>
                <w:color w:val="auto"/>
              </w:rPr>
            </w:pPr>
          </w:p>
        </w:tc>
        <w:tc>
          <w:tcPr>
            <w:tcW w:w="1240" w:type="dxa"/>
            <w:vAlign w:val="bottom"/>
            <w:shd w:val="clear" w:color="auto" w:fill="D4F1F5"/>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8300" w:type="dxa"/>
            <w:vAlign w:val="bottom"/>
          </w:tcPr>
          <w:p>
            <w:pPr>
              <w:ind w:left="240"/>
              <w:spacing w:after="0"/>
              <w:rPr>
                <w:sz w:val="20"/>
                <w:szCs w:val="20"/>
                <w:color w:val="auto"/>
              </w:rPr>
            </w:pPr>
            <w:r>
              <w:rPr>
                <w:rFonts w:ascii="Arial" w:cs="Arial" w:eastAsia="Arial" w:hAnsi="Arial"/>
                <w:sz w:val="16"/>
                <w:szCs w:val="16"/>
                <w:color w:val="auto"/>
              </w:rPr>
              <w:t>Regulatory liabilities</w:t>
            </w:r>
          </w:p>
        </w:tc>
        <w:tc>
          <w:tcPr>
            <w:tcW w:w="220" w:type="dxa"/>
            <w:vAlign w:val="bottom"/>
          </w:tcPr>
          <w:p>
            <w:pPr>
              <w:spacing w:after="0"/>
              <w:rPr>
                <w:sz w:val="18"/>
                <w:szCs w:val="18"/>
                <w:color w:val="auto"/>
              </w:rPr>
            </w:pPr>
          </w:p>
        </w:tc>
        <w:tc>
          <w:tcPr>
            <w:tcW w:w="1240" w:type="dxa"/>
            <w:vAlign w:val="bottom"/>
          </w:tcPr>
          <w:p>
            <w:pPr>
              <w:jc w:val="right"/>
              <w:ind w:right="40"/>
              <w:spacing w:after="0"/>
              <w:rPr>
                <w:sz w:val="20"/>
                <w:szCs w:val="20"/>
                <w:color w:val="auto"/>
              </w:rPr>
            </w:pPr>
            <w:r>
              <w:rPr>
                <w:rFonts w:ascii="Arial" w:cs="Arial" w:eastAsia="Arial" w:hAnsi="Arial"/>
                <w:sz w:val="16"/>
                <w:szCs w:val="16"/>
                <w:color w:val="auto"/>
              </w:rPr>
              <w:t>4,303</w:t>
            </w:r>
          </w:p>
        </w:tc>
        <w:tc>
          <w:tcPr>
            <w:tcW w:w="2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4,250</w:t>
            </w:r>
          </w:p>
        </w:tc>
        <w:tc>
          <w:tcPr>
            <w:tcW w:w="0" w:type="dxa"/>
            <w:vAlign w:val="bottom"/>
          </w:tcPr>
          <w:p>
            <w:pPr>
              <w:spacing w:after="0"/>
              <w:rPr>
                <w:sz w:val="1"/>
                <w:szCs w:val="1"/>
                <w:color w:val="auto"/>
              </w:rPr>
            </w:pPr>
          </w:p>
        </w:tc>
      </w:tr>
      <w:tr>
        <w:trPr>
          <w:trHeight w:val="217"/>
        </w:trPr>
        <w:tc>
          <w:tcPr>
            <w:tcW w:w="8300" w:type="dxa"/>
            <w:vAlign w:val="bottom"/>
            <w:shd w:val="clear" w:color="auto" w:fill="D4F1F5"/>
          </w:tcPr>
          <w:p>
            <w:pPr>
              <w:ind w:left="240"/>
              <w:spacing w:after="0"/>
              <w:rPr>
                <w:sz w:val="20"/>
                <w:szCs w:val="20"/>
                <w:color w:val="auto"/>
              </w:rPr>
            </w:pPr>
            <w:r>
              <w:rPr>
                <w:rFonts w:ascii="Arial" w:cs="Arial" w:eastAsia="Arial" w:hAnsi="Arial"/>
                <w:sz w:val="16"/>
                <w:szCs w:val="16"/>
                <w:color w:val="auto"/>
              </w:rPr>
              <w:t>Greenhouse gas obligations</w:t>
            </w:r>
          </w:p>
        </w:tc>
        <w:tc>
          <w:tcPr>
            <w:tcW w:w="220" w:type="dxa"/>
            <w:vAlign w:val="bottom"/>
            <w:shd w:val="clear" w:color="auto" w:fill="D4F1F5"/>
          </w:tcPr>
          <w:p>
            <w:pPr>
              <w:spacing w:after="0"/>
              <w:rPr>
                <w:sz w:val="18"/>
                <w:szCs w:val="18"/>
                <w:color w:val="auto"/>
              </w:rPr>
            </w:pPr>
          </w:p>
        </w:tc>
        <w:tc>
          <w:tcPr>
            <w:tcW w:w="1240" w:type="dxa"/>
            <w:vAlign w:val="bottom"/>
            <w:shd w:val="clear" w:color="auto" w:fill="D4F1F5"/>
          </w:tcPr>
          <w:p>
            <w:pPr>
              <w:jc w:val="right"/>
              <w:ind w:right="40"/>
              <w:spacing w:after="0"/>
              <w:rPr>
                <w:sz w:val="20"/>
                <w:szCs w:val="20"/>
                <w:color w:val="auto"/>
              </w:rPr>
            </w:pPr>
            <w:r>
              <w:rPr>
                <w:rFonts w:ascii="Arial" w:cs="Arial" w:eastAsia="Arial" w:hAnsi="Arial"/>
                <w:sz w:val="16"/>
                <w:szCs w:val="16"/>
                <w:color w:val="auto"/>
              </w:rPr>
              <w:t>1,064</w:t>
            </w:r>
          </w:p>
        </w:tc>
        <w:tc>
          <w:tcPr>
            <w:tcW w:w="240" w:type="dxa"/>
            <w:vAlign w:val="bottom"/>
            <w:shd w:val="clear" w:color="auto" w:fill="D4F1F5"/>
          </w:tcPr>
          <w:p>
            <w:pPr>
              <w:spacing w:after="0"/>
              <w:rPr>
                <w:sz w:val="18"/>
                <w:szCs w:val="18"/>
                <w:color w:val="auto"/>
              </w:rPr>
            </w:pPr>
          </w:p>
        </w:tc>
        <w:tc>
          <w:tcPr>
            <w:tcW w:w="1240" w:type="dxa"/>
            <w:vAlign w:val="bottom"/>
            <w:shd w:val="clear" w:color="auto" w:fill="D4F1F5"/>
          </w:tcPr>
          <w:p>
            <w:pPr>
              <w:jc w:val="right"/>
              <w:spacing w:after="0"/>
              <w:rPr>
                <w:sz w:val="20"/>
                <w:szCs w:val="20"/>
                <w:color w:val="auto"/>
              </w:rPr>
            </w:pPr>
            <w:r>
              <w:rPr>
                <w:rFonts w:ascii="Arial" w:cs="Arial" w:eastAsia="Arial" w:hAnsi="Arial"/>
                <w:sz w:val="16"/>
                <w:szCs w:val="16"/>
                <w:color w:val="auto"/>
              </w:rPr>
              <w:t>957</w:t>
            </w:r>
          </w:p>
        </w:tc>
        <w:tc>
          <w:tcPr>
            <w:tcW w:w="0" w:type="dxa"/>
            <w:vAlign w:val="bottom"/>
          </w:tcPr>
          <w:p>
            <w:pPr>
              <w:spacing w:after="0"/>
              <w:rPr>
                <w:sz w:val="1"/>
                <w:szCs w:val="1"/>
                <w:color w:val="auto"/>
              </w:rPr>
            </w:pPr>
          </w:p>
        </w:tc>
      </w:tr>
      <w:tr>
        <w:trPr>
          <w:trHeight w:val="215"/>
        </w:trPr>
        <w:tc>
          <w:tcPr>
            <w:tcW w:w="8300" w:type="dxa"/>
            <w:vAlign w:val="bottom"/>
          </w:tcPr>
          <w:p>
            <w:pPr>
              <w:ind w:left="240"/>
              <w:spacing w:after="0"/>
              <w:rPr>
                <w:sz w:val="20"/>
                <w:szCs w:val="20"/>
                <w:color w:val="auto"/>
              </w:rPr>
            </w:pPr>
            <w:r>
              <w:rPr>
                <w:rFonts w:ascii="Arial" w:cs="Arial" w:eastAsia="Arial" w:hAnsi="Arial"/>
                <w:sz w:val="16"/>
                <w:szCs w:val="16"/>
                <w:color w:val="auto"/>
              </w:rPr>
              <w:t>Pension and other postretirement benefit plan obligations, net of plan assets</w:t>
            </w:r>
          </w:p>
        </w:tc>
        <w:tc>
          <w:tcPr>
            <w:tcW w:w="220" w:type="dxa"/>
            <w:vAlign w:val="bottom"/>
          </w:tcPr>
          <w:p>
            <w:pPr>
              <w:spacing w:after="0"/>
              <w:rPr>
                <w:sz w:val="18"/>
                <w:szCs w:val="18"/>
                <w:color w:val="auto"/>
              </w:rPr>
            </w:pPr>
          </w:p>
        </w:tc>
        <w:tc>
          <w:tcPr>
            <w:tcW w:w="1240" w:type="dxa"/>
            <w:vAlign w:val="bottom"/>
          </w:tcPr>
          <w:p>
            <w:pPr>
              <w:jc w:val="right"/>
              <w:ind w:right="40"/>
              <w:spacing w:after="0"/>
              <w:rPr>
                <w:sz w:val="20"/>
                <w:szCs w:val="20"/>
                <w:color w:val="auto"/>
              </w:rPr>
            </w:pPr>
            <w:r>
              <w:rPr>
                <w:rFonts w:ascii="Arial" w:cs="Arial" w:eastAsia="Arial" w:hAnsi="Arial"/>
                <w:sz w:val="16"/>
                <w:szCs w:val="16"/>
                <w:color w:val="auto"/>
              </w:rPr>
              <w:t>126</w:t>
            </w:r>
          </w:p>
        </w:tc>
        <w:tc>
          <w:tcPr>
            <w:tcW w:w="2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124</w:t>
            </w:r>
          </w:p>
        </w:tc>
        <w:tc>
          <w:tcPr>
            <w:tcW w:w="0" w:type="dxa"/>
            <w:vAlign w:val="bottom"/>
          </w:tcPr>
          <w:p>
            <w:pPr>
              <w:spacing w:after="0"/>
              <w:rPr>
                <w:sz w:val="1"/>
                <w:szCs w:val="1"/>
                <w:color w:val="auto"/>
              </w:rPr>
            </w:pPr>
          </w:p>
        </w:tc>
      </w:tr>
      <w:tr>
        <w:trPr>
          <w:trHeight w:val="217"/>
        </w:trPr>
        <w:tc>
          <w:tcPr>
            <w:tcW w:w="8300" w:type="dxa"/>
            <w:vAlign w:val="bottom"/>
            <w:shd w:val="clear" w:color="auto" w:fill="D4F1F5"/>
          </w:tcPr>
          <w:p>
            <w:pPr>
              <w:ind w:left="240"/>
              <w:spacing w:after="0"/>
              <w:rPr>
                <w:sz w:val="20"/>
                <w:szCs w:val="20"/>
                <w:color w:val="auto"/>
              </w:rPr>
            </w:pPr>
            <w:r>
              <w:rPr>
                <w:rFonts w:ascii="Arial" w:cs="Arial" w:eastAsia="Arial" w:hAnsi="Arial"/>
                <w:sz w:val="16"/>
                <w:szCs w:val="16"/>
                <w:color w:val="auto"/>
              </w:rPr>
              <w:t>Deferred income taxes</w:t>
            </w:r>
          </w:p>
        </w:tc>
        <w:tc>
          <w:tcPr>
            <w:tcW w:w="220" w:type="dxa"/>
            <w:vAlign w:val="bottom"/>
            <w:shd w:val="clear" w:color="auto" w:fill="D4F1F5"/>
          </w:tcPr>
          <w:p>
            <w:pPr>
              <w:spacing w:after="0"/>
              <w:rPr>
                <w:sz w:val="18"/>
                <w:szCs w:val="18"/>
                <w:color w:val="auto"/>
              </w:rPr>
            </w:pPr>
          </w:p>
        </w:tc>
        <w:tc>
          <w:tcPr>
            <w:tcW w:w="1240" w:type="dxa"/>
            <w:vAlign w:val="bottom"/>
            <w:shd w:val="clear" w:color="auto" w:fill="D4F1F5"/>
          </w:tcPr>
          <w:p>
            <w:pPr>
              <w:jc w:val="right"/>
              <w:ind w:right="40"/>
              <w:spacing w:after="0"/>
              <w:rPr>
                <w:sz w:val="20"/>
                <w:szCs w:val="20"/>
                <w:color w:val="auto"/>
              </w:rPr>
            </w:pPr>
            <w:r>
              <w:rPr>
                <w:rFonts w:ascii="Arial" w:cs="Arial" w:eastAsia="Arial" w:hAnsi="Arial"/>
                <w:sz w:val="16"/>
                <w:szCs w:val="16"/>
                <w:color w:val="auto"/>
              </w:rPr>
              <w:t>6,414</w:t>
            </w:r>
          </w:p>
        </w:tc>
        <w:tc>
          <w:tcPr>
            <w:tcW w:w="240" w:type="dxa"/>
            <w:vAlign w:val="bottom"/>
            <w:shd w:val="clear" w:color="auto" w:fill="D4F1F5"/>
          </w:tcPr>
          <w:p>
            <w:pPr>
              <w:spacing w:after="0"/>
              <w:rPr>
                <w:sz w:val="18"/>
                <w:szCs w:val="18"/>
                <w:color w:val="auto"/>
              </w:rPr>
            </w:pPr>
          </w:p>
        </w:tc>
        <w:tc>
          <w:tcPr>
            <w:tcW w:w="1240" w:type="dxa"/>
            <w:vAlign w:val="bottom"/>
            <w:shd w:val="clear" w:color="auto" w:fill="D4F1F5"/>
          </w:tcPr>
          <w:p>
            <w:pPr>
              <w:jc w:val="right"/>
              <w:spacing w:after="0"/>
              <w:rPr>
                <w:sz w:val="20"/>
                <w:szCs w:val="20"/>
                <w:color w:val="auto"/>
              </w:rPr>
            </w:pPr>
            <w:r>
              <w:rPr>
                <w:rFonts w:ascii="Arial" w:cs="Arial" w:eastAsia="Arial" w:hAnsi="Arial"/>
                <w:sz w:val="16"/>
                <w:szCs w:val="16"/>
                <w:color w:val="auto"/>
              </w:rPr>
              <w:t>6,127</w:t>
            </w:r>
          </w:p>
        </w:tc>
        <w:tc>
          <w:tcPr>
            <w:tcW w:w="0" w:type="dxa"/>
            <w:vAlign w:val="bottom"/>
          </w:tcPr>
          <w:p>
            <w:pPr>
              <w:spacing w:after="0"/>
              <w:rPr>
                <w:sz w:val="1"/>
                <w:szCs w:val="1"/>
                <w:color w:val="auto"/>
              </w:rPr>
            </w:pPr>
          </w:p>
        </w:tc>
      </w:tr>
      <w:tr>
        <w:trPr>
          <w:trHeight w:val="215"/>
        </w:trPr>
        <w:tc>
          <w:tcPr>
            <w:tcW w:w="8300" w:type="dxa"/>
            <w:vAlign w:val="bottom"/>
          </w:tcPr>
          <w:p>
            <w:pPr>
              <w:ind w:left="240"/>
              <w:spacing w:after="0"/>
              <w:rPr>
                <w:sz w:val="20"/>
                <w:szCs w:val="20"/>
                <w:color w:val="auto"/>
              </w:rPr>
            </w:pPr>
            <w:r>
              <w:rPr>
                <w:rFonts w:ascii="Arial" w:cs="Arial" w:eastAsia="Arial" w:hAnsi="Arial"/>
                <w:sz w:val="16"/>
                <w:szCs w:val="16"/>
                <w:color w:val="auto"/>
              </w:rPr>
              <w:t>Asset retirement obligations</w:t>
            </w:r>
          </w:p>
        </w:tc>
        <w:tc>
          <w:tcPr>
            <w:tcW w:w="220" w:type="dxa"/>
            <w:vAlign w:val="bottom"/>
          </w:tcPr>
          <w:p>
            <w:pPr>
              <w:spacing w:after="0"/>
              <w:rPr>
                <w:sz w:val="18"/>
                <w:szCs w:val="18"/>
                <w:color w:val="auto"/>
              </w:rPr>
            </w:pPr>
          </w:p>
        </w:tc>
        <w:tc>
          <w:tcPr>
            <w:tcW w:w="1240" w:type="dxa"/>
            <w:vAlign w:val="bottom"/>
          </w:tcPr>
          <w:p>
            <w:pPr>
              <w:jc w:val="right"/>
              <w:ind w:right="40"/>
              <w:spacing w:after="0"/>
              <w:rPr>
                <w:sz w:val="20"/>
                <w:szCs w:val="20"/>
                <w:color w:val="auto"/>
              </w:rPr>
            </w:pPr>
            <w:r>
              <w:rPr>
                <w:rFonts w:ascii="Arial" w:cs="Arial" w:eastAsia="Arial" w:hAnsi="Arial"/>
                <w:sz w:val="16"/>
                <w:szCs w:val="16"/>
                <w:color w:val="auto"/>
              </w:rPr>
              <w:t>3,773</w:t>
            </w:r>
          </w:p>
        </w:tc>
        <w:tc>
          <w:tcPr>
            <w:tcW w:w="2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3,743</w:t>
            </w:r>
          </w:p>
        </w:tc>
        <w:tc>
          <w:tcPr>
            <w:tcW w:w="0" w:type="dxa"/>
            <w:vAlign w:val="bottom"/>
          </w:tcPr>
          <w:p>
            <w:pPr>
              <w:spacing w:after="0"/>
              <w:rPr>
                <w:sz w:val="1"/>
                <w:szCs w:val="1"/>
                <w:color w:val="auto"/>
              </w:rPr>
            </w:pPr>
          </w:p>
        </w:tc>
      </w:tr>
      <w:tr>
        <w:trPr>
          <w:trHeight w:val="217"/>
        </w:trPr>
        <w:tc>
          <w:tcPr>
            <w:tcW w:w="8300" w:type="dxa"/>
            <w:vAlign w:val="bottom"/>
            <w:shd w:val="clear" w:color="auto" w:fill="D4F1F5"/>
          </w:tcPr>
          <w:p>
            <w:pPr>
              <w:ind w:left="240"/>
              <w:spacing w:after="0"/>
              <w:rPr>
                <w:sz w:val="20"/>
                <w:szCs w:val="20"/>
                <w:color w:val="auto"/>
              </w:rPr>
            </w:pPr>
            <w:r>
              <w:rPr>
                <w:rFonts w:ascii="Arial" w:cs="Arial" w:eastAsia="Arial" w:hAnsi="Arial"/>
                <w:sz w:val="16"/>
                <w:szCs w:val="16"/>
                <w:color w:val="auto"/>
              </w:rPr>
              <w:t>Deferred credits and other</w:t>
            </w:r>
          </w:p>
        </w:tc>
        <w:tc>
          <w:tcPr>
            <w:tcW w:w="220" w:type="dxa"/>
            <w:vAlign w:val="bottom"/>
            <w:tcBorders>
              <w:bottom w:val="single" w:sz="8" w:color="auto"/>
            </w:tcBorders>
            <w:shd w:val="clear" w:color="auto" w:fill="D4F1F5"/>
          </w:tcPr>
          <w:p>
            <w:pPr>
              <w:spacing w:after="0"/>
              <w:rPr>
                <w:sz w:val="18"/>
                <w:szCs w:val="18"/>
                <w:color w:val="auto"/>
              </w:rPr>
            </w:pPr>
          </w:p>
        </w:tc>
        <w:tc>
          <w:tcPr>
            <w:tcW w:w="1240" w:type="dxa"/>
            <w:vAlign w:val="bottom"/>
            <w:tcBorders>
              <w:bottom w:val="single" w:sz="8" w:color="auto"/>
            </w:tcBorders>
            <w:shd w:val="clear" w:color="auto" w:fill="D4F1F5"/>
          </w:tcPr>
          <w:p>
            <w:pPr>
              <w:jc w:val="right"/>
              <w:ind w:right="40"/>
              <w:spacing w:after="0"/>
              <w:rPr>
                <w:sz w:val="20"/>
                <w:szCs w:val="20"/>
                <w:color w:val="auto"/>
              </w:rPr>
            </w:pPr>
            <w:r>
              <w:rPr>
                <w:rFonts w:ascii="Arial" w:cs="Arial" w:eastAsia="Arial" w:hAnsi="Arial"/>
                <w:sz w:val="16"/>
                <w:szCs w:val="16"/>
                <w:color w:val="auto"/>
              </w:rPr>
              <w:t>2,824</w:t>
            </w:r>
          </w:p>
        </w:tc>
        <w:tc>
          <w:tcPr>
            <w:tcW w:w="240" w:type="dxa"/>
            <w:vAlign w:val="bottom"/>
            <w:tcBorders>
              <w:bottom w:val="single" w:sz="8" w:color="auto"/>
            </w:tcBorders>
            <w:shd w:val="clear" w:color="auto" w:fill="D4F1F5"/>
          </w:tcPr>
          <w:p>
            <w:pPr>
              <w:spacing w:after="0"/>
              <w:rPr>
                <w:sz w:val="18"/>
                <w:szCs w:val="18"/>
                <w:color w:val="auto"/>
              </w:rPr>
            </w:pPr>
          </w:p>
        </w:tc>
        <w:tc>
          <w:tcPr>
            <w:tcW w:w="1240" w:type="dxa"/>
            <w:vAlign w:val="bottom"/>
            <w:tcBorders>
              <w:bottom w:val="single" w:sz="8" w:color="auto"/>
            </w:tcBorders>
            <w:shd w:val="clear" w:color="auto" w:fill="D4F1F5"/>
          </w:tcPr>
          <w:p>
            <w:pPr>
              <w:jc w:val="right"/>
              <w:spacing w:after="0"/>
              <w:rPr>
                <w:sz w:val="20"/>
                <w:szCs w:val="20"/>
                <w:color w:val="auto"/>
              </w:rPr>
            </w:pPr>
            <w:r>
              <w:rPr>
                <w:rFonts w:ascii="Arial" w:cs="Arial" w:eastAsia="Arial" w:hAnsi="Arial"/>
                <w:sz w:val="16"/>
                <w:szCs w:val="16"/>
                <w:color w:val="auto"/>
              </w:rPr>
              <w:t>2,805</w:t>
            </w:r>
          </w:p>
        </w:tc>
        <w:tc>
          <w:tcPr>
            <w:tcW w:w="0" w:type="dxa"/>
            <w:vAlign w:val="bottom"/>
          </w:tcPr>
          <w:p>
            <w:pPr>
              <w:spacing w:after="0"/>
              <w:rPr>
                <w:sz w:val="1"/>
                <w:szCs w:val="1"/>
                <w:color w:val="auto"/>
              </w:rPr>
            </w:pPr>
          </w:p>
        </w:tc>
      </w:tr>
      <w:tr>
        <w:trPr>
          <w:trHeight w:val="209"/>
        </w:trPr>
        <w:tc>
          <w:tcPr>
            <w:tcW w:w="8300" w:type="dxa"/>
            <w:vAlign w:val="bottom"/>
            <w:tcBorders>
              <w:bottom w:val="single" w:sz="8" w:color="D4F1F5"/>
            </w:tcBorders>
          </w:tcPr>
          <w:p>
            <w:pPr>
              <w:ind w:left="460"/>
              <w:spacing w:after="0"/>
              <w:rPr>
                <w:sz w:val="20"/>
                <w:szCs w:val="20"/>
                <w:color w:val="auto"/>
              </w:rPr>
            </w:pPr>
            <w:r>
              <w:rPr>
                <w:rFonts w:ascii="Arial" w:cs="Arial" w:eastAsia="Arial" w:hAnsi="Arial"/>
                <w:sz w:val="16"/>
                <w:szCs w:val="16"/>
                <w:color w:val="auto"/>
              </w:rPr>
              <w:t>Total deferred credits and other liabilities</w:t>
            </w:r>
          </w:p>
        </w:tc>
        <w:tc>
          <w:tcPr>
            <w:tcW w:w="2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18,504</w:t>
            </w:r>
          </w:p>
        </w:tc>
        <w:tc>
          <w:tcPr>
            <w:tcW w:w="2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18,006</w:t>
            </w:r>
          </w:p>
        </w:tc>
        <w:tc>
          <w:tcPr>
            <w:tcW w:w="0" w:type="dxa"/>
            <w:vAlign w:val="bottom"/>
          </w:tcPr>
          <w:p>
            <w:pPr>
              <w:spacing w:after="0"/>
              <w:rPr>
                <w:sz w:val="1"/>
                <w:szCs w:val="1"/>
                <w:color w:val="auto"/>
              </w:rPr>
            </w:pPr>
          </w:p>
        </w:tc>
      </w:tr>
      <w:tr>
        <w:trPr>
          <w:trHeight w:val="197"/>
        </w:trPr>
        <w:tc>
          <w:tcPr>
            <w:tcW w:w="8300" w:type="dxa"/>
            <w:vAlign w:val="bottom"/>
            <w:shd w:val="clear" w:color="auto" w:fill="D4F1F5"/>
          </w:tcPr>
          <w:p>
            <w:pPr>
              <w:spacing w:after="0"/>
              <w:rPr>
                <w:sz w:val="17"/>
                <w:szCs w:val="17"/>
                <w:color w:val="auto"/>
              </w:rPr>
            </w:pPr>
          </w:p>
        </w:tc>
        <w:tc>
          <w:tcPr>
            <w:tcW w:w="220" w:type="dxa"/>
            <w:vAlign w:val="bottom"/>
            <w:shd w:val="clear" w:color="auto" w:fill="D4F1F5"/>
          </w:tcPr>
          <w:p>
            <w:pPr>
              <w:spacing w:after="0"/>
              <w:rPr>
                <w:sz w:val="17"/>
                <w:szCs w:val="17"/>
                <w:color w:val="auto"/>
              </w:rPr>
            </w:pPr>
          </w:p>
        </w:tc>
        <w:tc>
          <w:tcPr>
            <w:tcW w:w="1240" w:type="dxa"/>
            <w:vAlign w:val="bottom"/>
            <w:shd w:val="clear" w:color="auto" w:fill="D4F1F5"/>
          </w:tcPr>
          <w:p>
            <w:pPr>
              <w:spacing w:after="0"/>
              <w:rPr>
                <w:sz w:val="17"/>
                <w:szCs w:val="17"/>
                <w:color w:val="auto"/>
              </w:rPr>
            </w:pPr>
          </w:p>
        </w:tc>
        <w:tc>
          <w:tcPr>
            <w:tcW w:w="240" w:type="dxa"/>
            <w:vAlign w:val="bottom"/>
            <w:shd w:val="clear" w:color="auto" w:fill="D4F1F5"/>
          </w:tcPr>
          <w:p>
            <w:pPr>
              <w:spacing w:after="0"/>
              <w:rPr>
                <w:sz w:val="17"/>
                <w:szCs w:val="17"/>
                <w:color w:val="auto"/>
              </w:rPr>
            </w:pPr>
          </w:p>
        </w:tc>
        <w:tc>
          <w:tcPr>
            <w:tcW w:w="1240" w:type="dxa"/>
            <w:vAlign w:val="bottom"/>
            <w:shd w:val="clear" w:color="auto" w:fill="D4F1F5"/>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8300" w:type="dxa"/>
            <w:vAlign w:val="bottom"/>
          </w:tcPr>
          <w:p>
            <w:pPr>
              <w:ind w:left="20"/>
              <w:spacing w:after="0"/>
              <w:rPr>
                <w:sz w:val="20"/>
                <w:szCs w:val="20"/>
                <w:color w:val="auto"/>
              </w:rPr>
            </w:pPr>
            <w:r>
              <w:rPr>
                <w:rFonts w:ascii="Arial" w:cs="Arial" w:eastAsia="Arial" w:hAnsi="Arial"/>
                <w:sz w:val="16"/>
                <w:szCs w:val="16"/>
                <w:color w:val="auto"/>
              </w:rPr>
              <w:t>Commitments and contingencies (Note 13)</w:t>
            </w: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8300" w:type="dxa"/>
            <w:vAlign w:val="bottom"/>
            <w:shd w:val="clear" w:color="auto" w:fill="D4F1F5"/>
          </w:tcPr>
          <w:p>
            <w:pPr>
              <w:spacing w:after="0"/>
              <w:rPr>
                <w:sz w:val="18"/>
                <w:szCs w:val="18"/>
                <w:color w:val="auto"/>
              </w:rPr>
            </w:pPr>
          </w:p>
        </w:tc>
        <w:tc>
          <w:tcPr>
            <w:tcW w:w="220" w:type="dxa"/>
            <w:vAlign w:val="bottom"/>
            <w:shd w:val="clear" w:color="auto" w:fill="D4F1F5"/>
          </w:tcPr>
          <w:p>
            <w:pPr>
              <w:spacing w:after="0"/>
              <w:rPr>
                <w:sz w:val="18"/>
                <w:szCs w:val="18"/>
                <w:color w:val="auto"/>
              </w:rPr>
            </w:pPr>
          </w:p>
        </w:tc>
        <w:tc>
          <w:tcPr>
            <w:tcW w:w="1240" w:type="dxa"/>
            <w:vAlign w:val="bottom"/>
            <w:shd w:val="clear" w:color="auto" w:fill="D4F1F5"/>
          </w:tcPr>
          <w:p>
            <w:pPr>
              <w:spacing w:after="0"/>
              <w:rPr>
                <w:sz w:val="18"/>
                <w:szCs w:val="18"/>
                <w:color w:val="auto"/>
              </w:rPr>
            </w:pPr>
          </w:p>
        </w:tc>
        <w:tc>
          <w:tcPr>
            <w:tcW w:w="240" w:type="dxa"/>
            <w:vAlign w:val="bottom"/>
            <w:shd w:val="clear" w:color="auto" w:fill="D4F1F5"/>
          </w:tcPr>
          <w:p>
            <w:pPr>
              <w:spacing w:after="0"/>
              <w:rPr>
                <w:sz w:val="18"/>
                <w:szCs w:val="18"/>
                <w:color w:val="auto"/>
              </w:rPr>
            </w:pPr>
          </w:p>
        </w:tc>
        <w:tc>
          <w:tcPr>
            <w:tcW w:w="1240" w:type="dxa"/>
            <w:vAlign w:val="bottom"/>
            <w:shd w:val="clear" w:color="auto" w:fill="D4F1F5"/>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8300" w:type="dxa"/>
            <w:vAlign w:val="bottom"/>
            <w:tcBorders>
              <w:bottom w:val="single" w:sz="8" w:color="D4F1F5"/>
            </w:tcBorders>
          </w:tcPr>
          <w:p>
            <w:pPr>
              <w:ind w:left="20"/>
              <w:spacing w:after="0"/>
              <w:rPr>
                <w:sz w:val="20"/>
                <w:szCs w:val="20"/>
                <w:color w:val="auto"/>
              </w:rPr>
            </w:pPr>
            <w:r>
              <w:rPr>
                <w:rFonts w:ascii="Arial" w:cs="Arial" w:eastAsia="Arial" w:hAnsi="Arial"/>
                <w:sz w:val="16"/>
                <w:szCs w:val="16"/>
                <w:color w:val="auto"/>
              </w:rPr>
              <w:t>Contingently redeemable noncontrolling interest</w:t>
            </w:r>
          </w:p>
        </w:tc>
        <w:tc>
          <w:tcPr>
            <w:tcW w:w="2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3,254</w:t>
            </w:r>
          </w:p>
        </w:tc>
        <w:tc>
          <w:tcPr>
            <w:tcW w:w="2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3,206</w:t>
            </w:r>
          </w:p>
        </w:tc>
        <w:tc>
          <w:tcPr>
            <w:tcW w:w="0" w:type="dxa"/>
            <w:vAlign w:val="bottom"/>
          </w:tcPr>
          <w:p>
            <w:pPr>
              <w:spacing w:after="0"/>
              <w:rPr>
                <w:sz w:val="1"/>
                <w:szCs w:val="1"/>
                <w:color w:val="auto"/>
              </w:rPr>
            </w:pPr>
          </w:p>
        </w:tc>
      </w:tr>
      <w:tr>
        <w:trPr>
          <w:trHeight w:val="197"/>
        </w:trPr>
        <w:tc>
          <w:tcPr>
            <w:tcW w:w="8300" w:type="dxa"/>
            <w:vAlign w:val="bottom"/>
            <w:shd w:val="clear" w:color="auto" w:fill="D4F1F5"/>
          </w:tcPr>
          <w:p>
            <w:pPr>
              <w:spacing w:after="0"/>
              <w:rPr>
                <w:sz w:val="17"/>
                <w:szCs w:val="17"/>
                <w:color w:val="auto"/>
              </w:rPr>
            </w:pPr>
          </w:p>
        </w:tc>
        <w:tc>
          <w:tcPr>
            <w:tcW w:w="220" w:type="dxa"/>
            <w:vAlign w:val="bottom"/>
            <w:shd w:val="clear" w:color="auto" w:fill="D4F1F5"/>
          </w:tcPr>
          <w:p>
            <w:pPr>
              <w:spacing w:after="0"/>
              <w:rPr>
                <w:sz w:val="17"/>
                <w:szCs w:val="17"/>
                <w:color w:val="auto"/>
              </w:rPr>
            </w:pPr>
          </w:p>
        </w:tc>
        <w:tc>
          <w:tcPr>
            <w:tcW w:w="1240" w:type="dxa"/>
            <w:vAlign w:val="bottom"/>
            <w:shd w:val="clear" w:color="auto" w:fill="D4F1F5"/>
          </w:tcPr>
          <w:p>
            <w:pPr>
              <w:spacing w:after="0"/>
              <w:rPr>
                <w:sz w:val="17"/>
                <w:szCs w:val="17"/>
                <w:color w:val="auto"/>
              </w:rPr>
            </w:pPr>
          </w:p>
        </w:tc>
        <w:tc>
          <w:tcPr>
            <w:tcW w:w="240" w:type="dxa"/>
            <w:vAlign w:val="bottom"/>
            <w:shd w:val="clear" w:color="auto" w:fill="D4F1F5"/>
          </w:tcPr>
          <w:p>
            <w:pPr>
              <w:spacing w:after="0"/>
              <w:rPr>
                <w:sz w:val="17"/>
                <w:szCs w:val="17"/>
                <w:color w:val="auto"/>
              </w:rPr>
            </w:pPr>
          </w:p>
        </w:tc>
        <w:tc>
          <w:tcPr>
            <w:tcW w:w="1240" w:type="dxa"/>
            <w:vAlign w:val="bottom"/>
            <w:shd w:val="clear" w:color="auto" w:fill="D4F1F5"/>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8300" w:type="dxa"/>
            <w:vAlign w:val="bottom"/>
          </w:tcPr>
          <w:p>
            <w:pPr>
              <w:ind w:left="20"/>
              <w:spacing w:after="0"/>
              <w:rPr>
                <w:sz w:val="20"/>
                <w:szCs w:val="20"/>
                <w:color w:val="auto"/>
              </w:rPr>
            </w:pPr>
            <w:r>
              <w:rPr>
                <w:rFonts w:ascii="Arial" w:cs="Arial" w:eastAsia="Arial" w:hAnsi="Arial"/>
                <w:sz w:val="16"/>
                <w:szCs w:val="16"/>
                <w:color w:val="auto"/>
              </w:rPr>
              <w:t>Equity:</w:t>
            </w: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8300" w:type="dxa"/>
            <w:vAlign w:val="bottom"/>
            <w:shd w:val="clear" w:color="auto" w:fill="D4F1F5"/>
          </w:tcPr>
          <w:p>
            <w:pPr>
              <w:ind w:left="240"/>
              <w:spacing w:after="0"/>
              <w:rPr>
                <w:sz w:val="20"/>
                <w:szCs w:val="20"/>
                <w:color w:val="auto"/>
              </w:rPr>
            </w:pPr>
            <w:r>
              <w:rPr>
                <w:rFonts w:ascii="Arial" w:cs="Arial" w:eastAsia="Arial" w:hAnsi="Arial"/>
                <w:sz w:val="16"/>
                <w:szCs w:val="16"/>
                <w:color w:val="auto"/>
              </w:rPr>
              <w:t>Preferred stock (50,000,000 shares authorized; none issued)</w:t>
            </w:r>
          </w:p>
        </w:tc>
        <w:tc>
          <w:tcPr>
            <w:tcW w:w="220" w:type="dxa"/>
            <w:vAlign w:val="bottom"/>
            <w:shd w:val="clear" w:color="auto" w:fill="D4F1F5"/>
          </w:tcPr>
          <w:p>
            <w:pPr>
              <w:spacing w:after="0"/>
              <w:rPr>
                <w:sz w:val="18"/>
                <w:szCs w:val="18"/>
                <w:color w:val="auto"/>
              </w:rPr>
            </w:pPr>
          </w:p>
        </w:tc>
        <w:tc>
          <w:tcPr>
            <w:tcW w:w="1240" w:type="dxa"/>
            <w:vAlign w:val="bottom"/>
            <w:shd w:val="clear" w:color="auto" w:fill="D4F1F5"/>
          </w:tcPr>
          <w:p>
            <w:pPr>
              <w:jc w:val="right"/>
              <w:ind w:right="40"/>
              <w:spacing w:after="0"/>
              <w:rPr>
                <w:sz w:val="20"/>
                <w:szCs w:val="20"/>
                <w:color w:val="auto"/>
              </w:rPr>
            </w:pPr>
            <w:r>
              <w:rPr>
                <w:rFonts w:ascii="Arial" w:cs="Arial" w:eastAsia="Arial" w:hAnsi="Arial"/>
                <w:sz w:val="16"/>
                <w:szCs w:val="16"/>
                <w:color w:val="auto"/>
              </w:rPr>
              <w:t>—</w:t>
            </w:r>
          </w:p>
        </w:tc>
        <w:tc>
          <w:tcPr>
            <w:tcW w:w="240" w:type="dxa"/>
            <w:vAlign w:val="bottom"/>
            <w:shd w:val="clear" w:color="auto" w:fill="D4F1F5"/>
          </w:tcPr>
          <w:p>
            <w:pPr>
              <w:spacing w:after="0"/>
              <w:rPr>
                <w:sz w:val="18"/>
                <w:szCs w:val="18"/>
                <w:color w:val="auto"/>
              </w:rPr>
            </w:pPr>
          </w:p>
        </w:tc>
        <w:tc>
          <w:tcPr>
            <w:tcW w:w="1240" w:type="dxa"/>
            <w:vAlign w:val="bottom"/>
            <w:shd w:val="clear" w:color="auto" w:fill="D4F1F5"/>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62"/>
        </w:trPr>
        <w:tc>
          <w:tcPr>
            <w:tcW w:w="8300" w:type="dxa"/>
            <w:vAlign w:val="bottom"/>
          </w:tcPr>
          <w:p>
            <w:pPr>
              <w:ind w:left="220"/>
              <w:spacing w:after="0" w:line="162" w:lineRule="exact"/>
              <w:rPr>
                <w:sz w:val="20"/>
                <w:szCs w:val="20"/>
                <w:color w:val="auto"/>
              </w:rPr>
            </w:pPr>
            <w:r>
              <w:rPr>
                <w:rFonts w:ascii="Arial" w:cs="Arial" w:eastAsia="Arial" w:hAnsi="Arial"/>
                <w:sz w:val="16"/>
                <w:szCs w:val="16"/>
                <w:color w:val="auto"/>
              </w:rPr>
              <w:t>Common stock (1,125,000,000 shares authorized; 653,344,198 and 652,731,668 shares</w:t>
            </w:r>
          </w:p>
        </w:tc>
        <w:tc>
          <w:tcPr>
            <w:tcW w:w="220" w:type="dxa"/>
            <w:vAlign w:val="bottom"/>
          </w:tcPr>
          <w:p>
            <w:pPr>
              <w:spacing w:after="0"/>
              <w:rPr>
                <w:sz w:val="14"/>
                <w:szCs w:val="14"/>
                <w:color w:val="auto"/>
              </w:rPr>
            </w:pPr>
          </w:p>
        </w:tc>
        <w:tc>
          <w:tcPr>
            <w:tcW w:w="1240" w:type="dxa"/>
            <w:vAlign w:val="bottom"/>
            <w:vMerge w:val="restart"/>
          </w:tcPr>
          <w:p>
            <w:pPr>
              <w:jc w:val="right"/>
              <w:ind w:right="40"/>
              <w:spacing w:after="0"/>
              <w:rPr>
                <w:sz w:val="20"/>
                <w:szCs w:val="20"/>
                <w:color w:val="auto"/>
              </w:rPr>
            </w:pPr>
            <w:r>
              <w:rPr>
                <w:rFonts w:ascii="Arial" w:cs="Arial" w:eastAsia="Arial" w:hAnsi="Arial"/>
                <w:sz w:val="16"/>
                <w:szCs w:val="16"/>
                <w:color w:val="auto"/>
              </w:rPr>
              <w:t>14,731</w:t>
            </w:r>
          </w:p>
        </w:tc>
        <w:tc>
          <w:tcPr>
            <w:tcW w:w="240" w:type="dxa"/>
            <w:vAlign w:val="bottom"/>
          </w:tcPr>
          <w:p>
            <w:pPr>
              <w:spacing w:after="0"/>
              <w:rPr>
                <w:sz w:val="14"/>
                <w:szCs w:val="14"/>
                <w:color w:val="auto"/>
              </w:rPr>
            </w:pPr>
          </w:p>
        </w:tc>
        <w:tc>
          <w:tcPr>
            <w:tcW w:w="1240" w:type="dxa"/>
            <w:vAlign w:val="bottom"/>
            <w:vMerge w:val="restart"/>
          </w:tcPr>
          <w:p>
            <w:pPr>
              <w:jc w:val="right"/>
              <w:spacing w:after="0"/>
              <w:rPr>
                <w:sz w:val="20"/>
                <w:szCs w:val="20"/>
                <w:color w:val="auto"/>
              </w:rPr>
            </w:pPr>
            <w:r>
              <w:rPr>
                <w:rFonts w:ascii="Arial" w:cs="Arial" w:eastAsia="Arial" w:hAnsi="Arial"/>
                <w:sz w:val="16"/>
                <w:szCs w:val="16"/>
                <w:color w:val="auto"/>
              </w:rPr>
              <w:t>14,699</w:t>
            </w:r>
          </w:p>
        </w:tc>
        <w:tc>
          <w:tcPr>
            <w:tcW w:w="0" w:type="dxa"/>
            <w:vAlign w:val="bottom"/>
          </w:tcPr>
          <w:p>
            <w:pPr>
              <w:spacing w:after="0"/>
              <w:rPr>
                <w:sz w:val="1"/>
                <w:szCs w:val="1"/>
                <w:color w:val="auto"/>
              </w:rPr>
            </w:pPr>
          </w:p>
        </w:tc>
      </w:tr>
      <w:tr>
        <w:trPr>
          <w:trHeight w:val="215"/>
        </w:trPr>
        <w:tc>
          <w:tcPr>
            <w:tcW w:w="8300" w:type="dxa"/>
            <w:vAlign w:val="bottom"/>
          </w:tcPr>
          <w:p>
            <w:pPr>
              <w:ind w:left="360"/>
              <w:spacing w:after="0"/>
              <w:rPr>
                <w:sz w:val="20"/>
                <w:szCs w:val="20"/>
                <w:color w:val="auto"/>
              </w:rPr>
            </w:pPr>
            <w:r>
              <w:rPr>
                <w:rFonts w:ascii="Arial" w:cs="Arial" w:eastAsia="Arial" w:hAnsi="Arial"/>
                <w:sz w:val="16"/>
                <w:szCs w:val="16"/>
                <w:color w:val="auto"/>
              </w:rPr>
              <w:t>outstanding at March 31, 2026 and December 31, 2025, respectively; no par value)</w:t>
            </w:r>
          </w:p>
        </w:tc>
        <w:tc>
          <w:tcPr>
            <w:tcW w:w="220" w:type="dxa"/>
            <w:vAlign w:val="bottom"/>
          </w:tcPr>
          <w:p>
            <w:pPr>
              <w:spacing w:after="0"/>
              <w:rPr>
                <w:sz w:val="18"/>
                <w:szCs w:val="18"/>
                <w:color w:val="auto"/>
              </w:rPr>
            </w:pPr>
          </w:p>
        </w:tc>
        <w:tc>
          <w:tcPr>
            <w:tcW w:w="124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8300" w:type="dxa"/>
            <w:vAlign w:val="bottom"/>
            <w:shd w:val="clear" w:color="auto" w:fill="D4F1F5"/>
          </w:tcPr>
          <w:p>
            <w:pPr>
              <w:ind w:left="240"/>
              <w:spacing w:after="0"/>
              <w:rPr>
                <w:sz w:val="20"/>
                <w:szCs w:val="20"/>
                <w:color w:val="auto"/>
              </w:rPr>
            </w:pPr>
            <w:r>
              <w:rPr>
                <w:rFonts w:ascii="Arial" w:cs="Arial" w:eastAsia="Arial" w:hAnsi="Arial"/>
                <w:sz w:val="16"/>
                <w:szCs w:val="16"/>
                <w:color w:val="auto"/>
              </w:rPr>
              <w:t>Retained earnings</w:t>
            </w:r>
          </w:p>
        </w:tc>
        <w:tc>
          <w:tcPr>
            <w:tcW w:w="220" w:type="dxa"/>
            <w:vAlign w:val="bottom"/>
            <w:shd w:val="clear" w:color="auto" w:fill="D4F1F5"/>
          </w:tcPr>
          <w:p>
            <w:pPr>
              <w:spacing w:after="0"/>
              <w:rPr>
                <w:sz w:val="18"/>
                <w:szCs w:val="18"/>
                <w:color w:val="auto"/>
              </w:rPr>
            </w:pPr>
          </w:p>
        </w:tc>
        <w:tc>
          <w:tcPr>
            <w:tcW w:w="1240" w:type="dxa"/>
            <w:vAlign w:val="bottom"/>
            <w:shd w:val="clear" w:color="auto" w:fill="D4F1F5"/>
          </w:tcPr>
          <w:p>
            <w:pPr>
              <w:jc w:val="right"/>
              <w:ind w:right="40"/>
              <w:spacing w:after="0"/>
              <w:rPr>
                <w:sz w:val="20"/>
                <w:szCs w:val="20"/>
                <w:color w:val="auto"/>
              </w:rPr>
            </w:pPr>
            <w:r>
              <w:rPr>
                <w:rFonts w:ascii="Arial" w:cs="Arial" w:eastAsia="Arial" w:hAnsi="Arial"/>
                <w:sz w:val="16"/>
                <w:szCs w:val="16"/>
                <w:color w:val="auto"/>
              </w:rPr>
              <w:t>17,699</w:t>
            </w:r>
          </w:p>
        </w:tc>
        <w:tc>
          <w:tcPr>
            <w:tcW w:w="240" w:type="dxa"/>
            <w:vAlign w:val="bottom"/>
            <w:shd w:val="clear" w:color="auto" w:fill="D4F1F5"/>
          </w:tcPr>
          <w:p>
            <w:pPr>
              <w:spacing w:after="0"/>
              <w:rPr>
                <w:sz w:val="18"/>
                <w:szCs w:val="18"/>
                <w:color w:val="auto"/>
              </w:rPr>
            </w:pPr>
          </w:p>
        </w:tc>
        <w:tc>
          <w:tcPr>
            <w:tcW w:w="1240" w:type="dxa"/>
            <w:vAlign w:val="bottom"/>
            <w:shd w:val="clear" w:color="auto" w:fill="D4F1F5"/>
          </w:tcPr>
          <w:p>
            <w:pPr>
              <w:jc w:val="right"/>
              <w:spacing w:after="0"/>
              <w:rPr>
                <w:sz w:val="20"/>
                <w:szCs w:val="20"/>
                <w:color w:val="auto"/>
              </w:rPr>
            </w:pPr>
            <w:r>
              <w:rPr>
                <w:rFonts w:ascii="Arial" w:cs="Arial" w:eastAsia="Arial" w:hAnsi="Arial"/>
                <w:sz w:val="16"/>
                <w:szCs w:val="16"/>
                <w:color w:val="auto"/>
              </w:rPr>
              <w:t>17,092</w:t>
            </w:r>
          </w:p>
        </w:tc>
        <w:tc>
          <w:tcPr>
            <w:tcW w:w="0" w:type="dxa"/>
            <w:vAlign w:val="bottom"/>
          </w:tcPr>
          <w:p>
            <w:pPr>
              <w:spacing w:after="0"/>
              <w:rPr>
                <w:sz w:val="1"/>
                <w:szCs w:val="1"/>
                <w:color w:val="auto"/>
              </w:rPr>
            </w:pPr>
          </w:p>
        </w:tc>
      </w:tr>
      <w:tr>
        <w:trPr>
          <w:trHeight w:val="215"/>
        </w:trPr>
        <w:tc>
          <w:tcPr>
            <w:tcW w:w="8300" w:type="dxa"/>
            <w:vAlign w:val="bottom"/>
            <w:tcBorders>
              <w:bottom w:val="single" w:sz="8" w:color="D4F1F5"/>
            </w:tcBorders>
          </w:tcPr>
          <w:p>
            <w:pPr>
              <w:ind w:left="240"/>
              <w:spacing w:after="0"/>
              <w:rPr>
                <w:sz w:val="20"/>
                <w:szCs w:val="20"/>
                <w:color w:val="auto"/>
              </w:rPr>
            </w:pPr>
            <w:r>
              <w:rPr>
                <w:rFonts w:ascii="Arial" w:cs="Arial" w:eastAsia="Arial" w:hAnsi="Arial"/>
                <w:sz w:val="16"/>
                <w:szCs w:val="16"/>
                <w:color w:val="auto"/>
              </w:rPr>
              <w:t>Accumulated other comprehensive income (loss)</w:t>
            </w:r>
          </w:p>
        </w:tc>
        <w:tc>
          <w:tcPr>
            <w:tcW w:w="2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(191)</w:t>
            </w:r>
          </w:p>
        </w:tc>
        <w:tc>
          <w:tcPr>
            <w:tcW w:w="2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(197)</w:t>
            </w:r>
          </w:p>
        </w:tc>
        <w:tc>
          <w:tcPr>
            <w:tcW w:w="0" w:type="dxa"/>
            <w:vAlign w:val="bottom"/>
          </w:tcPr>
          <w:p>
            <w:pPr>
              <w:spacing w:after="0"/>
              <w:rPr>
                <w:sz w:val="1"/>
                <w:szCs w:val="1"/>
                <w:color w:val="auto"/>
              </w:rPr>
            </w:pPr>
          </w:p>
        </w:tc>
      </w:tr>
      <w:tr>
        <w:trPr>
          <w:trHeight w:val="210"/>
        </w:trPr>
        <w:tc>
          <w:tcPr>
            <w:tcW w:w="8300" w:type="dxa"/>
            <w:vAlign w:val="bottom"/>
            <w:shd w:val="clear" w:color="auto" w:fill="D4F1F5"/>
          </w:tcPr>
          <w:p>
            <w:pPr>
              <w:ind w:left="460"/>
              <w:spacing w:after="0"/>
              <w:rPr>
                <w:sz w:val="20"/>
                <w:szCs w:val="20"/>
                <w:color w:val="auto"/>
              </w:rPr>
            </w:pPr>
            <w:r>
              <w:rPr>
                <w:rFonts w:ascii="Arial" w:cs="Arial" w:eastAsia="Arial" w:hAnsi="Arial"/>
                <w:sz w:val="16"/>
                <w:szCs w:val="16"/>
                <w:color w:val="auto"/>
              </w:rPr>
              <w:t>Total Sempra shareholders’ equity</w:t>
            </w:r>
          </w:p>
        </w:tc>
        <w:tc>
          <w:tcPr>
            <w:tcW w:w="220" w:type="dxa"/>
            <w:vAlign w:val="bottom"/>
            <w:shd w:val="clear" w:color="auto" w:fill="D4F1F5"/>
          </w:tcPr>
          <w:p>
            <w:pPr>
              <w:spacing w:after="0"/>
              <w:rPr>
                <w:sz w:val="18"/>
                <w:szCs w:val="18"/>
                <w:color w:val="auto"/>
              </w:rPr>
            </w:pPr>
          </w:p>
        </w:tc>
        <w:tc>
          <w:tcPr>
            <w:tcW w:w="1240" w:type="dxa"/>
            <w:vAlign w:val="bottom"/>
            <w:shd w:val="clear" w:color="auto" w:fill="D4F1F5"/>
          </w:tcPr>
          <w:p>
            <w:pPr>
              <w:jc w:val="right"/>
              <w:ind w:right="40"/>
              <w:spacing w:after="0"/>
              <w:rPr>
                <w:sz w:val="20"/>
                <w:szCs w:val="20"/>
                <w:color w:val="auto"/>
              </w:rPr>
            </w:pPr>
            <w:r>
              <w:rPr>
                <w:rFonts w:ascii="Arial" w:cs="Arial" w:eastAsia="Arial" w:hAnsi="Arial"/>
                <w:sz w:val="16"/>
                <w:szCs w:val="16"/>
                <w:color w:val="auto"/>
              </w:rPr>
              <w:t>32,239</w:t>
            </w:r>
          </w:p>
        </w:tc>
        <w:tc>
          <w:tcPr>
            <w:tcW w:w="240" w:type="dxa"/>
            <w:vAlign w:val="bottom"/>
            <w:shd w:val="clear" w:color="auto" w:fill="D4F1F5"/>
          </w:tcPr>
          <w:p>
            <w:pPr>
              <w:spacing w:after="0"/>
              <w:rPr>
                <w:sz w:val="18"/>
                <w:szCs w:val="18"/>
                <w:color w:val="auto"/>
              </w:rPr>
            </w:pPr>
          </w:p>
        </w:tc>
        <w:tc>
          <w:tcPr>
            <w:tcW w:w="1240" w:type="dxa"/>
            <w:vAlign w:val="bottom"/>
            <w:shd w:val="clear" w:color="auto" w:fill="D4F1F5"/>
          </w:tcPr>
          <w:p>
            <w:pPr>
              <w:jc w:val="right"/>
              <w:spacing w:after="0"/>
              <w:rPr>
                <w:sz w:val="20"/>
                <w:szCs w:val="20"/>
                <w:color w:val="auto"/>
              </w:rPr>
            </w:pPr>
            <w:r>
              <w:rPr>
                <w:rFonts w:ascii="Arial" w:cs="Arial" w:eastAsia="Arial" w:hAnsi="Arial"/>
                <w:sz w:val="16"/>
                <w:szCs w:val="16"/>
                <w:color w:val="auto"/>
              </w:rPr>
              <w:t>31,594</w:t>
            </w:r>
          </w:p>
        </w:tc>
        <w:tc>
          <w:tcPr>
            <w:tcW w:w="0" w:type="dxa"/>
            <w:vAlign w:val="bottom"/>
          </w:tcPr>
          <w:p>
            <w:pPr>
              <w:spacing w:after="0"/>
              <w:rPr>
                <w:sz w:val="1"/>
                <w:szCs w:val="1"/>
                <w:color w:val="auto"/>
              </w:rPr>
            </w:pPr>
          </w:p>
        </w:tc>
      </w:tr>
      <w:tr>
        <w:trPr>
          <w:trHeight w:val="215"/>
        </w:trPr>
        <w:tc>
          <w:tcPr>
            <w:tcW w:w="8300" w:type="dxa"/>
            <w:vAlign w:val="bottom"/>
          </w:tcPr>
          <w:p>
            <w:pPr>
              <w:ind w:left="240"/>
              <w:spacing w:after="0"/>
              <w:rPr>
                <w:sz w:val="20"/>
                <w:szCs w:val="20"/>
                <w:color w:val="auto"/>
              </w:rPr>
            </w:pPr>
            <w:r>
              <w:rPr>
                <w:rFonts w:ascii="Arial" w:cs="Arial" w:eastAsia="Arial" w:hAnsi="Arial"/>
                <w:sz w:val="16"/>
                <w:szCs w:val="16"/>
                <w:color w:val="auto"/>
              </w:rPr>
              <w:t>Preferred stock of subsidiary</w:t>
            </w:r>
          </w:p>
        </w:tc>
        <w:tc>
          <w:tcPr>
            <w:tcW w:w="220" w:type="dxa"/>
            <w:vAlign w:val="bottom"/>
          </w:tcPr>
          <w:p>
            <w:pPr>
              <w:spacing w:after="0"/>
              <w:rPr>
                <w:sz w:val="18"/>
                <w:szCs w:val="18"/>
                <w:color w:val="auto"/>
              </w:rPr>
            </w:pPr>
          </w:p>
        </w:tc>
        <w:tc>
          <w:tcPr>
            <w:tcW w:w="1240" w:type="dxa"/>
            <w:vAlign w:val="bottom"/>
          </w:tcPr>
          <w:p>
            <w:pPr>
              <w:jc w:val="right"/>
              <w:ind w:right="40"/>
              <w:spacing w:after="0"/>
              <w:rPr>
                <w:sz w:val="20"/>
                <w:szCs w:val="20"/>
                <w:color w:val="auto"/>
              </w:rPr>
            </w:pPr>
            <w:r>
              <w:rPr>
                <w:rFonts w:ascii="Arial" w:cs="Arial" w:eastAsia="Arial" w:hAnsi="Arial"/>
                <w:sz w:val="16"/>
                <w:szCs w:val="16"/>
                <w:color w:val="auto"/>
              </w:rPr>
              <w:t>20</w:t>
            </w:r>
          </w:p>
        </w:tc>
        <w:tc>
          <w:tcPr>
            <w:tcW w:w="2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20</w:t>
            </w:r>
          </w:p>
        </w:tc>
        <w:tc>
          <w:tcPr>
            <w:tcW w:w="0" w:type="dxa"/>
            <w:vAlign w:val="bottom"/>
          </w:tcPr>
          <w:p>
            <w:pPr>
              <w:spacing w:after="0"/>
              <w:rPr>
                <w:sz w:val="1"/>
                <w:szCs w:val="1"/>
                <w:color w:val="auto"/>
              </w:rPr>
            </w:pPr>
          </w:p>
        </w:tc>
      </w:tr>
      <w:tr>
        <w:trPr>
          <w:trHeight w:val="217"/>
        </w:trPr>
        <w:tc>
          <w:tcPr>
            <w:tcW w:w="8300" w:type="dxa"/>
            <w:vAlign w:val="bottom"/>
            <w:shd w:val="clear" w:color="auto" w:fill="D4F1F5"/>
          </w:tcPr>
          <w:p>
            <w:pPr>
              <w:ind w:left="240"/>
              <w:spacing w:after="0"/>
              <w:rPr>
                <w:sz w:val="20"/>
                <w:szCs w:val="20"/>
                <w:color w:val="auto"/>
              </w:rPr>
            </w:pPr>
            <w:r>
              <w:rPr>
                <w:rFonts w:ascii="Arial" w:cs="Arial" w:eastAsia="Arial" w:hAnsi="Arial"/>
                <w:sz w:val="16"/>
                <w:szCs w:val="16"/>
                <w:color w:val="auto"/>
              </w:rPr>
              <w:t>Other noncontrolling interests</w:t>
            </w:r>
          </w:p>
        </w:tc>
        <w:tc>
          <w:tcPr>
            <w:tcW w:w="220" w:type="dxa"/>
            <w:vAlign w:val="bottom"/>
            <w:tcBorders>
              <w:bottom w:val="single" w:sz="8" w:color="auto"/>
            </w:tcBorders>
            <w:shd w:val="clear" w:color="auto" w:fill="D4F1F5"/>
          </w:tcPr>
          <w:p>
            <w:pPr>
              <w:spacing w:after="0"/>
              <w:rPr>
                <w:sz w:val="18"/>
                <w:szCs w:val="18"/>
                <w:color w:val="auto"/>
              </w:rPr>
            </w:pPr>
          </w:p>
        </w:tc>
        <w:tc>
          <w:tcPr>
            <w:tcW w:w="1240" w:type="dxa"/>
            <w:vAlign w:val="bottom"/>
            <w:tcBorders>
              <w:bottom w:val="single" w:sz="8" w:color="auto"/>
            </w:tcBorders>
            <w:shd w:val="clear" w:color="auto" w:fill="D4F1F5"/>
          </w:tcPr>
          <w:p>
            <w:pPr>
              <w:jc w:val="right"/>
              <w:ind w:right="40"/>
              <w:spacing w:after="0"/>
              <w:rPr>
                <w:sz w:val="20"/>
                <w:szCs w:val="20"/>
                <w:color w:val="auto"/>
              </w:rPr>
            </w:pPr>
            <w:r>
              <w:rPr>
                <w:rFonts w:ascii="Arial" w:cs="Arial" w:eastAsia="Arial" w:hAnsi="Arial"/>
                <w:sz w:val="16"/>
                <w:szCs w:val="16"/>
                <w:color w:val="auto"/>
              </w:rPr>
              <w:t>7,215</w:t>
            </w:r>
          </w:p>
        </w:tc>
        <w:tc>
          <w:tcPr>
            <w:tcW w:w="240" w:type="dxa"/>
            <w:vAlign w:val="bottom"/>
            <w:tcBorders>
              <w:bottom w:val="single" w:sz="8" w:color="auto"/>
            </w:tcBorders>
            <w:shd w:val="clear" w:color="auto" w:fill="D4F1F5"/>
          </w:tcPr>
          <w:p>
            <w:pPr>
              <w:spacing w:after="0"/>
              <w:rPr>
                <w:sz w:val="18"/>
                <w:szCs w:val="18"/>
                <w:color w:val="auto"/>
              </w:rPr>
            </w:pPr>
          </w:p>
        </w:tc>
        <w:tc>
          <w:tcPr>
            <w:tcW w:w="1240" w:type="dxa"/>
            <w:vAlign w:val="bottom"/>
            <w:tcBorders>
              <w:bottom w:val="single" w:sz="8" w:color="auto"/>
            </w:tcBorders>
            <w:shd w:val="clear" w:color="auto" w:fill="D4F1F5"/>
          </w:tcPr>
          <w:p>
            <w:pPr>
              <w:jc w:val="right"/>
              <w:spacing w:after="0"/>
              <w:rPr>
                <w:sz w:val="20"/>
                <w:szCs w:val="20"/>
                <w:color w:val="auto"/>
              </w:rPr>
            </w:pPr>
            <w:r>
              <w:rPr>
                <w:rFonts w:ascii="Arial" w:cs="Arial" w:eastAsia="Arial" w:hAnsi="Arial"/>
                <w:sz w:val="16"/>
                <w:szCs w:val="16"/>
                <w:color w:val="auto"/>
              </w:rPr>
              <w:t>7,179</w:t>
            </w:r>
          </w:p>
        </w:tc>
        <w:tc>
          <w:tcPr>
            <w:tcW w:w="0" w:type="dxa"/>
            <w:vAlign w:val="bottom"/>
          </w:tcPr>
          <w:p>
            <w:pPr>
              <w:spacing w:after="0"/>
              <w:rPr>
                <w:sz w:val="1"/>
                <w:szCs w:val="1"/>
                <w:color w:val="auto"/>
              </w:rPr>
            </w:pPr>
          </w:p>
        </w:tc>
      </w:tr>
      <w:tr>
        <w:trPr>
          <w:trHeight w:val="209"/>
        </w:trPr>
        <w:tc>
          <w:tcPr>
            <w:tcW w:w="8300" w:type="dxa"/>
            <w:vAlign w:val="bottom"/>
            <w:tcBorders>
              <w:bottom w:val="single" w:sz="8" w:color="D4F1F5"/>
            </w:tcBorders>
          </w:tcPr>
          <w:p>
            <w:pPr>
              <w:ind w:left="460"/>
              <w:spacing w:after="0"/>
              <w:rPr>
                <w:sz w:val="20"/>
                <w:szCs w:val="20"/>
                <w:color w:val="auto"/>
              </w:rPr>
            </w:pPr>
            <w:r>
              <w:rPr>
                <w:rFonts w:ascii="Arial" w:cs="Arial" w:eastAsia="Arial" w:hAnsi="Arial"/>
                <w:sz w:val="16"/>
                <w:szCs w:val="16"/>
                <w:color w:val="auto"/>
              </w:rPr>
              <w:t>Total equity</w:t>
            </w:r>
          </w:p>
        </w:tc>
        <w:tc>
          <w:tcPr>
            <w:tcW w:w="2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39,474</w:t>
            </w:r>
          </w:p>
        </w:tc>
        <w:tc>
          <w:tcPr>
            <w:tcW w:w="2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38,793</w:t>
            </w:r>
          </w:p>
        </w:tc>
        <w:tc>
          <w:tcPr>
            <w:tcW w:w="0" w:type="dxa"/>
            <w:vAlign w:val="bottom"/>
          </w:tcPr>
          <w:p>
            <w:pPr>
              <w:spacing w:after="0"/>
              <w:rPr>
                <w:sz w:val="1"/>
                <w:szCs w:val="1"/>
                <w:color w:val="auto"/>
              </w:rPr>
            </w:pPr>
          </w:p>
        </w:tc>
      </w:tr>
      <w:tr>
        <w:trPr>
          <w:trHeight w:val="217"/>
        </w:trPr>
        <w:tc>
          <w:tcPr>
            <w:tcW w:w="8300" w:type="dxa"/>
            <w:vAlign w:val="bottom"/>
            <w:tcBorders>
              <w:bottom w:val="single" w:sz="8" w:color="auto"/>
            </w:tcBorders>
            <w:shd w:val="clear" w:color="auto" w:fill="D4F1F5"/>
          </w:tcPr>
          <w:p>
            <w:pPr>
              <w:ind w:left="20"/>
              <w:spacing w:after="0"/>
              <w:rPr>
                <w:sz w:val="20"/>
                <w:szCs w:val="20"/>
                <w:color w:val="auto"/>
              </w:rPr>
            </w:pPr>
            <w:r>
              <w:rPr>
                <w:rFonts w:ascii="Arial" w:cs="Arial" w:eastAsia="Arial" w:hAnsi="Arial"/>
                <w:sz w:val="16"/>
                <w:szCs w:val="16"/>
                <w:color w:val="auto"/>
              </w:rPr>
              <w:t>Total liabilities, contingently redeemable noncontrolling interest, and equity</w:t>
            </w:r>
          </w:p>
        </w:tc>
        <w:tc>
          <w:tcPr>
            <w:tcW w:w="220" w:type="dxa"/>
            <w:vAlign w:val="bottom"/>
            <w:tcBorders>
              <w:bottom w:val="single" w:sz="8" w:color="auto"/>
            </w:tcBorders>
            <w:shd w:val="clear" w:color="auto" w:fill="D4F1F5"/>
          </w:tcPr>
          <w:p>
            <w:pPr>
              <w:jc w:val="right"/>
              <w:ind w:right="39"/>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shd w:val="clear" w:color="auto" w:fill="D4F1F5"/>
          </w:tcPr>
          <w:p>
            <w:pPr>
              <w:jc w:val="right"/>
              <w:ind w:right="40"/>
              <w:spacing w:after="0"/>
              <w:rPr>
                <w:sz w:val="20"/>
                <w:szCs w:val="20"/>
                <w:color w:val="auto"/>
              </w:rPr>
            </w:pPr>
            <w:r>
              <w:rPr>
                <w:rFonts w:ascii="Arial" w:cs="Arial" w:eastAsia="Arial" w:hAnsi="Arial"/>
                <w:sz w:val="16"/>
                <w:szCs w:val="16"/>
                <w:color w:val="auto"/>
              </w:rPr>
              <w:t>113,518</w:t>
            </w:r>
          </w:p>
        </w:tc>
        <w:tc>
          <w:tcPr>
            <w:tcW w:w="240" w:type="dxa"/>
            <w:vAlign w:val="bottom"/>
            <w:tcBorders>
              <w:bottom w:val="single" w:sz="8" w:color="auto"/>
            </w:tcBorders>
            <w:shd w:val="clear" w:color="auto" w:fill="D4F1F5"/>
          </w:tcPr>
          <w:p>
            <w:pPr>
              <w:jc w:val="right"/>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shd w:val="clear" w:color="auto" w:fill="D4F1F5"/>
          </w:tcPr>
          <w:p>
            <w:pPr>
              <w:jc w:val="right"/>
              <w:spacing w:after="0"/>
              <w:rPr>
                <w:sz w:val="20"/>
                <w:szCs w:val="20"/>
                <w:color w:val="auto"/>
              </w:rPr>
            </w:pPr>
            <w:r>
              <w:rPr>
                <w:rFonts w:ascii="Arial" w:cs="Arial" w:eastAsia="Arial" w:hAnsi="Arial"/>
                <w:sz w:val="16"/>
                <w:szCs w:val="16"/>
                <w:color w:val="auto"/>
              </w:rPr>
              <w:t>110,878</w:t>
            </w:r>
          </w:p>
        </w:tc>
        <w:tc>
          <w:tcPr>
            <w:tcW w:w="0" w:type="dxa"/>
            <w:vAlign w:val="bottom"/>
          </w:tcPr>
          <w:p>
            <w:pPr>
              <w:spacing w:after="0"/>
              <w:rPr>
                <w:sz w:val="1"/>
                <w:szCs w:val="1"/>
                <w:color w:val="auto"/>
              </w:rPr>
            </w:pPr>
          </w:p>
        </w:tc>
      </w:tr>
    </w:tbl>
    <w:p>
      <w:pPr>
        <w:spacing w:after="0" w:line="59" w:lineRule="exact"/>
        <w:rPr>
          <w:sz w:val="20"/>
          <w:szCs w:val="20"/>
          <w:color w:val="auto"/>
        </w:rPr>
      </w:pPr>
    </w:p>
    <w:p>
      <w:pPr>
        <w:spacing w:after="0"/>
        <w:tabs>
          <w:tab w:leader="none" w:pos="240" w:val="left"/>
        </w:tabs>
        <w:rPr>
          <w:sz w:val="20"/>
          <w:szCs w:val="20"/>
          <w:color w:val="auto"/>
        </w:rPr>
      </w:pPr>
      <w:r>
        <w:rPr>
          <w:rFonts w:ascii="Arial" w:cs="Arial" w:eastAsia="Arial" w:hAnsi="Arial"/>
          <w:sz w:val="21"/>
          <w:szCs w:val="21"/>
          <w:i w:val="1"/>
          <w:iCs w:val="1"/>
          <w:color w:val="auto"/>
          <w:vertAlign w:val="superscript"/>
        </w:rPr>
        <w:t>(1)</w:t>
      </w:r>
      <w:r>
        <w:rPr>
          <w:sz w:val="20"/>
          <w:szCs w:val="20"/>
          <w:color w:val="auto"/>
        </w:rPr>
        <w:tab/>
      </w:r>
      <w:r>
        <w:rPr>
          <w:rFonts w:ascii="Arial" w:cs="Arial" w:eastAsia="Arial" w:hAnsi="Arial"/>
          <w:sz w:val="14"/>
          <w:szCs w:val="14"/>
          <w:i w:val="1"/>
          <w:iCs w:val="1"/>
          <w:color w:val="auto"/>
        </w:rPr>
        <w:t>Derived from audited financial statements.</w:t>
      </w:r>
    </w:p>
    <w:p>
      <w:pPr>
        <w:spacing w:after="0" w:line="55"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See Notes to Condensed Consolidated Financial Statements.</w:t>
      </w: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150495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480060</wp:posOffset>
            </wp:positionV>
            <wp:extent cx="7132320" cy="45466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4546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FFFFFF"/>
        </w:rPr>
        <w:t>SEMPRA</w:t>
      </w:r>
    </w:p>
    <w:p>
      <w:pPr>
        <w:spacing w:after="0" w:line="59"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FFFFFF"/>
        </w:rPr>
        <w:t>CONDENSED CONSOLIDATED STATEMENTS OF CASH FLOWS</w:t>
      </w:r>
    </w:p>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8300" w:type="dxa"/>
            <w:vAlign w:val="bottom"/>
          </w:tcPr>
          <w:p>
            <w:pPr>
              <w:ind w:left="20"/>
              <w:spacing w:after="0"/>
              <w:rPr>
                <w:sz w:val="20"/>
                <w:szCs w:val="20"/>
                <w:color w:val="auto"/>
              </w:rPr>
            </w:pPr>
            <w:r>
              <w:rPr>
                <w:rFonts w:ascii="Arial" w:cs="Arial" w:eastAsia="Arial" w:hAnsi="Arial"/>
                <w:sz w:val="14"/>
                <w:szCs w:val="14"/>
                <w:i w:val="1"/>
                <w:iCs w:val="1"/>
                <w:color w:val="FFFFFF"/>
              </w:rPr>
              <w:t>(Dollars in millions)</w:t>
            </w:r>
          </w:p>
        </w:tc>
        <w:tc>
          <w:tcPr>
            <w:tcW w:w="8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980" w:type="dxa"/>
            <w:vAlign w:val="bottom"/>
          </w:tcPr>
          <w:p>
            <w:pPr>
              <w:spacing w:after="0"/>
              <w:rPr>
                <w:sz w:val="16"/>
                <w:szCs w:val="16"/>
                <w:color w:val="auto"/>
              </w:rPr>
            </w:pPr>
          </w:p>
        </w:tc>
      </w:tr>
      <w:tr>
        <w:trPr>
          <w:trHeight w:val="233"/>
        </w:trPr>
        <w:tc>
          <w:tcPr>
            <w:tcW w:w="8300" w:type="dxa"/>
            <w:vAlign w:val="bottom"/>
          </w:tcPr>
          <w:p>
            <w:pPr>
              <w:spacing w:after="0"/>
              <w:rPr>
                <w:sz w:val="20"/>
                <w:szCs w:val="20"/>
                <w:color w:val="auto"/>
              </w:rPr>
            </w:pPr>
          </w:p>
        </w:tc>
        <w:tc>
          <w:tcPr>
            <w:tcW w:w="2940" w:type="dxa"/>
            <w:vAlign w:val="bottom"/>
            <w:tcBorders>
              <w:bottom w:val="single" w:sz="8" w:color="auto"/>
            </w:tcBorders>
            <w:gridSpan w:val="4"/>
          </w:tcPr>
          <w:p>
            <w:pPr>
              <w:jc w:val="right"/>
              <w:ind w:right="379"/>
              <w:spacing w:after="0"/>
              <w:rPr>
                <w:sz w:val="20"/>
                <w:szCs w:val="20"/>
                <w:color w:val="auto"/>
              </w:rPr>
            </w:pPr>
            <w:r>
              <w:rPr>
                <w:rFonts w:ascii="Arial" w:cs="Arial" w:eastAsia="Arial" w:hAnsi="Arial"/>
                <w:sz w:val="14"/>
                <w:szCs w:val="14"/>
                <w:color w:val="auto"/>
              </w:rPr>
              <w:t>Three months ended March 31,</w:t>
            </w:r>
          </w:p>
        </w:tc>
      </w:tr>
      <w:tr>
        <w:trPr>
          <w:trHeight w:val="209"/>
        </w:trPr>
        <w:tc>
          <w:tcPr>
            <w:tcW w:w="83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2026</w:t>
            </w:r>
          </w:p>
        </w:tc>
        <w:tc>
          <w:tcPr>
            <w:tcW w:w="60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459"/>
              <w:spacing w:after="0"/>
              <w:rPr>
                <w:sz w:val="20"/>
                <w:szCs w:val="20"/>
                <w:color w:val="auto"/>
              </w:rPr>
            </w:pPr>
            <w:r>
              <w:rPr>
                <w:rFonts w:ascii="Arial" w:cs="Arial" w:eastAsia="Arial" w:hAnsi="Arial"/>
                <w:sz w:val="14"/>
                <w:szCs w:val="14"/>
                <w:color w:val="auto"/>
              </w:rPr>
              <w:t>2025</w:t>
            </w:r>
          </w:p>
        </w:tc>
      </w:tr>
      <w:tr>
        <w:trPr>
          <w:trHeight w:val="214"/>
        </w:trPr>
        <w:tc>
          <w:tcPr>
            <w:tcW w:w="8300" w:type="dxa"/>
            <w:vAlign w:val="bottom"/>
            <w:shd w:val="clear" w:color="auto" w:fill="D4F1F5"/>
          </w:tcPr>
          <w:p>
            <w:pPr>
              <w:spacing w:after="0"/>
              <w:rPr>
                <w:sz w:val="18"/>
                <w:szCs w:val="18"/>
                <w:color w:val="auto"/>
              </w:rPr>
            </w:pPr>
          </w:p>
        </w:tc>
        <w:tc>
          <w:tcPr>
            <w:tcW w:w="860" w:type="dxa"/>
            <w:vAlign w:val="bottom"/>
            <w:shd w:val="clear" w:color="auto" w:fill="D4F1F5"/>
          </w:tcPr>
          <w:p>
            <w:pPr>
              <w:spacing w:after="0"/>
              <w:rPr>
                <w:sz w:val="18"/>
                <w:szCs w:val="18"/>
                <w:color w:val="auto"/>
              </w:rPr>
            </w:pPr>
          </w:p>
        </w:tc>
        <w:tc>
          <w:tcPr>
            <w:tcW w:w="1100" w:type="dxa"/>
            <w:vAlign w:val="bottom"/>
            <w:gridSpan w:val="2"/>
            <w:shd w:val="clear" w:color="auto" w:fill="D4F1F5"/>
          </w:tcPr>
          <w:p>
            <w:pPr>
              <w:jc w:val="right"/>
              <w:ind w:right="39"/>
              <w:spacing w:after="0"/>
              <w:rPr>
                <w:sz w:val="20"/>
                <w:szCs w:val="20"/>
                <w:color w:val="auto"/>
              </w:rPr>
            </w:pPr>
            <w:r>
              <w:rPr>
                <w:rFonts w:ascii="Arial" w:cs="Arial" w:eastAsia="Arial" w:hAnsi="Arial"/>
                <w:sz w:val="14"/>
                <w:szCs w:val="14"/>
                <w:color w:val="auto"/>
              </w:rPr>
              <w:t>(unaudited)</w:t>
            </w:r>
          </w:p>
        </w:tc>
        <w:tc>
          <w:tcPr>
            <w:tcW w:w="980" w:type="dxa"/>
            <w:vAlign w:val="bottom"/>
            <w:shd w:val="clear" w:color="auto" w:fill="D4F1F5"/>
          </w:tcPr>
          <w:p>
            <w:pPr>
              <w:spacing w:after="0"/>
              <w:rPr>
                <w:sz w:val="18"/>
                <w:szCs w:val="18"/>
                <w:color w:val="auto"/>
              </w:rPr>
            </w:pPr>
          </w:p>
        </w:tc>
      </w:tr>
      <w:tr>
        <w:trPr>
          <w:trHeight w:val="215"/>
        </w:trPr>
        <w:tc>
          <w:tcPr>
            <w:tcW w:w="8300" w:type="dxa"/>
            <w:vAlign w:val="bottom"/>
          </w:tcPr>
          <w:p>
            <w:pPr>
              <w:ind w:left="20"/>
              <w:spacing w:after="0"/>
              <w:rPr>
                <w:sz w:val="20"/>
                <w:szCs w:val="20"/>
                <w:color w:val="auto"/>
              </w:rPr>
            </w:pPr>
            <w:r>
              <w:rPr>
                <w:rFonts w:ascii="Arial" w:cs="Arial" w:eastAsia="Arial" w:hAnsi="Arial"/>
                <w:sz w:val="16"/>
                <w:szCs w:val="16"/>
                <w:color w:val="auto"/>
              </w:rPr>
              <w:t>CASH FLOWS FROM OPERATING ACTIVITIES</w:t>
            </w:r>
          </w:p>
        </w:tc>
        <w:tc>
          <w:tcPr>
            <w:tcW w:w="8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17"/>
        </w:trPr>
        <w:tc>
          <w:tcPr>
            <w:tcW w:w="8300" w:type="dxa"/>
            <w:vAlign w:val="bottom"/>
            <w:shd w:val="clear" w:color="auto" w:fill="D4F1F5"/>
          </w:tcPr>
          <w:p>
            <w:pPr>
              <w:ind w:left="240"/>
              <w:spacing w:after="0"/>
              <w:rPr>
                <w:sz w:val="20"/>
                <w:szCs w:val="20"/>
                <w:color w:val="auto"/>
              </w:rPr>
            </w:pPr>
            <w:r>
              <w:rPr>
                <w:rFonts w:ascii="Arial" w:cs="Arial" w:eastAsia="Arial" w:hAnsi="Arial"/>
                <w:sz w:val="16"/>
                <w:szCs w:val="16"/>
                <w:color w:val="auto"/>
              </w:rPr>
              <w:t>Net income</w:t>
            </w:r>
          </w:p>
        </w:tc>
        <w:tc>
          <w:tcPr>
            <w:tcW w:w="860" w:type="dxa"/>
            <w:vAlign w:val="bottom"/>
            <w:shd w:val="clear" w:color="auto" w:fill="D4F1F5"/>
          </w:tcPr>
          <w:p>
            <w:pPr>
              <w:jc w:val="right"/>
              <w:ind w:right="684"/>
              <w:spacing w:after="0"/>
              <w:rPr>
                <w:sz w:val="20"/>
                <w:szCs w:val="20"/>
                <w:color w:val="auto"/>
              </w:rPr>
            </w:pPr>
            <w:r>
              <w:rPr>
                <w:rFonts w:ascii="Arial" w:cs="Arial" w:eastAsia="Arial" w:hAnsi="Arial"/>
                <w:sz w:val="16"/>
                <w:szCs w:val="16"/>
                <w:color w:val="auto"/>
                <w:w w:val="89"/>
              </w:rPr>
              <w:t>$</w:t>
            </w:r>
          </w:p>
        </w:tc>
        <w:tc>
          <w:tcPr>
            <w:tcW w:w="600" w:type="dxa"/>
            <w:vAlign w:val="bottom"/>
            <w:shd w:val="clear" w:color="auto" w:fill="D4F1F5"/>
          </w:tcPr>
          <w:p>
            <w:pPr>
              <w:jc w:val="right"/>
              <w:ind w:right="39"/>
              <w:spacing w:after="0"/>
              <w:rPr>
                <w:sz w:val="20"/>
                <w:szCs w:val="20"/>
                <w:color w:val="auto"/>
              </w:rPr>
            </w:pPr>
            <w:r>
              <w:rPr>
                <w:rFonts w:ascii="Arial" w:cs="Arial" w:eastAsia="Arial" w:hAnsi="Arial"/>
                <w:sz w:val="16"/>
                <w:szCs w:val="16"/>
                <w:color w:val="auto"/>
              </w:rPr>
              <w:t>1,150</w:t>
            </w:r>
          </w:p>
        </w:tc>
        <w:tc>
          <w:tcPr>
            <w:tcW w:w="500" w:type="dxa"/>
            <w:vAlign w:val="bottom"/>
            <w:shd w:val="clear" w:color="auto" w:fill="D4F1F5"/>
          </w:tcPr>
          <w:p>
            <w:pPr>
              <w:jc w:val="right"/>
              <w:ind w:right="239"/>
              <w:spacing w:after="0"/>
              <w:rPr>
                <w:sz w:val="20"/>
                <w:szCs w:val="20"/>
                <w:color w:val="auto"/>
              </w:rPr>
            </w:pPr>
            <w:r>
              <w:rPr>
                <w:rFonts w:ascii="Arial" w:cs="Arial" w:eastAsia="Arial" w:hAnsi="Arial"/>
                <w:sz w:val="16"/>
                <w:szCs w:val="16"/>
                <w:color w:val="auto"/>
              </w:rPr>
              <w:t>$</w:t>
            </w:r>
          </w:p>
        </w:tc>
        <w:tc>
          <w:tcPr>
            <w:tcW w:w="980" w:type="dxa"/>
            <w:vAlign w:val="bottom"/>
            <w:shd w:val="clear" w:color="auto" w:fill="D4F1F5"/>
          </w:tcPr>
          <w:p>
            <w:pPr>
              <w:jc w:val="right"/>
              <w:spacing w:after="0"/>
              <w:rPr>
                <w:sz w:val="20"/>
                <w:szCs w:val="20"/>
                <w:color w:val="auto"/>
              </w:rPr>
            </w:pPr>
            <w:r>
              <w:rPr>
                <w:rFonts w:ascii="Arial" w:cs="Arial" w:eastAsia="Arial" w:hAnsi="Arial"/>
                <w:sz w:val="16"/>
                <w:szCs w:val="16"/>
                <w:color w:val="auto"/>
              </w:rPr>
              <w:t>919</w:t>
            </w:r>
          </w:p>
        </w:tc>
      </w:tr>
      <w:tr>
        <w:trPr>
          <w:trHeight w:val="215"/>
        </w:trPr>
        <w:tc>
          <w:tcPr>
            <w:tcW w:w="8300" w:type="dxa"/>
            <w:vAlign w:val="bottom"/>
          </w:tcPr>
          <w:p>
            <w:pPr>
              <w:ind w:left="240"/>
              <w:spacing w:after="0"/>
              <w:rPr>
                <w:sz w:val="20"/>
                <w:szCs w:val="20"/>
                <w:color w:val="auto"/>
              </w:rPr>
            </w:pPr>
            <w:r>
              <w:rPr>
                <w:rFonts w:ascii="Arial" w:cs="Arial" w:eastAsia="Arial" w:hAnsi="Arial"/>
                <w:sz w:val="16"/>
                <w:szCs w:val="16"/>
                <w:color w:val="auto"/>
              </w:rPr>
              <w:t>Adjustments to reconcile net income to net cash provided by operating activities:</w:t>
            </w:r>
          </w:p>
        </w:tc>
        <w:tc>
          <w:tcPr>
            <w:tcW w:w="8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17"/>
        </w:trPr>
        <w:tc>
          <w:tcPr>
            <w:tcW w:w="8300" w:type="dxa"/>
            <w:vAlign w:val="bottom"/>
            <w:shd w:val="clear" w:color="auto" w:fill="D4F1F5"/>
          </w:tcPr>
          <w:p>
            <w:pPr>
              <w:ind w:left="460"/>
              <w:spacing w:after="0"/>
              <w:rPr>
                <w:sz w:val="20"/>
                <w:szCs w:val="20"/>
                <w:color w:val="auto"/>
              </w:rPr>
            </w:pPr>
            <w:r>
              <w:rPr>
                <w:rFonts w:ascii="Arial" w:cs="Arial" w:eastAsia="Arial" w:hAnsi="Arial"/>
                <w:sz w:val="16"/>
                <w:szCs w:val="16"/>
                <w:color w:val="auto"/>
              </w:rPr>
              <w:t>Depreciation and amortization</w:t>
            </w:r>
          </w:p>
        </w:tc>
        <w:tc>
          <w:tcPr>
            <w:tcW w:w="860" w:type="dxa"/>
            <w:vAlign w:val="bottom"/>
            <w:shd w:val="clear" w:color="auto" w:fill="D4F1F5"/>
          </w:tcPr>
          <w:p>
            <w:pPr>
              <w:spacing w:after="0"/>
              <w:rPr>
                <w:sz w:val="18"/>
                <w:szCs w:val="18"/>
                <w:color w:val="auto"/>
              </w:rPr>
            </w:pPr>
          </w:p>
        </w:tc>
        <w:tc>
          <w:tcPr>
            <w:tcW w:w="600" w:type="dxa"/>
            <w:vAlign w:val="bottom"/>
            <w:shd w:val="clear" w:color="auto" w:fill="D4F1F5"/>
          </w:tcPr>
          <w:p>
            <w:pPr>
              <w:jc w:val="right"/>
              <w:ind w:right="39"/>
              <w:spacing w:after="0"/>
              <w:rPr>
                <w:sz w:val="20"/>
                <w:szCs w:val="20"/>
                <w:color w:val="auto"/>
              </w:rPr>
            </w:pPr>
            <w:r>
              <w:rPr>
                <w:rFonts w:ascii="Arial" w:cs="Arial" w:eastAsia="Arial" w:hAnsi="Arial"/>
                <w:sz w:val="16"/>
                <w:szCs w:val="16"/>
                <w:color w:val="auto"/>
              </w:rPr>
              <w:t>621</w:t>
            </w:r>
          </w:p>
        </w:tc>
        <w:tc>
          <w:tcPr>
            <w:tcW w:w="500" w:type="dxa"/>
            <w:vAlign w:val="bottom"/>
            <w:shd w:val="clear" w:color="auto" w:fill="D4F1F5"/>
          </w:tcPr>
          <w:p>
            <w:pPr>
              <w:spacing w:after="0"/>
              <w:rPr>
                <w:sz w:val="18"/>
                <w:szCs w:val="18"/>
                <w:color w:val="auto"/>
              </w:rPr>
            </w:pPr>
          </w:p>
        </w:tc>
        <w:tc>
          <w:tcPr>
            <w:tcW w:w="980" w:type="dxa"/>
            <w:vAlign w:val="bottom"/>
            <w:shd w:val="clear" w:color="auto" w:fill="D4F1F5"/>
          </w:tcPr>
          <w:p>
            <w:pPr>
              <w:jc w:val="right"/>
              <w:spacing w:after="0"/>
              <w:rPr>
                <w:sz w:val="20"/>
                <w:szCs w:val="20"/>
                <w:color w:val="auto"/>
              </w:rPr>
            </w:pPr>
            <w:r>
              <w:rPr>
                <w:rFonts w:ascii="Arial" w:cs="Arial" w:eastAsia="Arial" w:hAnsi="Arial"/>
                <w:sz w:val="16"/>
                <w:szCs w:val="16"/>
                <w:color w:val="auto"/>
              </w:rPr>
              <w:t>640</w:t>
            </w:r>
          </w:p>
        </w:tc>
      </w:tr>
      <w:tr>
        <w:trPr>
          <w:trHeight w:val="215"/>
        </w:trPr>
        <w:tc>
          <w:tcPr>
            <w:tcW w:w="8300" w:type="dxa"/>
            <w:vAlign w:val="bottom"/>
          </w:tcPr>
          <w:p>
            <w:pPr>
              <w:ind w:left="460"/>
              <w:spacing w:after="0"/>
              <w:rPr>
                <w:sz w:val="20"/>
                <w:szCs w:val="20"/>
                <w:color w:val="auto"/>
              </w:rPr>
            </w:pPr>
            <w:r>
              <w:rPr>
                <w:rFonts w:ascii="Arial" w:cs="Arial" w:eastAsia="Arial" w:hAnsi="Arial"/>
                <w:sz w:val="16"/>
                <w:szCs w:val="16"/>
                <w:color w:val="auto"/>
              </w:rPr>
              <w:t>Deferred income taxes and investment tax credits</w:t>
            </w:r>
          </w:p>
        </w:tc>
        <w:tc>
          <w:tcPr>
            <w:tcW w:w="860" w:type="dxa"/>
            <w:vAlign w:val="bottom"/>
          </w:tcPr>
          <w:p>
            <w:pPr>
              <w:spacing w:after="0"/>
              <w:rPr>
                <w:sz w:val="18"/>
                <w:szCs w:val="18"/>
                <w:color w:val="auto"/>
              </w:rPr>
            </w:pPr>
          </w:p>
        </w:tc>
        <w:tc>
          <w:tcPr>
            <w:tcW w:w="600" w:type="dxa"/>
            <w:vAlign w:val="bottom"/>
          </w:tcPr>
          <w:p>
            <w:pPr>
              <w:jc w:val="right"/>
              <w:ind w:right="39"/>
              <w:spacing w:after="0"/>
              <w:rPr>
                <w:sz w:val="20"/>
                <w:szCs w:val="20"/>
                <w:color w:val="auto"/>
              </w:rPr>
            </w:pPr>
            <w:r>
              <w:rPr>
                <w:rFonts w:ascii="Arial" w:cs="Arial" w:eastAsia="Arial" w:hAnsi="Arial"/>
                <w:sz w:val="16"/>
                <w:szCs w:val="16"/>
                <w:color w:val="auto"/>
              </w:rPr>
              <w:t>124</w:t>
            </w:r>
          </w:p>
        </w:tc>
        <w:tc>
          <w:tcPr>
            <w:tcW w:w="5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(48)</w:t>
            </w:r>
          </w:p>
        </w:tc>
      </w:tr>
      <w:tr>
        <w:trPr>
          <w:trHeight w:val="217"/>
        </w:trPr>
        <w:tc>
          <w:tcPr>
            <w:tcW w:w="8300" w:type="dxa"/>
            <w:vAlign w:val="bottom"/>
            <w:shd w:val="clear" w:color="auto" w:fill="D4F1F5"/>
          </w:tcPr>
          <w:p>
            <w:pPr>
              <w:ind w:left="460"/>
              <w:spacing w:after="0"/>
              <w:rPr>
                <w:sz w:val="20"/>
                <w:szCs w:val="20"/>
                <w:color w:val="auto"/>
              </w:rPr>
            </w:pPr>
            <w:r>
              <w:rPr>
                <w:rFonts w:ascii="Arial" w:cs="Arial" w:eastAsia="Arial" w:hAnsi="Arial"/>
                <w:sz w:val="16"/>
                <w:szCs w:val="16"/>
                <w:color w:val="auto"/>
              </w:rPr>
              <w:t>Equity earnings</w:t>
            </w:r>
          </w:p>
        </w:tc>
        <w:tc>
          <w:tcPr>
            <w:tcW w:w="860" w:type="dxa"/>
            <w:vAlign w:val="bottom"/>
            <w:shd w:val="clear" w:color="auto" w:fill="D4F1F5"/>
          </w:tcPr>
          <w:p>
            <w:pPr>
              <w:spacing w:after="0"/>
              <w:rPr>
                <w:sz w:val="18"/>
                <w:szCs w:val="18"/>
                <w:color w:val="auto"/>
              </w:rPr>
            </w:pPr>
          </w:p>
        </w:tc>
        <w:tc>
          <w:tcPr>
            <w:tcW w:w="600" w:type="dxa"/>
            <w:vAlign w:val="bottom"/>
            <w:shd w:val="clear" w:color="auto" w:fill="D4F1F5"/>
          </w:tcPr>
          <w:p>
            <w:pPr>
              <w:jc w:val="right"/>
              <w:spacing w:after="0"/>
              <w:rPr>
                <w:sz w:val="20"/>
                <w:szCs w:val="20"/>
                <w:color w:val="auto"/>
              </w:rPr>
            </w:pPr>
            <w:r>
              <w:rPr>
                <w:rFonts w:ascii="Arial" w:cs="Arial" w:eastAsia="Arial" w:hAnsi="Arial"/>
                <w:sz w:val="16"/>
                <w:szCs w:val="16"/>
                <w:color w:val="auto"/>
              </w:rPr>
              <w:t>(367)</w:t>
            </w:r>
          </w:p>
        </w:tc>
        <w:tc>
          <w:tcPr>
            <w:tcW w:w="500" w:type="dxa"/>
            <w:vAlign w:val="bottom"/>
            <w:shd w:val="clear" w:color="auto" w:fill="D4F1F5"/>
          </w:tcPr>
          <w:p>
            <w:pPr>
              <w:spacing w:after="0"/>
              <w:rPr>
                <w:sz w:val="18"/>
                <w:szCs w:val="18"/>
                <w:color w:val="auto"/>
              </w:rPr>
            </w:pPr>
          </w:p>
        </w:tc>
        <w:tc>
          <w:tcPr>
            <w:tcW w:w="980" w:type="dxa"/>
            <w:vAlign w:val="bottom"/>
            <w:shd w:val="clear" w:color="auto" w:fill="D4F1F5"/>
          </w:tcPr>
          <w:p>
            <w:pPr>
              <w:jc w:val="right"/>
              <w:spacing w:after="0"/>
              <w:rPr>
                <w:sz w:val="20"/>
                <w:szCs w:val="20"/>
                <w:color w:val="auto"/>
              </w:rPr>
            </w:pPr>
            <w:r>
              <w:rPr>
                <w:rFonts w:ascii="Arial" w:cs="Arial" w:eastAsia="Arial" w:hAnsi="Arial"/>
                <w:sz w:val="16"/>
                <w:szCs w:val="16"/>
                <w:color w:val="auto"/>
              </w:rPr>
              <w:t>(325)</w:t>
            </w:r>
          </w:p>
        </w:tc>
      </w:tr>
      <w:tr>
        <w:trPr>
          <w:trHeight w:val="215"/>
        </w:trPr>
        <w:tc>
          <w:tcPr>
            <w:tcW w:w="8300" w:type="dxa"/>
            <w:vAlign w:val="bottom"/>
          </w:tcPr>
          <w:p>
            <w:pPr>
              <w:ind w:left="460"/>
              <w:spacing w:after="0"/>
              <w:rPr>
                <w:sz w:val="20"/>
                <w:szCs w:val="20"/>
                <w:color w:val="auto"/>
              </w:rPr>
            </w:pPr>
            <w:r>
              <w:rPr>
                <w:rFonts w:ascii="Arial" w:cs="Arial" w:eastAsia="Arial" w:hAnsi="Arial"/>
                <w:sz w:val="16"/>
                <w:szCs w:val="16"/>
                <w:color w:val="auto"/>
              </w:rPr>
              <w:t>Share-based compensation expense</w:t>
            </w:r>
          </w:p>
        </w:tc>
        <w:tc>
          <w:tcPr>
            <w:tcW w:w="860" w:type="dxa"/>
            <w:vAlign w:val="bottom"/>
          </w:tcPr>
          <w:p>
            <w:pPr>
              <w:spacing w:after="0"/>
              <w:rPr>
                <w:sz w:val="18"/>
                <w:szCs w:val="18"/>
                <w:color w:val="auto"/>
              </w:rPr>
            </w:pPr>
          </w:p>
        </w:tc>
        <w:tc>
          <w:tcPr>
            <w:tcW w:w="600" w:type="dxa"/>
            <w:vAlign w:val="bottom"/>
          </w:tcPr>
          <w:p>
            <w:pPr>
              <w:jc w:val="right"/>
              <w:ind w:right="39"/>
              <w:spacing w:after="0"/>
              <w:rPr>
                <w:sz w:val="20"/>
                <w:szCs w:val="20"/>
                <w:color w:val="auto"/>
              </w:rPr>
            </w:pPr>
            <w:r>
              <w:rPr>
                <w:rFonts w:ascii="Arial" w:cs="Arial" w:eastAsia="Arial" w:hAnsi="Arial"/>
                <w:sz w:val="16"/>
                <w:szCs w:val="16"/>
                <w:color w:val="auto"/>
              </w:rPr>
              <w:t>25</w:t>
            </w:r>
          </w:p>
        </w:tc>
        <w:tc>
          <w:tcPr>
            <w:tcW w:w="5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w:t>
            </w:r>
          </w:p>
        </w:tc>
      </w:tr>
      <w:tr>
        <w:trPr>
          <w:trHeight w:val="217"/>
        </w:trPr>
        <w:tc>
          <w:tcPr>
            <w:tcW w:w="8300" w:type="dxa"/>
            <w:vAlign w:val="bottom"/>
            <w:shd w:val="clear" w:color="auto" w:fill="D4F1F5"/>
          </w:tcPr>
          <w:p>
            <w:pPr>
              <w:ind w:left="460"/>
              <w:spacing w:after="0"/>
              <w:rPr>
                <w:sz w:val="20"/>
                <w:szCs w:val="20"/>
                <w:color w:val="auto"/>
              </w:rPr>
            </w:pPr>
            <w:r>
              <w:rPr>
                <w:rFonts w:ascii="Arial" w:cs="Arial" w:eastAsia="Arial" w:hAnsi="Arial"/>
                <w:sz w:val="16"/>
                <w:szCs w:val="16"/>
                <w:color w:val="auto"/>
              </w:rPr>
              <w:t>Fixed-price contracts and other derivatives</w:t>
            </w:r>
          </w:p>
        </w:tc>
        <w:tc>
          <w:tcPr>
            <w:tcW w:w="860" w:type="dxa"/>
            <w:vAlign w:val="bottom"/>
            <w:shd w:val="clear" w:color="auto" w:fill="D4F1F5"/>
          </w:tcPr>
          <w:p>
            <w:pPr>
              <w:spacing w:after="0"/>
              <w:rPr>
                <w:sz w:val="18"/>
                <w:szCs w:val="18"/>
                <w:color w:val="auto"/>
              </w:rPr>
            </w:pPr>
          </w:p>
        </w:tc>
        <w:tc>
          <w:tcPr>
            <w:tcW w:w="600" w:type="dxa"/>
            <w:vAlign w:val="bottom"/>
            <w:shd w:val="clear" w:color="auto" w:fill="D4F1F5"/>
          </w:tcPr>
          <w:p>
            <w:pPr>
              <w:jc w:val="right"/>
              <w:spacing w:after="0"/>
              <w:rPr>
                <w:sz w:val="20"/>
                <w:szCs w:val="20"/>
                <w:color w:val="auto"/>
              </w:rPr>
            </w:pPr>
            <w:r>
              <w:rPr>
                <w:rFonts w:ascii="Arial" w:cs="Arial" w:eastAsia="Arial" w:hAnsi="Arial"/>
                <w:sz w:val="16"/>
                <w:szCs w:val="16"/>
                <w:color w:val="auto"/>
              </w:rPr>
              <w:t>(9)</w:t>
            </w:r>
          </w:p>
        </w:tc>
        <w:tc>
          <w:tcPr>
            <w:tcW w:w="500" w:type="dxa"/>
            <w:vAlign w:val="bottom"/>
            <w:shd w:val="clear" w:color="auto" w:fill="D4F1F5"/>
          </w:tcPr>
          <w:p>
            <w:pPr>
              <w:spacing w:after="0"/>
              <w:rPr>
                <w:sz w:val="18"/>
                <w:szCs w:val="18"/>
                <w:color w:val="auto"/>
              </w:rPr>
            </w:pPr>
          </w:p>
        </w:tc>
        <w:tc>
          <w:tcPr>
            <w:tcW w:w="980" w:type="dxa"/>
            <w:vAlign w:val="bottom"/>
            <w:shd w:val="clear" w:color="auto" w:fill="D4F1F5"/>
          </w:tcPr>
          <w:p>
            <w:pPr>
              <w:jc w:val="right"/>
              <w:spacing w:after="0"/>
              <w:rPr>
                <w:sz w:val="20"/>
                <w:szCs w:val="20"/>
                <w:color w:val="auto"/>
              </w:rPr>
            </w:pPr>
            <w:r>
              <w:rPr>
                <w:rFonts w:ascii="Arial" w:cs="Arial" w:eastAsia="Arial" w:hAnsi="Arial"/>
                <w:sz w:val="16"/>
                <w:szCs w:val="16"/>
                <w:color w:val="auto"/>
              </w:rPr>
              <w:t>134</w:t>
            </w:r>
          </w:p>
        </w:tc>
      </w:tr>
      <w:tr>
        <w:trPr>
          <w:trHeight w:val="215"/>
        </w:trPr>
        <w:tc>
          <w:tcPr>
            <w:tcW w:w="8300" w:type="dxa"/>
            <w:vAlign w:val="bottom"/>
          </w:tcPr>
          <w:p>
            <w:pPr>
              <w:ind w:left="460"/>
              <w:spacing w:after="0"/>
              <w:rPr>
                <w:sz w:val="20"/>
                <w:szCs w:val="20"/>
                <w:color w:val="auto"/>
              </w:rPr>
            </w:pPr>
            <w:r>
              <w:rPr>
                <w:rFonts w:ascii="Arial" w:cs="Arial" w:eastAsia="Arial" w:hAnsi="Arial"/>
                <w:sz w:val="16"/>
                <w:szCs w:val="16"/>
                <w:color w:val="auto"/>
              </w:rPr>
              <w:t>Bad debt expense</w:t>
            </w:r>
          </w:p>
        </w:tc>
        <w:tc>
          <w:tcPr>
            <w:tcW w:w="860" w:type="dxa"/>
            <w:vAlign w:val="bottom"/>
          </w:tcPr>
          <w:p>
            <w:pPr>
              <w:spacing w:after="0"/>
              <w:rPr>
                <w:sz w:val="18"/>
                <w:szCs w:val="18"/>
                <w:color w:val="auto"/>
              </w:rPr>
            </w:pPr>
          </w:p>
        </w:tc>
        <w:tc>
          <w:tcPr>
            <w:tcW w:w="600" w:type="dxa"/>
            <w:vAlign w:val="bottom"/>
          </w:tcPr>
          <w:p>
            <w:pPr>
              <w:jc w:val="right"/>
              <w:ind w:right="39"/>
              <w:spacing w:after="0"/>
              <w:rPr>
                <w:sz w:val="20"/>
                <w:szCs w:val="20"/>
                <w:color w:val="auto"/>
              </w:rPr>
            </w:pPr>
            <w:r>
              <w:rPr>
                <w:rFonts w:ascii="Arial" w:cs="Arial" w:eastAsia="Arial" w:hAnsi="Arial"/>
                <w:sz w:val="16"/>
                <w:szCs w:val="16"/>
                <w:color w:val="auto"/>
              </w:rPr>
              <w:t>18</w:t>
            </w:r>
          </w:p>
        </w:tc>
        <w:tc>
          <w:tcPr>
            <w:tcW w:w="5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6</w:t>
            </w:r>
          </w:p>
        </w:tc>
      </w:tr>
      <w:tr>
        <w:trPr>
          <w:trHeight w:val="217"/>
        </w:trPr>
        <w:tc>
          <w:tcPr>
            <w:tcW w:w="8300" w:type="dxa"/>
            <w:vAlign w:val="bottom"/>
            <w:shd w:val="clear" w:color="auto" w:fill="D4F1F5"/>
          </w:tcPr>
          <w:p>
            <w:pPr>
              <w:ind w:left="460"/>
              <w:spacing w:after="0"/>
              <w:rPr>
                <w:sz w:val="20"/>
                <w:szCs w:val="20"/>
                <w:color w:val="auto"/>
              </w:rPr>
            </w:pPr>
            <w:r>
              <w:rPr>
                <w:rFonts w:ascii="Arial" w:cs="Arial" w:eastAsia="Arial" w:hAnsi="Arial"/>
                <w:sz w:val="16"/>
                <w:szCs w:val="16"/>
                <w:color w:val="auto"/>
              </w:rPr>
              <w:t>Other</w:t>
            </w:r>
          </w:p>
        </w:tc>
        <w:tc>
          <w:tcPr>
            <w:tcW w:w="860" w:type="dxa"/>
            <w:vAlign w:val="bottom"/>
            <w:shd w:val="clear" w:color="auto" w:fill="D4F1F5"/>
          </w:tcPr>
          <w:p>
            <w:pPr>
              <w:spacing w:after="0"/>
              <w:rPr>
                <w:sz w:val="18"/>
                <w:szCs w:val="18"/>
                <w:color w:val="auto"/>
              </w:rPr>
            </w:pPr>
          </w:p>
        </w:tc>
        <w:tc>
          <w:tcPr>
            <w:tcW w:w="600" w:type="dxa"/>
            <w:vAlign w:val="bottom"/>
            <w:shd w:val="clear" w:color="auto" w:fill="D4F1F5"/>
          </w:tcPr>
          <w:p>
            <w:pPr>
              <w:jc w:val="right"/>
              <w:ind w:right="39"/>
              <w:spacing w:after="0"/>
              <w:rPr>
                <w:sz w:val="20"/>
                <w:szCs w:val="20"/>
                <w:color w:val="auto"/>
              </w:rPr>
            </w:pPr>
            <w:r>
              <w:rPr>
                <w:rFonts w:ascii="Arial" w:cs="Arial" w:eastAsia="Arial" w:hAnsi="Arial"/>
                <w:sz w:val="16"/>
                <w:szCs w:val="16"/>
                <w:color w:val="auto"/>
              </w:rPr>
              <w:t>8</w:t>
            </w:r>
          </w:p>
        </w:tc>
        <w:tc>
          <w:tcPr>
            <w:tcW w:w="500" w:type="dxa"/>
            <w:vAlign w:val="bottom"/>
            <w:shd w:val="clear" w:color="auto" w:fill="D4F1F5"/>
          </w:tcPr>
          <w:p>
            <w:pPr>
              <w:spacing w:after="0"/>
              <w:rPr>
                <w:sz w:val="18"/>
                <w:szCs w:val="18"/>
                <w:color w:val="auto"/>
              </w:rPr>
            </w:pPr>
          </w:p>
        </w:tc>
        <w:tc>
          <w:tcPr>
            <w:tcW w:w="980" w:type="dxa"/>
            <w:vAlign w:val="bottom"/>
            <w:shd w:val="clear" w:color="auto" w:fill="D4F1F5"/>
          </w:tcPr>
          <w:p>
            <w:pPr>
              <w:jc w:val="right"/>
              <w:spacing w:after="0"/>
              <w:rPr>
                <w:sz w:val="20"/>
                <w:szCs w:val="20"/>
                <w:color w:val="auto"/>
              </w:rPr>
            </w:pPr>
            <w:r>
              <w:rPr>
                <w:rFonts w:ascii="Arial" w:cs="Arial" w:eastAsia="Arial" w:hAnsi="Arial"/>
                <w:sz w:val="16"/>
                <w:szCs w:val="16"/>
                <w:color w:val="auto"/>
              </w:rPr>
              <w:t>(3)</w:t>
            </w:r>
          </w:p>
        </w:tc>
      </w:tr>
      <w:tr>
        <w:trPr>
          <w:trHeight w:val="215"/>
        </w:trPr>
        <w:tc>
          <w:tcPr>
            <w:tcW w:w="8300" w:type="dxa"/>
            <w:vAlign w:val="bottom"/>
          </w:tcPr>
          <w:p>
            <w:pPr>
              <w:ind w:left="240"/>
              <w:spacing w:after="0"/>
              <w:rPr>
                <w:sz w:val="20"/>
                <w:szCs w:val="20"/>
                <w:color w:val="auto"/>
              </w:rPr>
            </w:pPr>
            <w:r>
              <w:rPr>
                <w:rFonts w:ascii="Arial" w:cs="Arial" w:eastAsia="Arial" w:hAnsi="Arial"/>
                <w:sz w:val="16"/>
                <w:szCs w:val="16"/>
                <w:color w:val="auto"/>
              </w:rPr>
              <w:t>Net change in working capital components</w:t>
            </w:r>
          </w:p>
        </w:tc>
        <w:tc>
          <w:tcPr>
            <w:tcW w:w="860" w:type="dxa"/>
            <w:vAlign w:val="bottom"/>
          </w:tcPr>
          <w:p>
            <w:pPr>
              <w:spacing w:after="0"/>
              <w:rPr>
                <w:sz w:val="18"/>
                <w:szCs w:val="18"/>
                <w:color w:val="auto"/>
              </w:rPr>
            </w:pPr>
          </w:p>
        </w:tc>
        <w:tc>
          <w:tcPr>
            <w:tcW w:w="600" w:type="dxa"/>
            <w:vAlign w:val="bottom"/>
          </w:tcPr>
          <w:p>
            <w:pPr>
              <w:jc w:val="right"/>
              <w:ind w:right="39"/>
              <w:spacing w:after="0"/>
              <w:rPr>
                <w:sz w:val="20"/>
                <w:szCs w:val="20"/>
                <w:color w:val="auto"/>
              </w:rPr>
            </w:pPr>
            <w:r>
              <w:rPr>
                <w:rFonts w:ascii="Arial" w:cs="Arial" w:eastAsia="Arial" w:hAnsi="Arial"/>
                <w:sz w:val="16"/>
                <w:szCs w:val="16"/>
                <w:color w:val="auto"/>
              </w:rPr>
              <w:t>89</w:t>
            </w:r>
          </w:p>
        </w:tc>
        <w:tc>
          <w:tcPr>
            <w:tcW w:w="5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(35)</w:t>
            </w:r>
          </w:p>
        </w:tc>
      </w:tr>
      <w:tr>
        <w:trPr>
          <w:trHeight w:val="217"/>
        </w:trPr>
        <w:tc>
          <w:tcPr>
            <w:tcW w:w="8300" w:type="dxa"/>
            <w:vAlign w:val="bottom"/>
            <w:shd w:val="clear" w:color="auto" w:fill="D4F1F5"/>
          </w:tcPr>
          <w:p>
            <w:pPr>
              <w:ind w:left="240"/>
              <w:spacing w:after="0"/>
              <w:rPr>
                <w:sz w:val="20"/>
                <w:szCs w:val="20"/>
                <w:color w:val="auto"/>
              </w:rPr>
            </w:pPr>
            <w:r>
              <w:rPr>
                <w:rFonts w:ascii="Arial" w:cs="Arial" w:eastAsia="Arial" w:hAnsi="Arial"/>
                <w:sz w:val="16"/>
                <w:szCs w:val="16"/>
                <w:color w:val="auto"/>
              </w:rPr>
              <w:t>Distributions from investments</w:t>
            </w:r>
          </w:p>
        </w:tc>
        <w:tc>
          <w:tcPr>
            <w:tcW w:w="860" w:type="dxa"/>
            <w:vAlign w:val="bottom"/>
            <w:shd w:val="clear" w:color="auto" w:fill="D4F1F5"/>
          </w:tcPr>
          <w:p>
            <w:pPr>
              <w:spacing w:after="0"/>
              <w:rPr>
                <w:sz w:val="18"/>
                <w:szCs w:val="18"/>
                <w:color w:val="auto"/>
              </w:rPr>
            </w:pPr>
          </w:p>
        </w:tc>
        <w:tc>
          <w:tcPr>
            <w:tcW w:w="600" w:type="dxa"/>
            <w:vAlign w:val="bottom"/>
            <w:shd w:val="clear" w:color="auto" w:fill="D4F1F5"/>
          </w:tcPr>
          <w:p>
            <w:pPr>
              <w:jc w:val="right"/>
              <w:ind w:right="39"/>
              <w:spacing w:after="0"/>
              <w:rPr>
                <w:sz w:val="20"/>
                <w:szCs w:val="20"/>
                <w:color w:val="auto"/>
              </w:rPr>
            </w:pPr>
            <w:r>
              <w:rPr>
                <w:rFonts w:ascii="Arial" w:cs="Arial" w:eastAsia="Arial" w:hAnsi="Arial"/>
                <w:sz w:val="16"/>
                <w:szCs w:val="16"/>
                <w:color w:val="auto"/>
              </w:rPr>
              <w:t>389</w:t>
            </w:r>
          </w:p>
        </w:tc>
        <w:tc>
          <w:tcPr>
            <w:tcW w:w="500" w:type="dxa"/>
            <w:vAlign w:val="bottom"/>
            <w:shd w:val="clear" w:color="auto" w:fill="D4F1F5"/>
          </w:tcPr>
          <w:p>
            <w:pPr>
              <w:spacing w:after="0"/>
              <w:rPr>
                <w:sz w:val="18"/>
                <w:szCs w:val="18"/>
                <w:color w:val="auto"/>
              </w:rPr>
            </w:pPr>
          </w:p>
        </w:tc>
        <w:tc>
          <w:tcPr>
            <w:tcW w:w="980" w:type="dxa"/>
            <w:vAlign w:val="bottom"/>
            <w:shd w:val="clear" w:color="auto" w:fill="D4F1F5"/>
          </w:tcPr>
          <w:p>
            <w:pPr>
              <w:jc w:val="right"/>
              <w:spacing w:after="0"/>
              <w:rPr>
                <w:sz w:val="20"/>
                <w:szCs w:val="20"/>
                <w:color w:val="auto"/>
              </w:rPr>
            </w:pPr>
            <w:r>
              <w:rPr>
                <w:rFonts w:ascii="Arial" w:cs="Arial" w:eastAsia="Arial" w:hAnsi="Arial"/>
                <w:sz w:val="16"/>
                <w:szCs w:val="16"/>
                <w:color w:val="auto"/>
              </w:rPr>
              <w:t>291</w:t>
            </w:r>
          </w:p>
        </w:tc>
      </w:tr>
      <w:tr>
        <w:trPr>
          <w:trHeight w:val="215"/>
        </w:trPr>
        <w:tc>
          <w:tcPr>
            <w:tcW w:w="8300" w:type="dxa"/>
            <w:vAlign w:val="bottom"/>
            <w:tcBorders>
              <w:bottom w:val="single" w:sz="8" w:color="D4F1F5"/>
            </w:tcBorders>
          </w:tcPr>
          <w:p>
            <w:pPr>
              <w:ind w:left="240"/>
              <w:spacing w:after="0"/>
              <w:rPr>
                <w:sz w:val="20"/>
                <w:szCs w:val="20"/>
                <w:color w:val="auto"/>
              </w:rPr>
            </w:pPr>
            <w:r>
              <w:rPr>
                <w:rFonts w:ascii="Arial" w:cs="Arial" w:eastAsia="Arial" w:hAnsi="Arial"/>
                <w:sz w:val="16"/>
                <w:szCs w:val="16"/>
                <w:color w:val="auto"/>
              </w:rPr>
              <w:t>Changes in other noncurrent assets and liabilities, net</w:t>
            </w:r>
          </w:p>
        </w:tc>
        <w:tc>
          <w:tcPr>
            <w:tcW w:w="8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(239)</w:t>
            </w:r>
          </w:p>
        </w:tc>
        <w:tc>
          <w:tcPr>
            <w:tcW w:w="5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(95)</w:t>
            </w:r>
          </w:p>
        </w:tc>
      </w:tr>
      <w:tr>
        <w:trPr>
          <w:trHeight w:val="209"/>
        </w:trPr>
        <w:tc>
          <w:tcPr>
            <w:tcW w:w="8300" w:type="dxa"/>
            <w:vAlign w:val="bottom"/>
            <w:shd w:val="clear" w:color="auto" w:fill="D4F1F5"/>
          </w:tcPr>
          <w:p>
            <w:pPr>
              <w:ind w:left="460"/>
              <w:spacing w:after="0"/>
              <w:rPr>
                <w:sz w:val="20"/>
                <w:szCs w:val="20"/>
                <w:color w:val="auto"/>
              </w:rPr>
            </w:pPr>
            <w:r>
              <w:rPr>
                <w:rFonts w:ascii="Arial" w:cs="Arial" w:eastAsia="Arial" w:hAnsi="Arial"/>
                <w:sz w:val="16"/>
                <w:szCs w:val="16"/>
                <w:color w:val="auto"/>
              </w:rPr>
              <w:t>Net cash provided by operating activities</w:t>
            </w:r>
          </w:p>
        </w:tc>
        <w:tc>
          <w:tcPr>
            <w:tcW w:w="860" w:type="dxa"/>
            <w:vAlign w:val="bottom"/>
            <w:tcBorders>
              <w:bottom w:val="single" w:sz="8" w:color="auto"/>
            </w:tcBorders>
            <w:shd w:val="clear" w:color="auto" w:fill="D4F1F5"/>
          </w:tcPr>
          <w:p>
            <w:pPr>
              <w:spacing w:after="0"/>
              <w:rPr>
                <w:sz w:val="18"/>
                <w:szCs w:val="18"/>
                <w:color w:val="auto"/>
              </w:rPr>
            </w:pPr>
          </w:p>
        </w:tc>
        <w:tc>
          <w:tcPr>
            <w:tcW w:w="600" w:type="dxa"/>
            <w:vAlign w:val="bottom"/>
            <w:tcBorders>
              <w:bottom w:val="single" w:sz="8" w:color="auto"/>
            </w:tcBorders>
            <w:shd w:val="clear" w:color="auto" w:fill="D4F1F5"/>
          </w:tcPr>
          <w:p>
            <w:pPr>
              <w:jc w:val="right"/>
              <w:ind w:right="39"/>
              <w:spacing w:after="0"/>
              <w:rPr>
                <w:sz w:val="20"/>
                <w:szCs w:val="20"/>
                <w:color w:val="auto"/>
              </w:rPr>
            </w:pPr>
            <w:r>
              <w:rPr>
                <w:rFonts w:ascii="Arial" w:cs="Arial" w:eastAsia="Arial" w:hAnsi="Arial"/>
                <w:sz w:val="16"/>
                <w:szCs w:val="16"/>
                <w:color w:val="auto"/>
              </w:rPr>
              <w:t>1,809</w:t>
            </w:r>
          </w:p>
        </w:tc>
        <w:tc>
          <w:tcPr>
            <w:tcW w:w="500" w:type="dxa"/>
            <w:vAlign w:val="bottom"/>
            <w:tcBorders>
              <w:bottom w:val="single" w:sz="8" w:color="auto"/>
            </w:tcBorders>
            <w:shd w:val="clear" w:color="auto" w:fill="D4F1F5"/>
          </w:tcPr>
          <w:p>
            <w:pPr>
              <w:spacing w:after="0"/>
              <w:rPr>
                <w:sz w:val="18"/>
                <w:szCs w:val="18"/>
                <w:color w:val="auto"/>
              </w:rPr>
            </w:pPr>
          </w:p>
        </w:tc>
        <w:tc>
          <w:tcPr>
            <w:tcW w:w="980" w:type="dxa"/>
            <w:vAlign w:val="bottom"/>
            <w:tcBorders>
              <w:bottom w:val="single" w:sz="8" w:color="auto"/>
            </w:tcBorders>
            <w:shd w:val="clear" w:color="auto" w:fill="D4F1F5"/>
          </w:tcPr>
          <w:p>
            <w:pPr>
              <w:jc w:val="right"/>
              <w:spacing w:after="0"/>
              <w:rPr>
                <w:sz w:val="20"/>
                <w:szCs w:val="20"/>
                <w:color w:val="auto"/>
              </w:rPr>
            </w:pPr>
            <w:r>
              <w:rPr>
                <w:rFonts w:ascii="Arial" w:cs="Arial" w:eastAsia="Arial" w:hAnsi="Arial"/>
                <w:sz w:val="16"/>
                <w:szCs w:val="16"/>
                <w:color w:val="auto"/>
              </w:rPr>
              <w:t>1,482</w:t>
            </w:r>
          </w:p>
        </w:tc>
      </w:tr>
      <w:tr>
        <w:trPr>
          <w:trHeight w:val="197"/>
        </w:trPr>
        <w:tc>
          <w:tcPr>
            <w:tcW w:w="83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16"/>
        </w:trPr>
        <w:tc>
          <w:tcPr>
            <w:tcW w:w="8300" w:type="dxa"/>
            <w:vAlign w:val="bottom"/>
            <w:shd w:val="clear" w:color="auto" w:fill="D4F1F5"/>
          </w:tcPr>
          <w:p>
            <w:pPr>
              <w:ind w:left="20"/>
              <w:spacing w:after="0"/>
              <w:rPr>
                <w:sz w:val="20"/>
                <w:szCs w:val="20"/>
                <w:color w:val="auto"/>
              </w:rPr>
            </w:pPr>
            <w:r>
              <w:rPr>
                <w:rFonts w:ascii="Arial" w:cs="Arial" w:eastAsia="Arial" w:hAnsi="Arial"/>
                <w:sz w:val="16"/>
                <w:szCs w:val="16"/>
                <w:color w:val="auto"/>
              </w:rPr>
              <w:t>CASH FLOWS FROM INVESTING ACTIVITIES</w:t>
            </w:r>
          </w:p>
        </w:tc>
        <w:tc>
          <w:tcPr>
            <w:tcW w:w="860" w:type="dxa"/>
            <w:vAlign w:val="bottom"/>
            <w:shd w:val="clear" w:color="auto" w:fill="D4F1F5"/>
          </w:tcPr>
          <w:p>
            <w:pPr>
              <w:spacing w:after="0"/>
              <w:rPr>
                <w:sz w:val="18"/>
                <w:szCs w:val="18"/>
                <w:color w:val="auto"/>
              </w:rPr>
            </w:pPr>
          </w:p>
        </w:tc>
        <w:tc>
          <w:tcPr>
            <w:tcW w:w="600" w:type="dxa"/>
            <w:vAlign w:val="bottom"/>
            <w:shd w:val="clear" w:color="auto" w:fill="D4F1F5"/>
          </w:tcPr>
          <w:p>
            <w:pPr>
              <w:spacing w:after="0"/>
              <w:rPr>
                <w:sz w:val="18"/>
                <w:szCs w:val="18"/>
                <w:color w:val="auto"/>
              </w:rPr>
            </w:pPr>
          </w:p>
        </w:tc>
        <w:tc>
          <w:tcPr>
            <w:tcW w:w="500" w:type="dxa"/>
            <w:vAlign w:val="bottom"/>
            <w:shd w:val="clear" w:color="auto" w:fill="D4F1F5"/>
          </w:tcPr>
          <w:p>
            <w:pPr>
              <w:spacing w:after="0"/>
              <w:rPr>
                <w:sz w:val="18"/>
                <w:szCs w:val="18"/>
                <w:color w:val="auto"/>
              </w:rPr>
            </w:pPr>
          </w:p>
        </w:tc>
        <w:tc>
          <w:tcPr>
            <w:tcW w:w="980" w:type="dxa"/>
            <w:vAlign w:val="bottom"/>
            <w:shd w:val="clear" w:color="auto" w:fill="D4F1F5"/>
          </w:tcPr>
          <w:p>
            <w:pPr>
              <w:spacing w:after="0"/>
              <w:rPr>
                <w:sz w:val="18"/>
                <w:szCs w:val="18"/>
                <w:color w:val="auto"/>
              </w:rPr>
            </w:pPr>
          </w:p>
        </w:tc>
      </w:tr>
      <w:tr>
        <w:trPr>
          <w:trHeight w:val="215"/>
        </w:trPr>
        <w:tc>
          <w:tcPr>
            <w:tcW w:w="8300" w:type="dxa"/>
            <w:vAlign w:val="bottom"/>
          </w:tcPr>
          <w:p>
            <w:pPr>
              <w:ind w:left="240"/>
              <w:spacing w:after="0"/>
              <w:rPr>
                <w:sz w:val="20"/>
                <w:szCs w:val="20"/>
                <w:color w:val="auto"/>
              </w:rPr>
            </w:pPr>
            <w:r>
              <w:rPr>
                <w:rFonts w:ascii="Arial" w:cs="Arial" w:eastAsia="Arial" w:hAnsi="Arial"/>
                <w:sz w:val="16"/>
                <w:szCs w:val="16"/>
                <w:color w:val="auto"/>
              </w:rPr>
              <w:t>Expenditures for property, plant and equipment</w:t>
            </w:r>
          </w:p>
        </w:tc>
        <w:tc>
          <w:tcPr>
            <w:tcW w:w="8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w w:val="98"/>
              </w:rPr>
              <w:t>(2,461)</w:t>
            </w:r>
          </w:p>
        </w:tc>
        <w:tc>
          <w:tcPr>
            <w:tcW w:w="5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(2,336)</w:t>
            </w:r>
          </w:p>
        </w:tc>
      </w:tr>
      <w:tr>
        <w:trPr>
          <w:trHeight w:val="217"/>
        </w:trPr>
        <w:tc>
          <w:tcPr>
            <w:tcW w:w="8300" w:type="dxa"/>
            <w:vAlign w:val="bottom"/>
            <w:shd w:val="clear" w:color="auto" w:fill="D4F1F5"/>
          </w:tcPr>
          <w:p>
            <w:pPr>
              <w:ind w:left="240"/>
              <w:spacing w:after="0"/>
              <w:rPr>
                <w:sz w:val="20"/>
                <w:szCs w:val="20"/>
                <w:color w:val="auto"/>
              </w:rPr>
            </w:pPr>
            <w:r>
              <w:rPr>
                <w:rFonts w:ascii="Arial" w:cs="Arial" w:eastAsia="Arial" w:hAnsi="Arial"/>
                <w:sz w:val="16"/>
                <w:szCs w:val="16"/>
                <w:color w:val="auto"/>
              </w:rPr>
              <w:t>Expenditures for investments</w:t>
            </w:r>
          </w:p>
        </w:tc>
        <w:tc>
          <w:tcPr>
            <w:tcW w:w="860" w:type="dxa"/>
            <w:vAlign w:val="bottom"/>
            <w:shd w:val="clear" w:color="auto" w:fill="D4F1F5"/>
          </w:tcPr>
          <w:p>
            <w:pPr>
              <w:spacing w:after="0"/>
              <w:rPr>
                <w:sz w:val="18"/>
                <w:szCs w:val="18"/>
                <w:color w:val="auto"/>
              </w:rPr>
            </w:pPr>
          </w:p>
        </w:tc>
        <w:tc>
          <w:tcPr>
            <w:tcW w:w="600" w:type="dxa"/>
            <w:vAlign w:val="bottom"/>
            <w:shd w:val="clear" w:color="auto" w:fill="D4F1F5"/>
          </w:tcPr>
          <w:p>
            <w:pPr>
              <w:jc w:val="right"/>
              <w:spacing w:after="0"/>
              <w:rPr>
                <w:sz w:val="20"/>
                <w:szCs w:val="20"/>
                <w:color w:val="auto"/>
              </w:rPr>
            </w:pPr>
            <w:r>
              <w:rPr>
                <w:rFonts w:ascii="Arial" w:cs="Arial" w:eastAsia="Arial" w:hAnsi="Arial"/>
                <w:sz w:val="16"/>
                <w:szCs w:val="16"/>
                <w:color w:val="auto"/>
              </w:rPr>
              <w:t>(876)</w:t>
            </w:r>
          </w:p>
        </w:tc>
        <w:tc>
          <w:tcPr>
            <w:tcW w:w="500" w:type="dxa"/>
            <w:vAlign w:val="bottom"/>
            <w:shd w:val="clear" w:color="auto" w:fill="D4F1F5"/>
          </w:tcPr>
          <w:p>
            <w:pPr>
              <w:spacing w:after="0"/>
              <w:rPr>
                <w:sz w:val="18"/>
                <w:szCs w:val="18"/>
                <w:color w:val="auto"/>
              </w:rPr>
            </w:pPr>
          </w:p>
        </w:tc>
        <w:tc>
          <w:tcPr>
            <w:tcW w:w="980" w:type="dxa"/>
            <w:vAlign w:val="bottom"/>
            <w:shd w:val="clear" w:color="auto" w:fill="D4F1F5"/>
          </w:tcPr>
          <w:p>
            <w:pPr>
              <w:jc w:val="right"/>
              <w:spacing w:after="0"/>
              <w:rPr>
                <w:sz w:val="20"/>
                <w:szCs w:val="20"/>
                <w:color w:val="auto"/>
              </w:rPr>
            </w:pPr>
            <w:r>
              <w:rPr>
                <w:rFonts w:ascii="Arial" w:cs="Arial" w:eastAsia="Arial" w:hAnsi="Arial"/>
                <w:sz w:val="16"/>
                <w:szCs w:val="16"/>
                <w:color w:val="auto"/>
              </w:rPr>
              <w:t>(486)</w:t>
            </w:r>
          </w:p>
        </w:tc>
      </w:tr>
      <w:tr>
        <w:trPr>
          <w:trHeight w:val="215"/>
        </w:trPr>
        <w:tc>
          <w:tcPr>
            <w:tcW w:w="8300" w:type="dxa"/>
            <w:vAlign w:val="bottom"/>
          </w:tcPr>
          <w:p>
            <w:pPr>
              <w:ind w:left="240"/>
              <w:spacing w:after="0"/>
              <w:rPr>
                <w:sz w:val="20"/>
                <w:szCs w:val="20"/>
                <w:color w:val="auto"/>
              </w:rPr>
            </w:pPr>
            <w:r>
              <w:rPr>
                <w:rFonts w:ascii="Arial" w:cs="Arial" w:eastAsia="Arial" w:hAnsi="Arial"/>
                <w:sz w:val="16"/>
                <w:szCs w:val="16"/>
                <w:color w:val="auto"/>
              </w:rPr>
              <w:t>Purchases of nuclear decommissioning and other trust assets</w:t>
            </w:r>
          </w:p>
        </w:tc>
        <w:tc>
          <w:tcPr>
            <w:tcW w:w="8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(368)</w:t>
            </w:r>
          </w:p>
        </w:tc>
        <w:tc>
          <w:tcPr>
            <w:tcW w:w="5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(292)</w:t>
            </w:r>
          </w:p>
        </w:tc>
      </w:tr>
      <w:tr>
        <w:trPr>
          <w:trHeight w:val="217"/>
        </w:trPr>
        <w:tc>
          <w:tcPr>
            <w:tcW w:w="8300" w:type="dxa"/>
            <w:vAlign w:val="bottom"/>
            <w:shd w:val="clear" w:color="auto" w:fill="D4F1F5"/>
          </w:tcPr>
          <w:p>
            <w:pPr>
              <w:ind w:left="240"/>
              <w:spacing w:after="0"/>
              <w:rPr>
                <w:sz w:val="20"/>
                <w:szCs w:val="20"/>
                <w:color w:val="auto"/>
              </w:rPr>
            </w:pPr>
            <w:r>
              <w:rPr>
                <w:rFonts w:ascii="Arial" w:cs="Arial" w:eastAsia="Arial" w:hAnsi="Arial"/>
                <w:sz w:val="16"/>
                <w:szCs w:val="16"/>
                <w:color w:val="auto"/>
              </w:rPr>
              <w:t>Proceeds from sales of nuclear decommissioning and other trust assets</w:t>
            </w:r>
          </w:p>
        </w:tc>
        <w:tc>
          <w:tcPr>
            <w:tcW w:w="860" w:type="dxa"/>
            <w:vAlign w:val="bottom"/>
            <w:shd w:val="clear" w:color="auto" w:fill="D4F1F5"/>
          </w:tcPr>
          <w:p>
            <w:pPr>
              <w:spacing w:after="0"/>
              <w:rPr>
                <w:sz w:val="18"/>
                <w:szCs w:val="18"/>
                <w:color w:val="auto"/>
              </w:rPr>
            </w:pPr>
          </w:p>
        </w:tc>
        <w:tc>
          <w:tcPr>
            <w:tcW w:w="600" w:type="dxa"/>
            <w:vAlign w:val="bottom"/>
            <w:shd w:val="clear" w:color="auto" w:fill="D4F1F5"/>
          </w:tcPr>
          <w:p>
            <w:pPr>
              <w:jc w:val="right"/>
              <w:ind w:right="39"/>
              <w:spacing w:after="0"/>
              <w:rPr>
                <w:sz w:val="20"/>
                <w:szCs w:val="20"/>
                <w:color w:val="auto"/>
              </w:rPr>
            </w:pPr>
            <w:r>
              <w:rPr>
                <w:rFonts w:ascii="Arial" w:cs="Arial" w:eastAsia="Arial" w:hAnsi="Arial"/>
                <w:sz w:val="16"/>
                <w:szCs w:val="16"/>
                <w:color w:val="auto"/>
              </w:rPr>
              <w:t>395</w:t>
            </w:r>
          </w:p>
        </w:tc>
        <w:tc>
          <w:tcPr>
            <w:tcW w:w="500" w:type="dxa"/>
            <w:vAlign w:val="bottom"/>
            <w:shd w:val="clear" w:color="auto" w:fill="D4F1F5"/>
          </w:tcPr>
          <w:p>
            <w:pPr>
              <w:spacing w:after="0"/>
              <w:rPr>
                <w:sz w:val="18"/>
                <w:szCs w:val="18"/>
                <w:color w:val="auto"/>
              </w:rPr>
            </w:pPr>
          </w:p>
        </w:tc>
        <w:tc>
          <w:tcPr>
            <w:tcW w:w="980" w:type="dxa"/>
            <w:vAlign w:val="bottom"/>
            <w:shd w:val="clear" w:color="auto" w:fill="D4F1F5"/>
          </w:tcPr>
          <w:p>
            <w:pPr>
              <w:jc w:val="right"/>
              <w:spacing w:after="0"/>
              <w:rPr>
                <w:sz w:val="20"/>
                <w:szCs w:val="20"/>
                <w:color w:val="auto"/>
              </w:rPr>
            </w:pPr>
            <w:r>
              <w:rPr>
                <w:rFonts w:ascii="Arial" w:cs="Arial" w:eastAsia="Arial" w:hAnsi="Arial"/>
                <w:sz w:val="16"/>
                <w:szCs w:val="16"/>
                <w:color w:val="auto"/>
              </w:rPr>
              <w:t>329</w:t>
            </w:r>
          </w:p>
        </w:tc>
      </w:tr>
      <w:tr>
        <w:trPr>
          <w:trHeight w:val="215"/>
        </w:trPr>
        <w:tc>
          <w:tcPr>
            <w:tcW w:w="8300" w:type="dxa"/>
            <w:vAlign w:val="bottom"/>
            <w:tcBorders>
              <w:bottom w:val="single" w:sz="8" w:color="D4F1F5"/>
            </w:tcBorders>
          </w:tcPr>
          <w:p>
            <w:pPr>
              <w:ind w:left="240"/>
              <w:spacing w:after="0"/>
              <w:rPr>
                <w:sz w:val="20"/>
                <w:szCs w:val="20"/>
                <w:color w:val="auto"/>
              </w:rPr>
            </w:pPr>
            <w:r>
              <w:rPr>
                <w:rFonts w:ascii="Arial" w:cs="Arial" w:eastAsia="Arial" w:hAnsi="Arial"/>
                <w:sz w:val="16"/>
                <w:szCs w:val="16"/>
                <w:color w:val="auto"/>
              </w:rPr>
              <w:t>Other</w:t>
            </w:r>
          </w:p>
        </w:tc>
        <w:tc>
          <w:tcPr>
            <w:tcW w:w="8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5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210"/>
        </w:trPr>
        <w:tc>
          <w:tcPr>
            <w:tcW w:w="8300" w:type="dxa"/>
            <w:vAlign w:val="bottom"/>
            <w:shd w:val="clear" w:color="auto" w:fill="D4F1F5"/>
          </w:tcPr>
          <w:p>
            <w:pPr>
              <w:ind w:left="460"/>
              <w:spacing w:after="0"/>
              <w:rPr>
                <w:sz w:val="20"/>
                <w:szCs w:val="20"/>
                <w:color w:val="auto"/>
              </w:rPr>
            </w:pPr>
            <w:r>
              <w:rPr>
                <w:rFonts w:ascii="Arial" w:cs="Arial" w:eastAsia="Arial" w:hAnsi="Arial"/>
                <w:sz w:val="16"/>
                <w:szCs w:val="16"/>
                <w:color w:val="auto"/>
              </w:rPr>
              <w:t>Net cash used in investing activities</w:t>
            </w:r>
          </w:p>
        </w:tc>
        <w:tc>
          <w:tcPr>
            <w:tcW w:w="860" w:type="dxa"/>
            <w:vAlign w:val="bottom"/>
            <w:tcBorders>
              <w:bottom w:val="single" w:sz="8" w:color="auto"/>
            </w:tcBorders>
            <w:shd w:val="clear" w:color="auto" w:fill="D4F1F5"/>
          </w:tcPr>
          <w:p>
            <w:pPr>
              <w:spacing w:after="0"/>
              <w:rPr>
                <w:sz w:val="18"/>
                <w:szCs w:val="18"/>
                <w:color w:val="auto"/>
              </w:rPr>
            </w:pPr>
          </w:p>
        </w:tc>
        <w:tc>
          <w:tcPr>
            <w:tcW w:w="600" w:type="dxa"/>
            <w:vAlign w:val="bottom"/>
            <w:tcBorders>
              <w:bottom w:val="single" w:sz="8" w:color="auto"/>
            </w:tcBorders>
            <w:shd w:val="clear" w:color="auto" w:fill="D4F1F5"/>
          </w:tcPr>
          <w:p>
            <w:pPr>
              <w:jc w:val="right"/>
              <w:spacing w:after="0"/>
              <w:rPr>
                <w:sz w:val="20"/>
                <w:szCs w:val="20"/>
                <w:color w:val="auto"/>
              </w:rPr>
            </w:pPr>
            <w:r>
              <w:rPr>
                <w:rFonts w:ascii="Arial" w:cs="Arial" w:eastAsia="Arial" w:hAnsi="Arial"/>
                <w:sz w:val="16"/>
                <w:szCs w:val="16"/>
                <w:color w:val="auto"/>
                <w:w w:val="98"/>
              </w:rPr>
              <w:t>(3,311)</w:t>
            </w:r>
          </w:p>
        </w:tc>
        <w:tc>
          <w:tcPr>
            <w:tcW w:w="500" w:type="dxa"/>
            <w:vAlign w:val="bottom"/>
            <w:tcBorders>
              <w:bottom w:val="single" w:sz="8" w:color="auto"/>
            </w:tcBorders>
            <w:shd w:val="clear" w:color="auto" w:fill="D4F1F5"/>
          </w:tcPr>
          <w:p>
            <w:pPr>
              <w:spacing w:after="0"/>
              <w:rPr>
                <w:sz w:val="18"/>
                <w:szCs w:val="18"/>
                <w:color w:val="auto"/>
              </w:rPr>
            </w:pPr>
          </w:p>
        </w:tc>
        <w:tc>
          <w:tcPr>
            <w:tcW w:w="980" w:type="dxa"/>
            <w:vAlign w:val="bottom"/>
            <w:tcBorders>
              <w:bottom w:val="single" w:sz="8" w:color="auto"/>
            </w:tcBorders>
            <w:shd w:val="clear" w:color="auto" w:fill="D4F1F5"/>
          </w:tcPr>
          <w:p>
            <w:pPr>
              <w:jc w:val="right"/>
              <w:spacing w:after="0"/>
              <w:rPr>
                <w:sz w:val="20"/>
                <w:szCs w:val="20"/>
                <w:color w:val="auto"/>
              </w:rPr>
            </w:pPr>
            <w:r>
              <w:rPr>
                <w:rFonts w:ascii="Arial" w:cs="Arial" w:eastAsia="Arial" w:hAnsi="Arial"/>
                <w:sz w:val="16"/>
                <w:szCs w:val="16"/>
                <w:color w:val="auto"/>
              </w:rPr>
              <w:t>(2,785)</w:t>
            </w:r>
          </w:p>
        </w:tc>
      </w:tr>
      <w:tr>
        <w:trPr>
          <w:trHeight w:val="197"/>
        </w:trPr>
        <w:tc>
          <w:tcPr>
            <w:tcW w:w="83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16"/>
        </w:trPr>
        <w:tc>
          <w:tcPr>
            <w:tcW w:w="8300" w:type="dxa"/>
            <w:vAlign w:val="bottom"/>
            <w:shd w:val="clear" w:color="auto" w:fill="D4F1F5"/>
          </w:tcPr>
          <w:p>
            <w:pPr>
              <w:ind w:left="20"/>
              <w:spacing w:after="0"/>
              <w:rPr>
                <w:sz w:val="20"/>
                <w:szCs w:val="20"/>
                <w:color w:val="auto"/>
              </w:rPr>
            </w:pPr>
            <w:r>
              <w:rPr>
                <w:rFonts w:ascii="Arial" w:cs="Arial" w:eastAsia="Arial" w:hAnsi="Arial"/>
                <w:sz w:val="16"/>
                <w:szCs w:val="16"/>
                <w:color w:val="auto"/>
              </w:rPr>
              <w:t>CASH FLOWS FROM FINANCING ACTIVITIES</w:t>
            </w:r>
          </w:p>
        </w:tc>
        <w:tc>
          <w:tcPr>
            <w:tcW w:w="860" w:type="dxa"/>
            <w:vAlign w:val="bottom"/>
            <w:shd w:val="clear" w:color="auto" w:fill="D4F1F5"/>
          </w:tcPr>
          <w:p>
            <w:pPr>
              <w:spacing w:after="0"/>
              <w:rPr>
                <w:sz w:val="18"/>
                <w:szCs w:val="18"/>
                <w:color w:val="auto"/>
              </w:rPr>
            </w:pPr>
          </w:p>
        </w:tc>
        <w:tc>
          <w:tcPr>
            <w:tcW w:w="600" w:type="dxa"/>
            <w:vAlign w:val="bottom"/>
            <w:shd w:val="clear" w:color="auto" w:fill="D4F1F5"/>
          </w:tcPr>
          <w:p>
            <w:pPr>
              <w:spacing w:after="0"/>
              <w:rPr>
                <w:sz w:val="18"/>
                <w:szCs w:val="18"/>
                <w:color w:val="auto"/>
              </w:rPr>
            </w:pPr>
          </w:p>
        </w:tc>
        <w:tc>
          <w:tcPr>
            <w:tcW w:w="500" w:type="dxa"/>
            <w:vAlign w:val="bottom"/>
            <w:shd w:val="clear" w:color="auto" w:fill="D4F1F5"/>
          </w:tcPr>
          <w:p>
            <w:pPr>
              <w:spacing w:after="0"/>
              <w:rPr>
                <w:sz w:val="18"/>
                <w:szCs w:val="18"/>
                <w:color w:val="auto"/>
              </w:rPr>
            </w:pPr>
          </w:p>
        </w:tc>
        <w:tc>
          <w:tcPr>
            <w:tcW w:w="980" w:type="dxa"/>
            <w:vAlign w:val="bottom"/>
            <w:shd w:val="clear" w:color="auto" w:fill="D4F1F5"/>
          </w:tcPr>
          <w:p>
            <w:pPr>
              <w:spacing w:after="0"/>
              <w:rPr>
                <w:sz w:val="18"/>
                <w:szCs w:val="18"/>
                <w:color w:val="auto"/>
              </w:rPr>
            </w:pPr>
          </w:p>
        </w:tc>
      </w:tr>
      <w:tr>
        <w:trPr>
          <w:trHeight w:val="215"/>
        </w:trPr>
        <w:tc>
          <w:tcPr>
            <w:tcW w:w="8300" w:type="dxa"/>
            <w:vAlign w:val="bottom"/>
          </w:tcPr>
          <w:p>
            <w:pPr>
              <w:ind w:left="240"/>
              <w:spacing w:after="0"/>
              <w:rPr>
                <w:sz w:val="20"/>
                <w:szCs w:val="20"/>
                <w:color w:val="auto"/>
              </w:rPr>
            </w:pPr>
            <w:r>
              <w:rPr>
                <w:rFonts w:ascii="Arial" w:cs="Arial" w:eastAsia="Arial" w:hAnsi="Arial"/>
                <w:sz w:val="16"/>
                <w:szCs w:val="16"/>
                <w:color w:val="auto"/>
              </w:rPr>
              <w:t>Common dividends paid</w:t>
            </w:r>
          </w:p>
        </w:tc>
        <w:tc>
          <w:tcPr>
            <w:tcW w:w="8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(409)</w:t>
            </w:r>
          </w:p>
        </w:tc>
        <w:tc>
          <w:tcPr>
            <w:tcW w:w="5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(380)</w:t>
            </w:r>
          </w:p>
        </w:tc>
      </w:tr>
      <w:tr>
        <w:trPr>
          <w:trHeight w:val="217"/>
        </w:trPr>
        <w:tc>
          <w:tcPr>
            <w:tcW w:w="8300" w:type="dxa"/>
            <w:vAlign w:val="bottom"/>
            <w:shd w:val="clear" w:color="auto" w:fill="D4F1F5"/>
          </w:tcPr>
          <w:p>
            <w:pPr>
              <w:ind w:left="240"/>
              <w:spacing w:after="0"/>
              <w:rPr>
                <w:sz w:val="20"/>
                <w:szCs w:val="20"/>
                <w:color w:val="auto"/>
              </w:rPr>
            </w:pPr>
            <w:r>
              <w:rPr>
                <w:rFonts w:ascii="Arial" w:cs="Arial" w:eastAsia="Arial" w:hAnsi="Arial"/>
                <w:sz w:val="16"/>
                <w:szCs w:val="16"/>
                <w:color w:val="auto"/>
              </w:rPr>
              <w:t>Issuances of common stock, net</w:t>
            </w:r>
          </w:p>
        </w:tc>
        <w:tc>
          <w:tcPr>
            <w:tcW w:w="860" w:type="dxa"/>
            <w:vAlign w:val="bottom"/>
            <w:shd w:val="clear" w:color="auto" w:fill="D4F1F5"/>
          </w:tcPr>
          <w:p>
            <w:pPr>
              <w:spacing w:after="0"/>
              <w:rPr>
                <w:sz w:val="18"/>
                <w:szCs w:val="18"/>
                <w:color w:val="auto"/>
              </w:rPr>
            </w:pPr>
          </w:p>
        </w:tc>
        <w:tc>
          <w:tcPr>
            <w:tcW w:w="600" w:type="dxa"/>
            <w:vAlign w:val="bottom"/>
            <w:shd w:val="clear" w:color="auto" w:fill="D4F1F5"/>
          </w:tcPr>
          <w:p>
            <w:pPr>
              <w:jc w:val="right"/>
              <w:ind w:right="39"/>
              <w:spacing w:after="0"/>
              <w:rPr>
                <w:sz w:val="20"/>
                <w:szCs w:val="20"/>
                <w:color w:val="auto"/>
              </w:rPr>
            </w:pPr>
            <w:r>
              <w:rPr>
                <w:rFonts w:ascii="Arial" w:cs="Arial" w:eastAsia="Arial" w:hAnsi="Arial"/>
                <w:sz w:val="16"/>
                <w:szCs w:val="16"/>
                <w:color w:val="auto"/>
              </w:rPr>
              <w:t>9</w:t>
            </w:r>
          </w:p>
        </w:tc>
        <w:tc>
          <w:tcPr>
            <w:tcW w:w="500" w:type="dxa"/>
            <w:vAlign w:val="bottom"/>
            <w:shd w:val="clear" w:color="auto" w:fill="D4F1F5"/>
          </w:tcPr>
          <w:p>
            <w:pPr>
              <w:spacing w:after="0"/>
              <w:rPr>
                <w:sz w:val="18"/>
                <w:szCs w:val="18"/>
                <w:color w:val="auto"/>
              </w:rPr>
            </w:pPr>
          </w:p>
        </w:tc>
        <w:tc>
          <w:tcPr>
            <w:tcW w:w="980" w:type="dxa"/>
            <w:vAlign w:val="bottom"/>
            <w:shd w:val="clear" w:color="auto" w:fill="D4F1F5"/>
          </w:tcPr>
          <w:p>
            <w:pPr>
              <w:jc w:val="right"/>
              <w:spacing w:after="0"/>
              <w:rPr>
                <w:sz w:val="20"/>
                <w:szCs w:val="20"/>
                <w:color w:val="auto"/>
              </w:rPr>
            </w:pPr>
            <w:r>
              <w:rPr>
                <w:rFonts w:ascii="Arial" w:cs="Arial" w:eastAsia="Arial" w:hAnsi="Arial"/>
                <w:sz w:val="16"/>
                <w:szCs w:val="16"/>
                <w:color w:val="auto"/>
              </w:rPr>
              <w:t>10</w:t>
            </w:r>
          </w:p>
        </w:tc>
      </w:tr>
      <w:tr>
        <w:trPr>
          <w:trHeight w:val="215"/>
        </w:trPr>
        <w:tc>
          <w:tcPr>
            <w:tcW w:w="8300" w:type="dxa"/>
            <w:vAlign w:val="bottom"/>
          </w:tcPr>
          <w:p>
            <w:pPr>
              <w:ind w:left="240"/>
              <w:spacing w:after="0"/>
              <w:rPr>
                <w:sz w:val="20"/>
                <w:szCs w:val="20"/>
                <w:color w:val="auto"/>
              </w:rPr>
            </w:pPr>
            <w:r>
              <w:rPr>
                <w:rFonts w:ascii="Arial" w:cs="Arial" w:eastAsia="Arial" w:hAnsi="Arial"/>
                <w:sz w:val="16"/>
                <w:szCs w:val="16"/>
                <w:color w:val="auto"/>
              </w:rPr>
              <w:t>Repurchases of common stock</w:t>
            </w:r>
          </w:p>
        </w:tc>
        <w:tc>
          <w:tcPr>
            <w:tcW w:w="8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(20)</w:t>
            </w:r>
          </w:p>
        </w:tc>
        <w:tc>
          <w:tcPr>
            <w:tcW w:w="5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(57)</w:t>
            </w:r>
          </w:p>
        </w:tc>
      </w:tr>
      <w:tr>
        <w:trPr>
          <w:trHeight w:val="217"/>
        </w:trPr>
        <w:tc>
          <w:tcPr>
            <w:tcW w:w="8300" w:type="dxa"/>
            <w:vAlign w:val="bottom"/>
            <w:shd w:val="clear" w:color="auto" w:fill="D4F1F5"/>
          </w:tcPr>
          <w:p>
            <w:pPr>
              <w:ind w:left="240"/>
              <w:spacing w:after="0"/>
              <w:rPr>
                <w:sz w:val="20"/>
                <w:szCs w:val="20"/>
                <w:color w:val="auto"/>
              </w:rPr>
            </w:pPr>
            <w:r>
              <w:rPr>
                <w:rFonts w:ascii="Arial" w:cs="Arial" w:eastAsia="Arial" w:hAnsi="Arial"/>
                <w:sz w:val="16"/>
                <w:szCs w:val="16"/>
                <w:color w:val="auto"/>
              </w:rPr>
              <w:t>Issuances of debt (maturities greater than 90 days)</w:t>
            </w:r>
          </w:p>
        </w:tc>
        <w:tc>
          <w:tcPr>
            <w:tcW w:w="860" w:type="dxa"/>
            <w:vAlign w:val="bottom"/>
            <w:shd w:val="clear" w:color="auto" w:fill="D4F1F5"/>
          </w:tcPr>
          <w:p>
            <w:pPr>
              <w:spacing w:after="0"/>
              <w:rPr>
                <w:sz w:val="18"/>
                <w:szCs w:val="18"/>
                <w:color w:val="auto"/>
              </w:rPr>
            </w:pPr>
          </w:p>
        </w:tc>
        <w:tc>
          <w:tcPr>
            <w:tcW w:w="600" w:type="dxa"/>
            <w:vAlign w:val="bottom"/>
            <w:shd w:val="clear" w:color="auto" w:fill="D4F1F5"/>
          </w:tcPr>
          <w:p>
            <w:pPr>
              <w:jc w:val="right"/>
              <w:ind w:right="39"/>
              <w:spacing w:after="0"/>
              <w:rPr>
                <w:sz w:val="20"/>
                <w:szCs w:val="20"/>
                <w:color w:val="auto"/>
              </w:rPr>
            </w:pPr>
            <w:r>
              <w:rPr>
                <w:rFonts w:ascii="Arial" w:cs="Arial" w:eastAsia="Arial" w:hAnsi="Arial"/>
                <w:sz w:val="16"/>
                <w:szCs w:val="16"/>
                <w:color w:val="auto"/>
              </w:rPr>
              <w:t>3,345</w:t>
            </w:r>
          </w:p>
        </w:tc>
        <w:tc>
          <w:tcPr>
            <w:tcW w:w="500" w:type="dxa"/>
            <w:vAlign w:val="bottom"/>
            <w:shd w:val="clear" w:color="auto" w:fill="D4F1F5"/>
          </w:tcPr>
          <w:p>
            <w:pPr>
              <w:spacing w:after="0"/>
              <w:rPr>
                <w:sz w:val="18"/>
                <w:szCs w:val="18"/>
                <w:color w:val="auto"/>
              </w:rPr>
            </w:pPr>
          </w:p>
        </w:tc>
        <w:tc>
          <w:tcPr>
            <w:tcW w:w="980" w:type="dxa"/>
            <w:vAlign w:val="bottom"/>
            <w:shd w:val="clear" w:color="auto" w:fill="D4F1F5"/>
          </w:tcPr>
          <w:p>
            <w:pPr>
              <w:jc w:val="right"/>
              <w:spacing w:after="0"/>
              <w:rPr>
                <w:sz w:val="20"/>
                <w:szCs w:val="20"/>
                <w:color w:val="auto"/>
              </w:rPr>
            </w:pPr>
            <w:r>
              <w:rPr>
                <w:rFonts w:ascii="Arial" w:cs="Arial" w:eastAsia="Arial" w:hAnsi="Arial"/>
                <w:sz w:val="16"/>
                <w:szCs w:val="16"/>
                <w:color w:val="auto"/>
              </w:rPr>
              <w:t>2,941</w:t>
            </w:r>
          </w:p>
        </w:tc>
      </w:tr>
      <w:tr>
        <w:trPr>
          <w:trHeight w:val="215"/>
        </w:trPr>
        <w:tc>
          <w:tcPr>
            <w:tcW w:w="8300" w:type="dxa"/>
            <w:vAlign w:val="bottom"/>
          </w:tcPr>
          <w:p>
            <w:pPr>
              <w:ind w:left="240"/>
              <w:spacing w:after="0"/>
              <w:rPr>
                <w:sz w:val="20"/>
                <w:szCs w:val="20"/>
                <w:color w:val="auto"/>
              </w:rPr>
            </w:pPr>
            <w:r>
              <w:rPr>
                <w:rFonts w:ascii="Arial" w:cs="Arial" w:eastAsia="Arial" w:hAnsi="Arial"/>
                <w:sz w:val="16"/>
                <w:szCs w:val="16"/>
                <w:color w:val="auto"/>
              </w:rPr>
              <w:t>Payments on debt (maturities greater than 90 days) and finance leases</w:t>
            </w:r>
          </w:p>
        </w:tc>
        <w:tc>
          <w:tcPr>
            <w:tcW w:w="8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(673)</w:t>
            </w:r>
          </w:p>
        </w:tc>
        <w:tc>
          <w:tcPr>
            <w:tcW w:w="5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(994)</w:t>
            </w:r>
          </w:p>
        </w:tc>
      </w:tr>
      <w:tr>
        <w:trPr>
          <w:trHeight w:val="217"/>
        </w:trPr>
        <w:tc>
          <w:tcPr>
            <w:tcW w:w="8300" w:type="dxa"/>
            <w:vAlign w:val="bottom"/>
            <w:shd w:val="clear" w:color="auto" w:fill="D4F1F5"/>
          </w:tcPr>
          <w:p>
            <w:pPr>
              <w:ind w:left="240"/>
              <w:spacing w:after="0"/>
              <w:rPr>
                <w:sz w:val="20"/>
                <w:szCs w:val="20"/>
                <w:color w:val="auto"/>
              </w:rPr>
            </w:pPr>
            <w:r>
              <w:rPr>
                <w:rFonts w:ascii="Arial" w:cs="Arial" w:eastAsia="Arial" w:hAnsi="Arial"/>
                <w:sz w:val="16"/>
                <w:szCs w:val="16"/>
                <w:color w:val="auto"/>
              </w:rPr>
              <w:t>Decrease in short-term debt, net</w:t>
            </w:r>
          </w:p>
        </w:tc>
        <w:tc>
          <w:tcPr>
            <w:tcW w:w="860" w:type="dxa"/>
            <w:vAlign w:val="bottom"/>
            <w:shd w:val="clear" w:color="auto" w:fill="D4F1F5"/>
          </w:tcPr>
          <w:p>
            <w:pPr>
              <w:spacing w:after="0"/>
              <w:rPr>
                <w:sz w:val="18"/>
                <w:szCs w:val="18"/>
                <w:color w:val="auto"/>
              </w:rPr>
            </w:pPr>
          </w:p>
        </w:tc>
        <w:tc>
          <w:tcPr>
            <w:tcW w:w="600" w:type="dxa"/>
            <w:vAlign w:val="bottom"/>
            <w:shd w:val="clear" w:color="auto" w:fill="D4F1F5"/>
          </w:tcPr>
          <w:p>
            <w:pPr>
              <w:jc w:val="right"/>
              <w:spacing w:after="0"/>
              <w:rPr>
                <w:sz w:val="20"/>
                <w:szCs w:val="20"/>
                <w:color w:val="auto"/>
              </w:rPr>
            </w:pPr>
            <w:r>
              <w:rPr>
                <w:rFonts w:ascii="Arial" w:cs="Arial" w:eastAsia="Arial" w:hAnsi="Arial"/>
                <w:sz w:val="16"/>
                <w:szCs w:val="16"/>
                <w:color w:val="auto"/>
              </w:rPr>
              <w:t>(458)</w:t>
            </w:r>
          </w:p>
        </w:tc>
        <w:tc>
          <w:tcPr>
            <w:tcW w:w="500" w:type="dxa"/>
            <w:vAlign w:val="bottom"/>
            <w:shd w:val="clear" w:color="auto" w:fill="D4F1F5"/>
          </w:tcPr>
          <w:p>
            <w:pPr>
              <w:spacing w:after="0"/>
              <w:rPr>
                <w:sz w:val="18"/>
                <w:szCs w:val="18"/>
                <w:color w:val="auto"/>
              </w:rPr>
            </w:pPr>
          </w:p>
        </w:tc>
        <w:tc>
          <w:tcPr>
            <w:tcW w:w="980" w:type="dxa"/>
            <w:vAlign w:val="bottom"/>
            <w:shd w:val="clear" w:color="auto" w:fill="D4F1F5"/>
          </w:tcPr>
          <w:p>
            <w:pPr>
              <w:jc w:val="right"/>
              <w:spacing w:after="0"/>
              <w:rPr>
                <w:sz w:val="20"/>
                <w:szCs w:val="20"/>
                <w:color w:val="auto"/>
              </w:rPr>
            </w:pPr>
            <w:r>
              <w:rPr>
                <w:rFonts w:ascii="Arial" w:cs="Arial" w:eastAsia="Arial" w:hAnsi="Arial"/>
                <w:sz w:val="16"/>
                <w:szCs w:val="16"/>
                <w:color w:val="auto"/>
              </w:rPr>
              <w:t>(70)</w:t>
            </w:r>
          </w:p>
        </w:tc>
      </w:tr>
      <w:tr>
        <w:trPr>
          <w:trHeight w:val="215"/>
        </w:trPr>
        <w:tc>
          <w:tcPr>
            <w:tcW w:w="8300" w:type="dxa"/>
            <w:vAlign w:val="bottom"/>
          </w:tcPr>
          <w:p>
            <w:pPr>
              <w:ind w:left="240"/>
              <w:spacing w:after="0"/>
              <w:rPr>
                <w:sz w:val="20"/>
                <w:szCs w:val="20"/>
                <w:color w:val="auto"/>
              </w:rPr>
            </w:pPr>
            <w:r>
              <w:rPr>
                <w:rFonts w:ascii="Arial" w:cs="Arial" w:eastAsia="Arial" w:hAnsi="Arial"/>
                <w:sz w:val="16"/>
                <w:szCs w:val="16"/>
                <w:color w:val="auto"/>
              </w:rPr>
              <w:t>Advances from unconsolidated affiliates</w:t>
            </w:r>
          </w:p>
        </w:tc>
        <w:tc>
          <w:tcPr>
            <w:tcW w:w="860" w:type="dxa"/>
            <w:vAlign w:val="bottom"/>
          </w:tcPr>
          <w:p>
            <w:pPr>
              <w:spacing w:after="0"/>
              <w:rPr>
                <w:sz w:val="18"/>
                <w:szCs w:val="18"/>
                <w:color w:val="auto"/>
              </w:rPr>
            </w:pPr>
          </w:p>
        </w:tc>
        <w:tc>
          <w:tcPr>
            <w:tcW w:w="600" w:type="dxa"/>
            <w:vAlign w:val="bottom"/>
          </w:tcPr>
          <w:p>
            <w:pPr>
              <w:jc w:val="right"/>
              <w:ind w:right="39"/>
              <w:spacing w:after="0"/>
              <w:rPr>
                <w:sz w:val="20"/>
                <w:szCs w:val="20"/>
                <w:color w:val="auto"/>
              </w:rPr>
            </w:pPr>
            <w:r>
              <w:rPr>
                <w:rFonts w:ascii="Arial" w:cs="Arial" w:eastAsia="Arial" w:hAnsi="Arial"/>
                <w:sz w:val="16"/>
                <w:szCs w:val="16"/>
                <w:color w:val="auto"/>
              </w:rPr>
              <w:t>63</w:t>
            </w:r>
          </w:p>
        </w:tc>
        <w:tc>
          <w:tcPr>
            <w:tcW w:w="5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44</w:t>
            </w:r>
          </w:p>
        </w:tc>
      </w:tr>
      <w:tr>
        <w:trPr>
          <w:trHeight w:val="217"/>
        </w:trPr>
        <w:tc>
          <w:tcPr>
            <w:tcW w:w="8300" w:type="dxa"/>
            <w:vAlign w:val="bottom"/>
            <w:shd w:val="clear" w:color="auto" w:fill="D4F1F5"/>
          </w:tcPr>
          <w:p>
            <w:pPr>
              <w:ind w:left="240"/>
              <w:spacing w:after="0"/>
              <w:rPr>
                <w:sz w:val="20"/>
                <w:szCs w:val="20"/>
                <w:color w:val="auto"/>
              </w:rPr>
            </w:pPr>
            <w:r>
              <w:rPr>
                <w:rFonts w:ascii="Arial" w:cs="Arial" w:eastAsia="Arial" w:hAnsi="Arial"/>
                <w:sz w:val="16"/>
                <w:szCs w:val="16"/>
                <w:color w:val="auto"/>
              </w:rPr>
              <w:t>Contributions from noncontrolling interests</w:t>
            </w:r>
          </w:p>
        </w:tc>
        <w:tc>
          <w:tcPr>
            <w:tcW w:w="860" w:type="dxa"/>
            <w:vAlign w:val="bottom"/>
            <w:shd w:val="clear" w:color="auto" w:fill="D4F1F5"/>
          </w:tcPr>
          <w:p>
            <w:pPr>
              <w:spacing w:after="0"/>
              <w:rPr>
                <w:sz w:val="18"/>
                <w:szCs w:val="18"/>
                <w:color w:val="auto"/>
              </w:rPr>
            </w:pPr>
          </w:p>
        </w:tc>
        <w:tc>
          <w:tcPr>
            <w:tcW w:w="600" w:type="dxa"/>
            <w:vAlign w:val="bottom"/>
            <w:shd w:val="clear" w:color="auto" w:fill="D4F1F5"/>
          </w:tcPr>
          <w:p>
            <w:pPr>
              <w:jc w:val="right"/>
              <w:ind w:right="39"/>
              <w:spacing w:after="0"/>
              <w:rPr>
                <w:sz w:val="20"/>
                <w:szCs w:val="20"/>
                <w:color w:val="auto"/>
              </w:rPr>
            </w:pPr>
            <w:r>
              <w:rPr>
                <w:rFonts w:ascii="Arial" w:cs="Arial" w:eastAsia="Arial" w:hAnsi="Arial"/>
                <w:sz w:val="16"/>
                <w:szCs w:val="16"/>
                <w:color w:val="auto"/>
              </w:rPr>
              <w:t>41</w:t>
            </w:r>
          </w:p>
        </w:tc>
        <w:tc>
          <w:tcPr>
            <w:tcW w:w="500" w:type="dxa"/>
            <w:vAlign w:val="bottom"/>
            <w:shd w:val="clear" w:color="auto" w:fill="D4F1F5"/>
          </w:tcPr>
          <w:p>
            <w:pPr>
              <w:spacing w:after="0"/>
              <w:rPr>
                <w:sz w:val="18"/>
                <w:szCs w:val="18"/>
                <w:color w:val="auto"/>
              </w:rPr>
            </w:pPr>
          </w:p>
        </w:tc>
        <w:tc>
          <w:tcPr>
            <w:tcW w:w="980" w:type="dxa"/>
            <w:vAlign w:val="bottom"/>
            <w:shd w:val="clear" w:color="auto" w:fill="D4F1F5"/>
          </w:tcPr>
          <w:p>
            <w:pPr>
              <w:jc w:val="right"/>
              <w:spacing w:after="0"/>
              <w:rPr>
                <w:sz w:val="20"/>
                <w:szCs w:val="20"/>
                <w:color w:val="auto"/>
              </w:rPr>
            </w:pPr>
            <w:r>
              <w:rPr>
                <w:rFonts w:ascii="Arial" w:cs="Arial" w:eastAsia="Arial" w:hAnsi="Arial"/>
                <w:sz w:val="16"/>
                <w:szCs w:val="16"/>
                <w:color w:val="auto"/>
              </w:rPr>
              <w:t>34</w:t>
            </w:r>
          </w:p>
        </w:tc>
      </w:tr>
      <w:tr>
        <w:trPr>
          <w:trHeight w:val="215"/>
        </w:trPr>
        <w:tc>
          <w:tcPr>
            <w:tcW w:w="8300" w:type="dxa"/>
            <w:vAlign w:val="bottom"/>
          </w:tcPr>
          <w:p>
            <w:pPr>
              <w:ind w:left="240"/>
              <w:spacing w:after="0"/>
              <w:rPr>
                <w:sz w:val="20"/>
                <w:szCs w:val="20"/>
                <w:color w:val="auto"/>
              </w:rPr>
            </w:pPr>
            <w:r>
              <w:rPr>
                <w:rFonts w:ascii="Arial" w:cs="Arial" w:eastAsia="Arial" w:hAnsi="Arial"/>
                <w:sz w:val="16"/>
                <w:szCs w:val="16"/>
                <w:color w:val="auto"/>
              </w:rPr>
              <w:t>Distributions to noncontrolling interests</w:t>
            </w:r>
          </w:p>
        </w:tc>
        <w:tc>
          <w:tcPr>
            <w:tcW w:w="8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(65)</w:t>
            </w:r>
          </w:p>
        </w:tc>
        <w:tc>
          <w:tcPr>
            <w:tcW w:w="5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(38)</w:t>
            </w:r>
          </w:p>
        </w:tc>
      </w:tr>
      <w:tr>
        <w:trPr>
          <w:trHeight w:val="217"/>
        </w:trPr>
        <w:tc>
          <w:tcPr>
            <w:tcW w:w="8300" w:type="dxa"/>
            <w:vAlign w:val="bottom"/>
            <w:shd w:val="clear" w:color="auto" w:fill="D4F1F5"/>
          </w:tcPr>
          <w:p>
            <w:pPr>
              <w:ind w:left="240"/>
              <w:spacing w:after="0"/>
              <w:rPr>
                <w:sz w:val="20"/>
                <w:szCs w:val="20"/>
                <w:color w:val="auto"/>
              </w:rPr>
            </w:pPr>
            <w:r>
              <w:rPr>
                <w:rFonts w:ascii="Arial" w:cs="Arial" w:eastAsia="Arial" w:hAnsi="Arial"/>
                <w:sz w:val="16"/>
                <w:szCs w:val="16"/>
                <w:color w:val="auto"/>
              </w:rPr>
              <w:t>Termination of interest rate swaps, net of transaction costs</w:t>
            </w:r>
          </w:p>
        </w:tc>
        <w:tc>
          <w:tcPr>
            <w:tcW w:w="860" w:type="dxa"/>
            <w:vAlign w:val="bottom"/>
            <w:shd w:val="clear" w:color="auto" w:fill="D4F1F5"/>
          </w:tcPr>
          <w:p>
            <w:pPr>
              <w:spacing w:after="0"/>
              <w:rPr>
                <w:sz w:val="18"/>
                <w:szCs w:val="18"/>
                <w:color w:val="auto"/>
              </w:rPr>
            </w:pPr>
          </w:p>
        </w:tc>
        <w:tc>
          <w:tcPr>
            <w:tcW w:w="600" w:type="dxa"/>
            <w:vAlign w:val="bottom"/>
            <w:shd w:val="clear" w:color="auto" w:fill="D4F1F5"/>
          </w:tcPr>
          <w:p>
            <w:pPr>
              <w:jc w:val="right"/>
              <w:ind w:right="39"/>
              <w:spacing w:after="0"/>
              <w:rPr>
                <w:sz w:val="20"/>
                <w:szCs w:val="20"/>
                <w:color w:val="auto"/>
              </w:rPr>
            </w:pPr>
            <w:r>
              <w:rPr>
                <w:rFonts w:ascii="Arial" w:cs="Arial" w:eastAsia="Arial" w:hAnsi="Arial"/>
                <w:sz w:val="16"/>
                <w:szCs w:val="16"/>
                <w:color w:val="auto"/>
              </w:rPr>
              <w:t>96</w:t>
            </w:r>
          </w:p>
        </w:tc>
        <w:tc>
          <w:tcPr>
            <w:tcW w:w="500" w:type="dxa"/>
            <w:vAlign w:val="bottom"/>
            <w:shd w:val="clear" w:color="auto" w:fill="D4F1F5"/>
          </w:tcPr>
          <w:p>
            <w:pPr>
              <w:spacing w:after="0"/>
              <w:rPr>
                <w:sz w:val="18"/>
                <w:szCs w:val="18"/>
                <w:color w:val="auto"/>
              </w:rPr>
            </w:pPr>
          </w:p>
        </w:tc>
        <w:tc>
          <w:tcPr>
            <w:tcW w:w="980" w:type="dxa"/>
            <w:vAlign w:val="bottom"/>
            <w:shd w:val="clear" w:color="auto" w:fill="D4F1F5"/>
          </w:tcPr>
          <w:p>
            <w:pPr>
              <w:jc w:val="right"/>
              <w:spacing w:after="0"/>
              <w:rPr>
                <w:sz w:val="20"/>
                <w:szCs w:val="20"/>
                <w:color w:val="auto"/>
              </w:rPr>
            </w:pPr>
            <w:r>
              <w:rPr>
                <w:rFonts w:ascii="Arial" w:cs="Arial" w:eastAsia="Arial" w:hAnsi="Arial"/>
                <w:sz w:val="16"/>
                <w:szCs w:val="16"/>
                <w:color w:val="auto"/>
              </w:rPr>
              <w:t>—</w:t>
            </w:r>
          </w:p>
        </w:tc>
      </w:tr>
      <w:tr>
        <w:trPr>
          <w:trHeight w:val="215"/>
        </w:trPr>
        <w:tc>
          <w:tcPr>
            <w:tcW w:w="8300" w:type="dxa"/>
            <w:vAlign w:val="bottom"/>
            <w:tcBorders>
              <w:bottom w:val="single" w:sz="8" w:color="D4F1F5"/>
            </w:tcBorders>
          </w:tcPr>
          <w:p>
            <w:pPr>
              <w:ind w:left="240"/>
              <w:spacing w:after="0"/>
              <w:rPr>
                <w:sz w:val="20"/>
                <w:szCs w:val="20"/>
                <w:color w:val="auto"/>
              </w:rPr>
            </w:pPr>
            <w:r>
              <w:rPr>
                <w:rFonts w:ascii="Arial" w:cs="Arial" w:eastAsia="Arial" w:hAnsi="Arial"/>
                <w:sz w:val="16"/>
                <w:szCs w:val="16"/>
                <w:color w:val="auto"/>
              </w:rPr>
              <w:t>Other</w:t>
            </w:r>
          </w:p>
        </w:tc>
        <w:tc>
          <w:tcPr>
            <w:tcW w:w="8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w:t>
            </w:r>
          </w:p>
        </w:tc>
        <w:tc>
          <w:tcPr>
            <w:tcW w:w="5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w:t>
            </w:r>
          </w:p>
        </w:tc>
      </w:tr>
      <w:tr>
        <w:trPr>
          <w:trHeight w:val="210"/>
        </w:trPr>
        <w:tc>
          <w:tcPr>
            <w:tcW w:w="8300" w:type="dxa"/>
            <w:vAlign w:val="bottom"/>
            <w:shd w:val="clear" w:color="auto" w:fill="D4F1F5"/>
          </w:tcPr>
          <w:p>
            <w:pPr>
              <w:ind w:left="460"/>
              <w:spacing w:after="0"/>
              <w:rPr>
                <w:sz w:val="20"/>
                <w:szCs w:val="20"/>
                <w:color w:val="auto"/>
              </w:rPr>
            </w:pPr>
            <w:r>
              <w:rPr>
                <w:rFonts w:ascii="Arial" w:cs="Arial" w:eastAsia="Arial" w:hAnsi="Arial"/>
                <w:sz w:val="16"/>
                <w:szCs w:val="16"/>
                <w:color w:val="auto"/>
              </w:rPr>
              <w:t>Net cash provided by financing activities</w:t>
            </w:r>
          </w:p>
        </w:tc>
        <w:tc>
          <w:tcPr>
            <w:tcW w:w="860" w:type="dxa"/>
            <w:vAlign w:val="bottom"/>
            <w:tcBorders>
              <w:bottom w:val="single" w:sz="8" w:color="auto"/>
            </w:tcBorders>
            <w:shd w:val="clear" w:color="auto" w:fill="D4F1F5"/>
          </w:tcPr>
          <w:p>
            <w:pPr>
              <w:spacing w:after="0"/>
              <w:rPr>
                <w:sz w:val="18"/>
                <w:szCs w:val="18"/>
                <w:color w:val="auto"/>
              </w:rPr>
            </w:pPr>
          </w:p>
        </w:tc>
        <w:tc>
          <w:tcPr>
            <w:tcW w:w="600" w:type="dxa"/>
            <w:vAlign w:val="bottom"/>
            <w:tcBorders>
              <w:bottom w:val="single" w:sz="8" w:color="auto"/>
            </w:tcBorders>
            <w:shd w:val="clear" w:color="auto" w:fill="D4F1F5"/>
          </w:tcPr>
          <w:p>
            <w:pPr>
              <w:jc w:val="right"/>
              <w:ind w:right="39"/>
              <w:spacing w:after="0"/>
              <w:rPr>
                <w:sz w:val="20"/>
                <w:szCs w:val="20"/>
                <w:color w:val="auto"/>
              </w:rPr>
            </w:pPr>
            <w:r>
              <w:rPr>
                <w:rFonts w:ascii="Arial" w:cs="Arial" w:eastAsia="Arial" w:hAnsi="Arial"/>
                <w:sz w:val="16"/>
                <w:szCs w:val="16"/>
                <w:color w:val="auto"/>
              </w:rPr>
              <w:t>1,912</w:t>
            </w:r>
          </w:p>
        </w:tc>
        <w:tc>
          <w:tcPr>
            <w:tcW w:w="500" w:type="dxa"/>
            <w:vAlign w:val="bottom"/>
            <w:tcBorders>
              <w:bottom w:val="single" w:sz="8" w:color="auto"/>
            </w:tcBorders>
            <w:shd w:val="clear" w:color="auto" w:fill="D4F1F5"/>
          </w:tcPr>
          <w:p>
            <w:pPr>
              <w:spacing w:after="0"/>
              <w:rPr>
                <w:sz w:val="18"/>
                <w:szCs w:val="18"/>
                <w:color w:val="auto"/>
              </w:rPr>
            </w:pPr>
          </w:p>
        </w:tc>
        <w:tc>
          <w:tcPr>
            <w:tcW w:w="980" w:type="dxa"/>
            <w:vAlign w:val="bottom"/>
            <w:tcBorders>
              <w:bottom w:val="single" w:sz="8" w:color="auto"/>
            </w:tcBorders>
            <w:shd w:val="clear" w:color="auto" w:fill="D4F1F5"/>
          </w:tcPr>
          <w:p>
            <w:pPr>
              <w:jc w:val="right"/>
              <w:spacing w:after="0"/>
              <w:rPr>
                <w:sz w:val="20"/>
                <w:szCs w:val="20"/>
                <w:color w:val="auto"/>
              </w:rPr>
            </w:pPr>
            <w:r>
              <w:rPr>
                <w:rFonts w:ascii="Arial" w:cs="Arial" w:eastAsia="Arial" w:hAnsi="Arial"/>
                <w:sz w:val="16"/>
                <w:szCs w:val="16"/>
                <w:color w:val="auto"/>
              </w:rPr>
              <w:t>1,476</w:t>
            </w:r>
          </w:p>
        </w:tc>
      </w:tr>
      <w:tr>
        <w:trPr>
          <w:trHeight w:val="197"/>
        </w:trPr>
        <w:tc>
          <w:tcPr>
            <w:tcW w:w="83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15"/>
        </w:trPr>
        <w:tc>
          <w:tcPr>
            <w:tcW w:w="8300" w:type="dxa"/>
            <w:vAlign w:val="bottom"/>
            <w:shd w:val="clear" w:color="auto" w:fill="D4F1F5"/>
          </w:tcPr>
          <w:p>
            <w:pPr>
              <w:ind w:left="20"/>
              <w:spacing w:after="0"/>
              <w:rPr>
                <w:sz w:val="20"/>
                <w:szCs w:val="20"/>
                <w:color w:val="auto"/>
              </w:rPr>
            </w:pPr>
            <w:r>
              <w:rPr>
                <w:rFonts w:ascii="Arial" w:cs="Arial" w:eastAsia="Arial" w:hAnsi="Arial"/>
                <w:sz w:val="16"/>
                <w:szCs w:val="16"/>
                <w:color w:val="auto"/>
              </w:rPr>
              <w:t>Effect of exchange rate changes on cash, cash equivalents and restricted cash</w:t>
            </w:r>
          </w:p>
        </w:tc>
        <w:tc>
          <w:tcPr>
            <w:tcW w:w="860" w:type="dxa"/>
            <w:vAlign w:val="bottom"/>
            <w:tcBorders>
              <w:bottom w:val="single" w:sz="8" w:color="auto"/>
            </w:tcBorders>
            <w:shd w:val="clear" w:color="auto" w:fill="D4F1F5"/>
          </w:tcPr>
          <w:p>
            <w:pPr>
              <w:spacing w:after="0"/>
              <w:rPr>
                <w:sz w:val="18"/>
                <w:szCs w:val="18"/>
                <w:color w:val="auto"/>
              </w:rPr>
            </w:pPr>
          </w:p>
        </w:tc>
        <w:tc>
          <w:tcPr>
            <w:tcW w:w="600" w:type="dxa"/>
            <w:vAlign w:val="bottom"/>
            <w:tcBorders>
              <w:bottom w:val="single" w:sz="8" w:color="auto"/>
            </w:tcBorders>
            <w:shd w:val="clear" w:color="auto" w:fill="D4F1F5"/>
          </w:tcPr>
          <w:p>
            <w:pPr>
              <w:jc w:val="right"/>
              <w:spacing w:after="0"/>
              <w:rPr>
                <w:sz w:val="20"/>
                <w:szCs w:val="20"/>
                <w:color w:val="auto"/>
              </w:rPr>
            </w:pPr>
            <w:r>
              <w:rPr>
                <w:rFonts w:ascii="Arial" w:cs="Arial" w:eastAsia="Arial" w:hAnsi="Arial"/>
                <w:sz w:val="16"/>
                <w:szCs w:val="16"/>
                <w:color w:val="auto"/>
              </w:rPr>
              <w:t>(3)</w:t>
            </w:r>
          </w:p>
        </w:tc>
        <w:tc>
          <w:tcPr>
            <w:tcW w:w="500" w:type="dxa"/>
            <w:vAlign w:val="bottom"/>
            <w:tcBorders>
              <w:bottom w:val="single" w:sz="8" w:color="auto"/>
            </w:tcBorders>
            <w:shd w:val="clear" w:color="auto" w:fill="D4F1F5"/>
          </w:tcPr>
          <w:p>
            <w:pPr>
              <w:spacing w:after="0"/>
              <w:rPr>
                <w:sz w:val="18"/>
                <w:szCs w:val="18"/>
                <w:color w:val="auto"/>
              </w:rPr>
            </w:pPr>
          </w:p>
        </w:tc>
        <w:tc>
          <w:tcPr>
            <w:tcW w:w="980" w:type="dxa"/>
            <w:vAlign w:val="bottom"/>
            <w:tcBorders>
              <w:bottom w:val="single" w:sz="8" w:color="auto"/>
            </w:tcBorders>
            <w:shd w:val="clear" w:color="auto" w:fill="D4F1F5"/>
          </w:tcPr>
          <w:p>
            <w:pPr>
              <w:jc w:val="right"/>
              <w:spacing w:after="0"/>
              <w:rPr>
                <w:sz w:val="20"/>
                <w:szCs w:val="20"/>
                <w:color w:val="auto"/>
              </w:rPr>
            </w:pPr>
            <w:r>
              <w:rPr>
                <w:rFonts w:ascii="Arial" w:cs="Arial" w:eastAsia="Arial" w:hAnsi="Arial"/>
                <w:sz w:val="16"/>
                <w:szCs w:val="16"/>
                <w:color w:val="auto"/>
              </w:rPr>
              <w:t>—</w:t>
            </w:r>
          </w:p>
        </w:tc>
      </w:tr>
      <w:tr>
        <w:trPr>
          <w:trHeight w:val="197"/>
        </w:trPr>
        <w:tc>
          <w:tcPr>
            <w:tcW w:w="83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16"/>
        </w:trPr>
        <w:tc>
          <w:tcPr>
            <w:tcW w:w="8300" w:type="dxa"/>
            <w:vAlign w:val="bottom"/>
            <w:shd w:val="clear" w:color="auto" w:fill="D4F1F5"/>
          </w:tcPr>
          <w:p>
            <w:pPr>
              <w:ind w:left="20"/>
              <w:spacing w:after="0"/>
              <w:rPr>
                <w:sz w:val="20"/>
                <w:szCs w:val="20"/>
                <w:color w:val="auto"/>
              </w:rPr>
            </w:pPr>
            <w:r>
              <w:rPr>
                <w:rFonts w:ascii="Arial" w:cs="Arial" w:eastAsia="Arial" w:hAnsi="Arial"/>
                <w:sz w:val="16"/>
                <w:szCs w:val="16"/>
                <w:color w:val="auto"/>
              </w:rPr>
              <w:t>Increase in cash, cash equivalents and restricted cash</w:t>
            </w:r>
          </w:p>
        </w:tc>
        <w:tc>
          <w:tcPr>
            <w:tcW w:w="860" w:type="dxa"/>
            <w:vAlign w:val="bottom"/>
            <w:shd w:val="clear" w:color="auto" w:fill="D4F1F5"/>
          </w:tcPr>
          <w:p>
            <w:pPr>
              <w:spacing w:after="0"/>
              <w:rPr>
                <w:sz w:val="18"/>
                <w:szCs w:val="18"/>
                <w:color w:val="auto"/>
              </w:rPr>
            </w:pPr>
          </w:p>
        </w:tc>
        <w:tc>
          <w:tcPr>
            <w:tcW w:w="600" w:type="dxa"/>
            <w:vAlign w:val="bottom"/>
            <w:shd w:val="clear" w:color="auto" w:fill="D4F1F5"/>
          </w:tcPr>
          <w:p>
            <w:pPr>
              <w:jc w:val="right"/>
              <w:ind w:right="39"/>
              <w:spacing w:after="0"/>
              <w:rPr>
                <w:sz w:val="20"/>
                <w:szCs w:val="20"/>
                <w:color w:val="auto"/>
              </w:rPr>
            </w:pPr>
            <w:r>
              <w:rPr>
                <w:rFonts w:ascii="Arial" w:cs="Arial" w:eastAsia="Arial" w:hAnsi="Arial"/>
                <w:sz w:val="16"/>
                <w:szCs w:val="16"/>
                <w:color w:val="auto"/>
              </w:rPr>
              <w:t>407</w:t>
            </w:r>
          </w:p>
        </w:tc>
        <w:tc>
          <w:tcPr>
            <w:tcW w:w="500" w:type="dxa"/>
            <w:vAlign w:val="bottom"/>
            <w:shd w:val="clear" w:color="auto" w:fill="D4F1F5"/>
          </w:tcPr>
          <w:p>
            <w:pPr>
              <w:spacing w:after="0"/>
              <w:rPr>
                <w:sz w:val="18"/>
                <w:szCs w:val="18"/>
                <w:color w:val="auto"/>
              </w:rPr>
            </w:pPr>
          </w:p>
        </w:tc>
        <w:tc>
          <w:tcPr>
            <w:tcW w:w="980" w:type="dxa"/>
            <w:vAlign w:val="bottom"/>
            <w:shd w:val="clear" w:color="auto" w:fill="D4F1F5"/>
          </w:tcPr>
          <w:p>
            <w:pPr>
              <w:jc w:val="right"/>
              <w:spacing w:after="0"/>
              <w:rPr>
                <w:sz w:val="20"/>
                <w:szCs w:val="20"/>
                <w:color w:val="auto"/>
              </w:rPr>
            </w:pPr>
            <w:r>
              <w:rPr>
                <w:rFonts w:ascii="Arial" w:cs="Arial" w:eastAsia="Arial" w:hAnsi="Arial"/>
                <w:sz w:val="16"/>
                <w:szCs w:val="16"/>
                <w:color w:val="auto"/>
              </w:rPr>
              <w:t>173</w:t>
            </w:r>
          </w:p>
        </w:tc>
      </w:tr>
      <w:tr>
        <w:trPr>
          <w:trHeight w:val="215"/>
        </w:trPr>
        <w:tc>
          <w:tcPr>
            <w:tcW w:w="8300" w:type="dxa"/>
            <w:vAlign w:val="bottom"/>
            <w:tcBorders>
              <w:bottom w:val="single" w:sz="8" w:color="D4F1F5"/>
            </w:tcBorders>
          </w:tcPr>
          <w:p>
            <w:pPr>
              <w:ind w:left="20"/>
              <w:spacing w:after="0"/>
              <w:rPr>
                <w:sz w:val="20"/>
                <w:szCs w:val="20"/>
                <w:color w:val="auto"/>
              </w:rPr>
            </w:pPr>
            <w:r>
              <w:rPr>
                <w:rFonts w:ascii="Arial" w:cs="Arial" w:eastAsia="Arial" w:hAnsi="Arial"/>
                <w:sz w:val="16"/>
                <w:szCs w:val="16"/>
                <w:color w:val="auto"/>
              </w:rPr>
              <w:t>Cash, cash equivalents and restricted cash, January 1</w:t>
            </w:r>
          </w:p>
        </w:tc>
        <w:tc>
          <w:tcPr>
            <w:tcW w:w="8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3,552</w:t>
            </w:r>
          </w:p>
        </w:tc>
        <w:tc>
          <w:tcPr>
            <w:tcW w:w="5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1,589</w:t>
            </w:r>
          </w:p>
        </w:tc>
      </w:tr>
      <w:tr>
        <w:trPr>
          <w:trHeight w:val="217"/>
        </w:trPr>
        <w:tc>
          <w:tcPr>
            <w:tcW w:w="8300" w:type="dxa"/>
            <w:vAlign w:val="bottom"/>
            <w:tcBorders>
              <w:bottom w:val="single" w:sz="8" w:color="auto"/>
            </w:tcBorders>
            <w:shd w:val="clear" w:color="auto" w:fill="D4F1F5"/>
          </w:tcPr>
          <w:p>
            <w:pPr>
              <w:ind w:left="20"/>
              <w:spacing w:after="0"/>
              <w:rPr>
                <w:sz w:val="20"/>
                <w:szCs w:val="20"/>
                <w:color w:val="auto"/>
              </w:rPr>
            </w:pPr>
            <w:r>
              <w:rPr>
                <w:rFonts w:ascii="Arial" w:cs="Arial" w:eastAsia="Arial" w:hAnsi="Arial"/>
                <w:sz w:val="16"/>
                <w:szCs w:val="16"/>
                <w:color w:val="auto"/>
              </w:rPr>
              <w:t>Cash, cash equivalents and restricted cash, March 31</w:t>
            </w:r>
          </w:p>
        </w:tc>
        <w:tc>
          <w:tcPr>
            <w:tcW w:w="860" w:type="dxa"/>
            <w:vAlign w:val="bottom"/>
            <w:tcBorders>
              <w:bottom w:val="single" w:sz="8" w:color="auto"/>
            </w:tcBorders>
            <w:shd w:val="clear" w:color="auto" w:fill="D4F1F5"/>
          </w:tcPr>
          <w:p>
            <w:pPr>
              <w:jc w:val="right"/>
              <w:ind w:right="684"/>
              <w:spacing w:after="0"/>
              <w:rPr>
                <w:sz w:val="20"/>
                <w:szCs w:val="20"/>
                <w:color w:val="auto"/>
              </w:rPr>
            </w:pPr>
            <w:r>
              <w:rPr>
                <w:rFonts w:ascii="Arial" w:cs="Arial" w:eastAsia="Arial" w:hAnsi="Arial"/>
                <w:sz w:val="16"/>
                <w:szCs w:val="16"/>
                <w:color w:val="auto"/>
                <w:w w:val="89"/>
              </w:rPr>
              <w:t>$</w:t>
            </w:r>
          </w:p>
        </w:tc>
        <w:tc>
          <w:tcPr>
            <w:tcW w:w="600" w:type="dxa"/>
            <w:vAlign w:val="bottom"/>
            <w:tcBorders>
              <w:bottom w:val="single" w:sz="8" w:color="auto"/>
            </w:tcBorders>
            <w:shd w:val="clear" w:color="auto" w:fill="D4F1F5"/>
          </w:tcPr>
          <w:p>
            <w:pPr>
              <w:jc w:val="right"/>
              <w:ind w:right="39"/>
              <w:spacing w:after="0"/>
              <w:rPr>
                <w:sz w:val="20"/>
                <w:szCs w:val="20"/>
                <w:color w:val="auto"/>
              </w:rPr>
            </w:pPr>
            <w:r>
              <w:rPr>
                <w:rFonts w:ascii="Arial" w:cs="Arial" w:eastAsia="Arial" w:hAnsi="Arial"/>
                <w:sz w:val="16"/>
                <w:szCs w:val="16"/>
                <w:color w:val="auto"/>
              </w:rPr>
              <w:t>3,959</w:t>
            </w:r>
          </w:p>
        </w:tc>
        <w:tc>
          <w:tcPr>
            <w:tcW w:w="500" w:type="dxa"/>
            <w:vAlign w:val="bottom"/>
            <w:tcBorders>
              <w:bottom w:val="single" w:sz="8" w:color="auto"/>
            </w:tcBorders>
            <w:shd w:val="clear" w:color="auto" w:fill="D4F1F5"/>
          </w:tcPr>
          <w:p>
            <w:pPr>
              <w:jc w:val="right"/>
              <w:ind w:right="23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shd w:val="clear" w:color="auto" w:fill="D4F1F5"/>
          </w:tcPr>
          <w:p>
            <w:pPr>
              <w:jc w:val="right"/>
              <w:spacing w:after="0"/>
              <w:rPr>
                <w:sz w:val="20"/>
                <w:szCs w:val="20"/>
                <w:color w:val="auto"/>
              </w:rPr>
            </w:pPr>
            <w:r>
              <w:rPr>
                <w:rFonts w:ascii="Arial" w:cs="Arial" w:eastAsia="Arial" w:hAnsi="Arial"/>
                <w:sz w:val="16"/>
                <w:szCs w:val="16"/>
                <w:color w:val="auto"/>
              </w:rPr>
              <w:t>1,762</w:t>
            </w:r>
          </w:p>
        </w:tc>
      </w:tr>
    </w:tbl>
    <w:p>
      <w:pPr>
        <w:spacing w:after="0" w:line="141"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See Notes to Condensed Consolidated Financial Statements.</w:t>
      </w: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480060</wp:posOffset>
            </wp:positionV>
            <wp:extent cx="7132320" cy="45466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4546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FFFFFF"/>
        </w:rPr>
        <w:t>SEMPRA</w:t>
      </w:r>
    </w:p>
    <w:p>
      <w:pPr>
        <w:spacing w:after="0" w:line="59"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FFFFFF"/>
        </w:rPr>
        <w:t>CONDENSED CONSOLIDATED STATEMENTS OF CASH FLOWS (CONTINUED)</w:t>
      </w:r>
    </w:p>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8300" w:type="dxa"/>
            <w:vAlign w:val="bottom"/>
          </w:tcPr>
          <w:p>
            <w:pPr>
              <w:ind w:left="20"/>
              <w:spacing w:after="0"/>
              <w:rPr>
                <w:sz w:val="20"/>
                <w:szCs w:val="20"/>
                <w:color w:val="auto"/>
              </w:rPr>
            </w:pPr>
            <w:r>
              <w:rPr>
                <w:rFonts w:ascii="Arial" w:cs="Arial" w:eastAsia="Arial" w:hAnsi="Arial"/>
                <w:sz w:val="14"/>
                <w:szCs w:val="14"/>
                <w:i w:val="1"/>
                <w:iCs w:val="1"/>
                <w:color w:val="FFFFFF"/>
              </w:rPr>
              <w:t>(Dollars in millions)</w:t>
            </w:r>
          </w:p>
        </w:tc>
        <w:tc>
          <w:tcPr>
            <w:tcW w:w="9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980" w:type="dxa"/>
            <w:vAlign w:val="bottom"/>
          </w:tcPr>
          <w:p>
            <w:pPr>
              <w:spacing w:after="0"/>
              <w:rPr>
                <w:sz w:val="16"/>
                <w:szCs w:val="16"/>
                <w:color w:val="auto"/>
              </w:rPr>
            </w:pPr>
          </w:p>
        </w:tc>
      </w:tr>
      <w:tr>
        <w:trPr>
          <w:trHeight w:val="233"/>
        </w:trPr>
        <w:tc>
          <w:tcPr>
            <w:tcW w:w="8300" w:type="dxa"/>
            <w:vAlign w:val="bottom"/>
          </w:tcPr>
          <w:p>
            <w:pPr>
              <w:spacing w:after="0"/>
              <w:rPr>
                <w:sz w:val="20"/>
                <w:szCs w:val="20"/>
                <w:color w:val="auto"/>
              </w:rPr>
            </w:pPr>
          </w:p>
        </w:tc>
        <w:tc>
          <w:tcPr>
            <w:tcW w:w="2940" w:type="dxa"/>
            <w:vAlign w:val="bottom"/>
            <w:tcBorders>
              <w:bottom w:val="single" w:sz="8" w:color="auto"/>
            </w:tcBorders>
            <w:gridSpan w:val="4"/>
          </w:tcPr>
          <w:p>
            <w:pPr>
              <w:jc w:val="right"/>
              <w:ind w:right="380"/>
              <w:spacing w:after="0"/>
              <w:rPr>
                <w:sz w:val="20"/>
                <w:szCs w:val="20"/>
                <w:color w:val="auto"/>
              </w:rPr>
            </w:pPr>
            <w:r>
              <w:rPr>
                <w:rFonts w:ascii="Arial" w:cs="Arial" w:eastAsia="Arial" w:hAnsi="Arial"/>
                <w:sz w:val="14"/>
                <w:szCs w:val="14"/>
                <w:color w:val="auto"/>
              </w:rPr>
              <w:t>Three months ended March 31,</w:t>
            </w:r>
          </w:p>
        </w:tc>
      </w:tr>
      <w:tr>
        <w:trPr>
          <w:trHeight w:val="210"/>
        </w:trPr>
        <w:tc>
          <w:tcPr>
            <w:tcW w:w="83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2026</w:t>
            </w:r>
          </w:p>
        </w:tc>
        <w:tc>
          <w:tcPr>
            <w:tcW w:w="56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460"/>
              <w:spacing w:after="0"/>
              <w:rPr>
                <w:sz w:val="20"/>
                <w:szCs w:val="20"/>
                <w:color w:val="auto"/>
              </w:rPr>
            </w:pPr>
            <w:r>
              <w:rPr>
                <w:rFonts w:ascii="Arial" w:cs="Arial" w:eastAsia="Arial" w:hAnsi="Arial"/>
                <w:sz w:val="14"/>
                <w:szCs w:val="14"/>
                <w:color w:val="auto"/>
              </w:rPr>
              <w:t>2025</w:t>
            </w:r>
          </w:p>
        </w:tc>
      </w:tr>
      <w:tr>
        <w:trPr>
          <w:trHeight w:val="213"/>
        </w:trPr>
        <w:tc>
          <w:tcPr>
            <w:tcW w:w="8300" w:type="dxa"/>
            <w:vAlign w:val="bottom"/>
            <w:shd w:val="clear" w:color="auto" w:fill="D4F1F5"/>
          </w:tcPr>
          <w:p>
            <w:pPr>
              <w:spacing w:after="0"/>
              <w:rPr>
                <w:sz w:val="18"/>
                <w:szCs w:val="18"/>
                <w:color w:val="auto"/>
              </w:rPr>
            </w:pPr>
          </w:p>
        </w:tc>
        <w:tc>
          <w:tcPr>
            <w:tcW w:w="900" w:type="dxa"/>
            <w:vAlign w:val="bottom"/>
            <w:shd w:val="clear" w:color="auto" w:fill="D4F1F5"/>
          </w:tcPr>
          <w:p>
            <w:pPr>
              <w:spacing w:after="0"/>
              <w:rPr>
                <w:sz w:val="18"/>
                <w:szCs w:val="18"/>
                <w:color w:val="auto"/>
              </w:rPr>
            </w:pPr>
          </w:p>
        </w:tc>
        <w:tc>
          <w:tcPr>
            <w:tcW w:w="1060" w:type="dxa"/>
            <w:vAlign w:val="bottom"/>
            <w:gridSpan w:val="2"/>
            <w:shd w:val="clear" w:color="auto" w:fill="D4F1F5"/>
          </w:tcPr>
          <w:p>
            <w:pPr>
              <w:jc w:val="right"/>
              <w:ind w:right="39"/>
              <w:spacing w:after="0"/>
              <w:rPr>
                <w:sz w:val="20"/>
                <w:szCs w:val="20"/>
                <w:color w:val="auto"/>
              </w:rPr>
            </w:pPr>
            <w:r>
              <w:rPr>
                <w:rFonts w:ascii="Arial" w:cs="Arial" w:eastAsia="Arial" w:hAnsi="Arial"/>
                <w:sz w:val="14"/>
                <w:szCs w:val="14"/>
                <w:color w:val="auto"/>
              </w:rPr>
              <w:t>(unaudited)</w:t>
            </w:r>
          </w:p>
        </w:tc>
        <w:tc>
          <w:tcPr>
            <w:tcW w:w="980" w:type="dxa"/>
            <w:vAlign w:val="bottom"/>
            <w:shd w:val="clear" w:color="auto" w:fill="D4F1F5"/>
          </w:tcPr>
          <w:p>
            <w:pPr>
              <w:spacing w:after="0"/>
              <w:rPr>
                <w:sz w:val="18"/>
                <w:szCs w:val="18"/>
                <w:color w:val="auto"/>
              </w:rPr>
            </w:pPr>
          </w:p>
        </w:tc>
      </w:tr>
      <w:tr>
        <w:trPr>
          <w:trHeight w:val="215"/>
        </w:trPr>
        <w:tc>
          <w:tcPr>
            <w:tcW w:w="8300" w:type="dxa"/>
            <w:vAlign w:val="bottom"/>
          </w:tcPr>
          <w:p>
            <w:pPr>
              <w:ind w:left="20"/>
              <w:spacing w:after="0"/>
              <w:rPr>
                <w:sz w:val="20"/>
                <w:szCs w:val="20"/>
                <w:color w:val="auto"/>
              </w:rPr>
            </w:pPr>
            <w:r>
              <w:rPr>
                <w:rFonts w:ascii="Arial" w:cs="Arial" w:eastAsia="Arial" w:hAnsi="Arial"/>
                <w:sz w:val="16"/>
                <w:szCs w:val="16"/>
                <w:color w:val="auto"/>
              </w:rPr>
              <w:t>SUPPLEMENTAL DISCLOSURE OF CASH FLOW INFORMATION</w:t>
            </w:r>
          </w:p>
        </w:tc>
        <w:tc>
          <w:tcPr>
            <w:tcW w:w="9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17"/>
        </w:trPr>
        <w:tc>
          <w:tcPr>
            <w:tcW w:w="8300" w:type="dxa"/>
            <w:vAlign w:val="bottom"/>
            <w:shd w:val="clear" w:color="auto" w:fill="D4F1F5"/>
          </w:tcPr>
          <w:p>
            <w:pPr>
              <w:ind w:left="240"/>
              <w:spacing w:after="0"/>
              <w:rPr>
                <w:sz w:val="20"/>
                <w:szCs w:val="20"/>
                <w:color w:val="auto"/>
              </w:rPr>
            </w:pPr>
            <w:r>
              <w:rPr>
                <w:rFonts w:ascii="Arial" w:cs="Arial" w:eastAsia="Arial" w:hAnsi="Arial"/>
                <w:sz w:val="16"/>
                <w:szCs w:val="16"/>
                <w:color w:val="auto"/>
              </w:rPr>
              <w:t>Interest payments, net of amounts capitalized</w:t>
            </w:r>
          </w:p>
        </w:tc>
        <w:tc>
          <w:tcPr>
            <w:tcW w:w="900" w:type="dxa"/>
            <w:vAlign w:val="bottom"/>
            <w:shd w:val="clear" w:color="auto" w:fill="D4F1F5"/>
          </w:tcPr>
          <w:p>
            <w:pPr>
              <w:jc w:val="right"/>
              <w:ind w:right="724"/>
              <w:spacing w:after="0"/>
              <w:rPr>
                <w:sz w:val="20"/>
                <w:szCs w:val="20"/>
                <w:color w:val="auto"/>
              </w:rPr>
            </w:pPr>
            <w:r>
              <w:rPr>
                <w:rFonts w:ascii="Arial" w:cs="Arial" w:eastAsia="Arial" w:hAnsi="Arial"/>
                <w:sz w:val="16"/>
                <w:szCs w:val="16"/>
                <w:color w:val="auto"/>
                <w:w w:val="89"/>
              </w:rPr>
              <w:t>$</w:t>
            </w:r>
          </w:p>
        </w:tc>
        <w:tc>
          <w:tcPr>
            <w:tcW w:w="560" w:type="dxa"/>
            <w:vAlign w:val="bottom"/>
            <w:shd w:val="clear" w:color="auto" w:fill="D4F1F5"/>
          </w:tcPr>
          <w:p>
            <w:pPr>
              <w:jc w:val="right"/>
              <w:ind w:right="40"/>
              <w:spacing w:after="0"/>
              <w:rPr>
                <w:sz w:val="20"/>
                <w:szCs w:val="20"/>
                <w:color w:val="auto"/>
              </w:rPr>
            </w:pPr>
            <w:r>
              <w:rPr>
                <w:rFonts w:ascii="Arial" w:cs="Arial" w:eastAsia="Arial" w:hAnsi="Arial"/>
                <w:sz w:val="16"/>
                <w:szCs w:val="16"/>
                <w:color w:val="auto"/>
              </w:rPr>
              <w:t>243</w:t>
            </w:r>
          </w:p>
        </w:tc>
        <w:tc>
          <w:tcPr>
            <w:tcW w:w="500" w:type="dxa"/>
            <w:vAlign w:val="bottom"/>
            <w:shd w:val="clear" w:color="auto" w:fill="D4F1F5"/>
          </w:tcPr>
          <w:p>
            <w:pPr>
              <w:jc w:val="right"/>
              <w:ind w:right="239"/>
              <w:spacing w:after="0"/>
              <w:rPr>
                <w:sz w:val="20"/>
                <w:szCs w:val="20"/>
                <w:color w:val="auto"/>
              </w:rPr>
            </w:pPr>
            <w:r>
              <w:rPr>
                <w:rFonts w:ascii="Arial" w:cs="Arial" w:eastAsia="Arial" w:hAnsi="Arial"/>
                <w:sz w:val="16"/>
                <w:szCs w:val="16"/>
                <w:color w:val="auto"/>
              </w:rPr>
              <w:t>$</w:t>
            </w:r>
          </w:p>
        </w:tc>
        <w:tc>
          <w:tcPr>
            <w:tcW w:w="980" w:type="dxa"/>
            <w:vAlign w:val="bottom"/>
            <w:shd w:val="clear" w:color="auto" w:fill="D4F1F5"/>
          </w:tcPr>
          <w:p>
            <w:pPr>
              <w:jc w:val="right"/>
              <w:spacing w:after="0"/>
              <w:rPr>
                <w:sz w:val="20"/>
                <w:szCs w:val="20"/>
                <w:color w:val="auto"/>
              </w:rPr>
            </w:pPr>
            <w:r>
              <w:rPr>
                <w:rFonts w:ascii="Arial" w:cs="Arial" w:eastAsia="Arial" w:hAnsi="Arial"/>
                <w:sz w:val="16"/>
                <w:szCs w:val="16"/>
                <w:color w:val="auto"/>
              </w:rPr>
              <w:t>243</w:t>
            </w:r>
          </w:p>
        </w:tc>
      </w:tr>
      <w:tr>
        <w:trPr>
          <w:trHeight w:val="215"/>
        </w:trPr>
        <w:tc>
          <w:tcPr>
            <w:tcW w:w="8300" w:type="dxa"/>
            <w:vAlign w:val="bottom"/>
          </w:tcPr>
          <w:p>
            <w:pPr>
              <w:ind w:left="240"/>
              <w:spacing w:after="0"/>
              <w:rPr>
                <w:sz w:val="20"/>
                <w:szCs w:val="20"/>
                <w:color w:val="auto"/>
              </w:rPr>
            </w:pPr>
            <w:r>
              <w:rPr>
                <w:rFonts w:ascii="Arial" w:cs="Arial" w:eastAsia="Arial" w:hAnsi="Arial"/>
                <w:sz w:val="16"/>
                <w:szCs w:val="16"/>
                <w:color w:val="auto"/>
              </w:rPr>
              <w:t>Income tax payments, net of refunds</w:t>
            </w:r>
          </w:p>
        </w:tc>
        <w:tc>
          <w:tcPr>
            <w:tcW w:w="9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20</w:t>
            </w:r>
          </w:p>
        </w:tc>
        <w:tc>
          <w:tcPr>
            <w:tcW w:w="5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100</w:t>
            </w:r>
          </w:p>
        </w:tc>
      </w:tr>
      <w:tr>
        <w:trPr>
          <w:trHeight w:val="217"/>
        </w:trPr>
        <w:tc>
          <w:tcPr>
            <w:tcW w:w="8300" w:type="dxa"/>
            <w:vAlign w:val="bottom"/>
            <w:shd w:val="clear" w:color="auto" w:fill="D4F1F5"/>
          </w:tcPr>
          <w:p>
            <w:pPr>
              <w:spacing w:after="0"/>
              <w:rPr>
                <w:sz w:val="18"/>
                <w:szCs w:val="18"/>
                <w:color w:val="auto"/>
              </w:rPr>
            </w:pPr>
          </w:p>
        </w:tc>
        <w:tc>
          <w:tcPr>
            <w:tcW w:w="900" w:type="dxa"/>
            <w:vAlign w:val="bottom"/>
            <w:shd w:val="clear" w:color="auto" w:fill="D4F1F5"/>
          </w:tcPr>
          <w:p>
            <w:pPr>
              <w:spacing w:after="0"/>
              <w:rPr>
                <w:sz w:val="18"/>
                <w:szCs w:val="18"/>
                <w:color w:val="auto"/>
              </w:rPr>
            </w:pPr>
          </w:p>
        </w:tc>
        <w:tc>
          <w:tcPr>
            <w:tcW w:w="560" w:type="dxa"/>
            <w:vAlign w:val="bottom"/>
            <w:shd w:val="clear" w:color="auto" w:fill="D4F1F5"/>
          </w:tcPr>
          <w:p>
            <w:pPr>
              <w:spacing w:after="0"/>
              <w:rPr>
                <w:sz w:val="18"/>
                <w:szCs w:val="18"/>
                <w:color w:val="auto"/>
              </w:rPr>
            </w:pPr>
          </w:p>
        </w:tc>
        <w:tc>
          <w:tcPr>
            <w:tcW w:w="500" w:type="dxa"/>
            <w:vAlign w:val="bottom"/>
            <w:shd w:val="clear" w:color="auto" w:fill="D4F1F5"/>
          </w:tcPr>
          <w:p>
            <w:pPr>
              <w:spacing w:after="0"/>
              <w:rPr>
                <w:sz w:val="18"/>
                <w:szCs w:val="18"/>
                <w:color w:val="auto"/>
              </w:rPr>
            </w:pPr>
          </w:p>
        </w:tc>
        <w:tc>
          <w:tcPr>
            <w:tcW w:w="980" w:type="dxa"/>
            <w:vAlign w:val="bottom"/>
            <w:shd w:val="clear" w:color="auto" w:fill="D4F1F5"/>
          </w:tcPr>
          <w:p>
            <w:pPr>
              <w:spacing w:after="0"/>
              <w:rPr>
                <w:sz w:val="18"/>
                <w:szCs w:val="18"/>
                <w:color w:val="auto"/>
              </w:rPr>
            </w:pPr>
          </w:p>
        </w:tc>
      </w:tr>
      <w:tr>
        <w:trPr>
          <w:trHeight w:val="215"/>
        </w:trPr>
        <w:tc>
          <w:tcPr>
            <w:tcW w:w="8300" w:type="dxa"/>
            <w:vAlign w:val="bottom"/>
          </w:tcPr>
          <w:p>
            <w:pPr>
              <w:ind w:left="20"/>
              <w:spacing w:after="0"/>
              <w:rPr>
                <w:sz w:val="20"/>
                <w:szCs w:val="20"/>
                <w:color w:val="auto"/>
              </w:rPr>
            </w:pPr>
            <w:r>
              <w:rPr>
                <w:rFonts w:ascii="Arial" w:cs="Arial" w:eastAsia="Arial" w:hAnsi="Arial"/>
                <w:sz w:val="16"/>
                <w:szCs w:val="16"/>
                <w:color w:val="auto"/>
              </w:rPr>
              <w:t>SUPPLEMENTAL DISCLOSURE OF NONCASH INVESTING AND FINANCING ACTIVITIES</w:t>
            </w:r>
          </w:p>
        </w:tc>
        <w:tc>
          <w:tcPr>
            <w:tcW w:w="9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17"/>
        </w:trPr>
        <w:tc>
          <w:tcPr>
            <w:tcW w:w="8300" w:type="dxa"/>
            <w:vAlign w:val="bottom"/>
            <w:shd w:val="clear" w:color="auto" w:fill="D4F1F5"/>
          </w:tcPr>
          <w:p>
            <w:pPr>
              <w:ind w:left="240"/>
              <w:spacing w:after="0"/>
              <w:rPr>
                <w:sz w:val="20"/>
                <w:szCs w:val="20"/>
                <w:color w:val="auto"/>
              </w:rPr>
            </w:pPr>
            <w:r>
              <w:rPr>
                <w:rFonts w:ascii="Arial" w:cs="Arial" w:eastAsia="Arial" w:hAnsi="Arial"/>
                <w:sz w:val="16"/>
                <w:szCs w:val="16"/>
                <w:color w:val="auto"/>
              </w:rPr>
              <w:t>Repayments of advances from unconsolidated affiliate in lieu of distributions</w:t>
            </w:r>
          </w:p>
        </w:tc>
        <w:tc>
          <w:tcPr>
            <w:tcW w:w="900" w:type="dxa"/>
            <w:vAlign w:val="bottom"/>
            <w:shd w:val="clear" w:color="auto" w:fill="D4F1F5"/>
          </w:tcPr>
          <w:p>
            <w:pPr>
              <w:jc w:val="right"/>
              <w:ind w:right="724"/>
              <w:spacing w:after="0"/>
              <w:rPr>
                <w:sz w:val="20"/>
                <w:szCs w:val="20"/>
                <w:color w:val="auto"/>
              </w:rPr>
            </w:pPr>
            <w:r>
              <w:rPr>
                <w:rFonts w:ascii="Arial" w:cs="Arial" w:eastAsia="Arial" w:hAnsi="Arial"/>
                <w:sz w:val="16"/>
                <w:szCs w:val="16"/>
                <w:color w:val="auto"/>
                <w:w w:val="89"/>
              </w:rPr>
              <w:t>$</w:t>
            </w:r>
          </w:p>
        </w:tc>
        <w:tc>
          <w:tcPr>
            <w:tcW w:w="560" w:type="dxa"/>
            <w:vAlign w:val="bottom"/>
            <w:shd w:val="clear" w:color="auto" w:fill="D4F1F5"/>
          </w:tcPr>
          <w:p>
            <w:pPr>
              <w:jc w:val="right"/>
              <w:ind w:right="40"/>
              <w:spacing w:after="0"/>
              <w:rPr>
                <w:sz w:val="20"/>
                <w:szCs w:val="20"/>
                <w:color w:val="auto"/>
              </w:rPr>
            </w:pPr>
            <w:r>
              <w:rPr>
                <w:rFonts w:ascii="Arial" w:cs="Arial" w:eastAsia="Arial" w:hAnsi="Arial"/>
                <w:sz w:val="16"/>
                <w:szCs w:val="16"/>
                <w:color w:val="auto"/>
              </w:rPr>
              <w:t>60</w:t>
            </w:r>
          </w:p>
        </w:tc>
        <w:tc>
          <w:tcPr>
            <w:tcW w:w="500" w:type="dxa"/>
            <w:vAlign w:val="bottom"/>
            <w:shd w:val="clear" w:color="auto" w:fill="D4F1F5"/>
          </w:tcPr>
          <w:p>
            <w:pPr>
              <w:jc w:val="right"/>
              <w:ind w:right="239"/>
              <w:spacing w:after="0"/>
              <w:rPr>
                <w:sz w:val="20"/>
                <w:szCs w:val="20"/>
                <w:color w:val="auto"/>
              </w:rPr>
            </w:pPr>
            <w:r>
              <w:rPr>
                <w:rFonts w:ascii="Arial" w:cs="Arial" w:eastAsia="Arial" w:hAnsi="Arial"/>
                <w:sz w:val="16"/>
                <w:szCs w:val="16"/>
                <w:color w:val="auto"/>
              </w:rPr>
              <w:t>$</w:t>
            </w:r>
          </w:p>
        </w:tc>
        <w:tc>
          <w:tcPr>
            <w:tcW w:w="980" w:type="dxa"/>
            <w:vAlign w:val="bottom"/>
            <w:shd w:val="clear" w:color="auto" w:fill="D4F1F5"/>
          </w:tcPr>
          <w:p>
            <w:pPr>
              <w:jc w:val="right"/>
              <w:spacing w:after="0"/>
              <w:rPr>
                <w:sz w:val="20"/>
                <w:szCs w:val="20"/>
                <w:color w:val="auto"/>
              </w:rPr>
            </w:pPr>
            <w:r>
              <w:rPr>
                <w:rFonts w:ascii="Arial" w:cs="Arial" w:eastAsia="Arial" w:hAnsi="Arial"/>
                <w:sz w:val="16"/>
                <w:szCs w:val="16"/>
                <w:color w:val="auto"/>
              </w:rPr>
              <w:t>45</w:t>
            </w:r>
          </w:p>
        </w:tc>
      </w:tr>
      <w:tr>
        <w:trPr>
          <w:trHeight w:val="215"/>
        </w:trPr>
        <w:tc>
          <w:tcPr>
            <w:tcW w:w="8300" w:type="dxa"/>
            <w:vAlign w:val="bottom"/>
          </w:tcPr>
          <w:p>
            <w:pPr>
              <w:ind w:left="240"/>
              <w:spacing w:after="0"/>
              <w:rPr>
                <w:sz w:val="20"/>
                <w:szCs w:val="20"/>
                <w:color w:val="auto"/>
              </w:rPr>
            </w:pPr>
            <w:r>
              <w:rPr>
                <w:rFonts w:ascii="Arial" w:cs="Arial" w:eastAsia="Arial" w:hAnsi="Arial"/>
                <w:sz w:val="16"/>
                <w:szCs w:val="16"/>
                <w:color w:val="auto"/>
              </w:rPr>
              <w:t>Accrued capital expenditures for PP&amp;E</w:t>
            </w:r>
          </w:p>
        </w:tc>
        <w:tc>
          <w:tcPr>
            <w:tcW w:w="900" w:type="dxa"/>
            <w:vAlign w:val="bottom"/>
          </w:tcPr>
          <w:p>
            <w:pPr>
              <w:spacing w:after="0"/>
              <w:rPr>
                <w:sz w:val="18"/>
                <w:szCs w:val="18"/>
                <w:color w:val="auto"/>
              </w:rPr>
            </w:pPr>
          </w:p>
        </w:tc>
        <w:tc>
          <w:tcPr>
            <w:tcW w:w="560" w:type="dxa"/>
            <w:vAlign w:val="bottom"/>
          </w:tcPr>
          <w:p>
            <w:pPr>
              <w:jc w:val="right"/>
              <w:ind w:right="40"/>
              <w:spacing w:after="0"/>
              <w:rPr>
                <w:sz w:val="20"/>
                <w:szCs w:val="20"/>
                <w:color w:val="auto"/>
              </w:rPr>
            </w:pPr>
            <w:r>
              <w:rPr>
                <w:rFonts w:ascii="Arial" w:cs="Arial" w:eastAsia="Arial" w:hAnsi="Arial"/>
                <w:sz w:val="16"/>
                <w:szCs w:val="16"/>
                <w:color w:val="auto"/>
              </w:rPr>
              <w:t>1,122</w:t>
            </w:r>
          </w:p>
        </w:tc>
        <w:tc>
          <w:tcPr>
            <w:tcW w:w="5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1,061</w:t>
            </w:r>
          </w:p>
        </w:tc>
      </w:tr>
      <w:tr>
        <w:trPr>
          <w:trHeight w:val="217"/>
        </w:trPr>
        <w:tc>
          <w:tcPr>
            <w:tcW w:w="8300" w:type="dxa"/>
            <w:vAlign w:val="bottom"/>
            <w:shd w:val="clear" w:color="auto" w:fill="D4F1F5"/>
          </w:tcPr>
          <w:p>
            <w:pPr>
              <w:ind w:left="240"/>
              <w:spacing w:after="0"/>
              <w:rPr>
                <w:sz w:val="20"/>
                <w:szCs w:val="20"/>
                <w:color w:val="auto"/>
              </w:rPr>
            </w:pPr>
            <w:r>
              <w:rPr>
                <w:rFonts w:ascii="Arial" w:cs="Arial" w:eastAsia="Arial" w:hAnsi="Arial"/>
                <w:sz w:val="16"/>
                <w:szCs w:val="16"/>
                <w:color w:val="auto"/>
              </w:rPr>
              <w:t>Increase in finance lease obligations capitalized to PP&amp;E</w:t>
            </w:r>
          </w:p>
        </w:tc>
        <w:tc>
          <w:tcPr>
            <w:tcW w:w="900" w:type="dxa"/>
            <w:vAlign w:val="bottom"/>
            <w:shd w:val="clear" w:color="auto" w:fill="D4F1F5"/>
          </w:tcPr>
          <w:p>
            <w:pPr>
              <w:spacing w:after="0"/>
              <w:rPr>
                <w:sz w:val="18"/>
                <w:szCs w:val="18"/>
                <w:color w:val="auto"/>
              </w:rPr>
            </w:pPr>
          </w:p>
        </w:tc>
        <w:tc>
          <w:tcPr>
            <w:tcW w:w="560" w:type="dxa"/>
            <w:vAlign w:val="bottom"/>
            <w:shd w:val="clear" w:color="auto" w:fill="D4F1F5"/>
          </w:tcPr>
          <w:p>
            <w:pPr>
              <w:jc w:val="right"/>
              <w:ind w:right="40"/>
              <w:spacing w:after="0"/>
              <w:rPr>
                <w:sz w:val="20"/>
                <w:szCs w:val="20"/>
                <w:color w:val="auto"/>
              </w:rPr>
            </w:pPr>
            <w:r>
              <w:rPr>
                <w:rFonts w:ascii="Arial" w:cs="Arial" w:eastAsia="Arial" w:hAnsi="Arial"/>
                <w:sz w:val="16"/>
                <w:szCs w:val="16"/>
                <w:color w:val="auto"/>
              </w:rPr>
              <w:t>5</w:t>
            </w:r>
          </w:p>
        </w:tc>
        <w:tc>
          <w:tcPr>
            <w:tcW w:w="500" w:type="dxa"/>
            <w:vAlign w:val="bottom"/>
            <w:shd w:val="clear" w:color="auto" w:fill="D4F1F5"/>
          </w:tcPr>
          <w:p>
            <w:pPr>
              <w:spacing w:after="0"/>
              <w:rPr>
                <w:sz w:val="18"/>
                <w:szCs w:val="18"/>
                <w:color w:val="auto"/>
              </w:rPr>
            </w:pPr>
          </w:p>
        </w:tc>
        <w:tc>
          <w:tcPr>
            <w:tcW w:w="980" w:type="dxa"/>
            <w:vAlign w:val="bottom"/>
            <w:shd w:val="clear" w:color="auto" w:fill="D4F1F5"/>
          </w:tcPr>
          <w:p>
            <w:pPr>
              <w:jc w:val="right"/>
              <w:spacing w:after="0"/>
              <w:rPr>
                <w:sz w:val="20"/>
                <w:szCs w:val="20"/>
                <w:color w:val="auto"/>
              </w:rPr>
            </w:pPr>
            <w:r>
              <w:rPr>
                <w:rFonts w:ascii="Arial" w:cs="Arial" w:eastAsia="Arial" w:hAnsi="Arial"/>
                <w:sz w:val="16"/>
                <w:szCs w:val="16"/>
                <w:color w:val="auto"/>
              </w:rPr>
              <w:t>16</w:t>
            </w:r>
          </w:p>
        </w:tc>
      </w:tr>
      <w:tr>
        <w:trPr>
          <w:trHeight w:val="215"/>
        </w:trPr>
        <w:tc>
          <w:tcPr>
            <w:tcW w:w="8300" w:type="dxa"/>
            <w:vAlign w:val="bottom"/>
          </w:tcPr>
          <w:p>
            <w:pPr>
              <w:ind w:left="240"/>
              <w:spacing w:after="0"/>
              <w:rPr>
                <w:sz w:val="20"/>
                <w:szCs w:val="20"/>
                <w:color w:val="auto"/>
              </w:rPr>
            </w:pPr>
            <w:r>
              <w:rPr>
                <w:rFonts w:ascii="Arial" w:cs="Arial" w:eastAsia="Arial" w:hAnsi="Arial"/>
                <w:sz w:val="16"/>
                <w:szCs w:val="16"/>
                <w:color w:val="auto"/>
              </w:rPr>
              <w:t>Unamortized debt issuance costs reclassified from noncurrent assets to long-term debt</w:t>
            </w:r>
          </w:p>
        </w:tc>
        <w:tc>
          <w:tcPr>
            <w:tcW w:w="900" w:type="dxa"/>
            <w:vAlign w:val="bottom"/>
          </w:tcPr>
          <w:p>
            <w:pPr>
              <w:spacing w:after="0"/>
              <w:rPr>
                <w:sz w:val="18"/>
                <w:szCs w:val="18"/>
                <w:color w:val="auto"/>
              </w:rPr>
            </w:pPr>
          </w:p>
        </w:tc>
        <w:tc>
          <w:tcPr>
            <w:tcW w:w="560" w:type="dxa"/>
            <w:vAlign w:val="bottom"/>
          </w:tcPr>
          <w:p>
            <w:pPr>
              <w:jc w:val="right"/>
              <w:ind w:right="40"/>
              <w:spacing w:after="0"/>
              <w:rPr>
                <w:sz w:val="20"/>
                <w:szCs w:val="20"/>
                <w:color w:val="auto"/>
              </w:rPr>
            </w:pPr>
            <w:r>
              <w:rPr>
                <w:rFonts w:ascii="Arial" w:cs="Arial" w:eastAsia="Arial" w:hAnsi="Arial"/>
                <w:sz w:val="16"/>
                <w:szCs w:val="16"/>
                <w:color w:val="auto"/>
              </w:rPr>
              <w:t>14</w:t>
            </w:r>
          </w:p>
        </w:tc>
        <w:tc>
          <w:tcPr>
            <w:tcW w:w="5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22</w:t>
            </w:r>
          </w:p>
        </w:tc>
      </w:tr>
      <w:tr>
        <w:trPr>
          <w:trHeight w:val="217"/>
        </w:trPr>
        <w:tc>
          <w:tcPr>
            <w:tcW w:w="8300" w:type="dxa"/>
            <w:vAlign w:val="bottom"/>
            <w:shd w:val="clear" w:color="auto" w:fill="D4F1F5"/>
          </w:tcPr>
          <w:p>
            <w:pPr>
              <w:ind w:left="240"/>
              <w:spacing w:after="0"/>
              <w:rPr>
                <w:sz w:val="20"/>
                <w:szCs w:val="20"/>
                <w:color w:val="auto"/>
              </w:rPr>
            </w:pPr>
            <w:r>
              <w:rPr>
                <w:rFonts w:ascii="Arial" w:cs="Arial" w:eastAsia="Arial" w:hAnsi="Arial"/>
                <w:sz w:val="16"/>
                <w:szCs w:val="16"/>
                <w:color w:val="auto"/>
              </w:rPr>
              <w:t>Change in equity related to allocation of interests</w:t>
            </w:r>
          </w:p>
        </w:tc>
        <w:tc>
          <w:tcPr>
            <w:tcW w:w="900" w:type="dxa"/>
            <w:vAlign w:val="bottom"/>
            <w:shd w:val="clear" w:color="auto" w:fill="D4F1F5"/>
          </w:tcPr>
          <w:p>
            <w:pPr>
              <w:spacing w:after="0"/>
              <w:rPr>
                <w:sz w:val="18"/>
                <w:szCs w:val="18"/>
                <w:color w:val="auto"/>
              </w:rPr>
            </w:pPr>
          </w:p>
        </w:tc>
        <w:tc>
          <w:tcPr>
            <w:tcW w:w="560" w:type="dxa"/>
            <w:vAlign w:val="bottom"/>
            <w:shd w:val="clear" w:color="auto" w:fill="D4F1F5"/>
          </w:tcPr>
          <w:p>
            <w:pPr>
              <w:jc w:val="right"/>
              <w:ind w:right="40"/>
              <w:spacing w:after="0"/>
              <w:rPr>
                <w:sz w:val="20"/>
                <w:szCs w:val="20"/>
                <w:color w:val="auto"/>
              </w:rPr>
            </w:pPr>
            <w:r>
              <w:rPr>
                <w:rFonts w:ascii="Arial" w:cs="Arial" w:eastAsia="Arial" w:hAnsi="Arial"/>
                <w:sz w:val="16"/>
                <w:szCs w:val="16"/>
                <w:color w:val="auto"/>
              </w:rPr>
              <w:t>42</w:t>
            </w:r>
          </w:p>
        </w:tc>
        <w:tc>
          <w:tcPr>
            <w:tcW w:w="500" w:type="dxa"/>
            <w:vAlign w:val="bottom"/>
            <w:shd w:val="clear" w:color="auto" w:fill="D4F1F5"/>
          </w:tcPr>
          <w:p>
            <w:pPr>
              <w:spacing w:after="0"/>
              <w:rPr>
                <w:sz w:val="18"/>
                <w:szCs w:val="18"/>
                <w:color w:val="auto"/>
              </w:rPr>
            </w:pPr>
          </w:p>
        </w:tc>
        <w:tc>
          <w:tcPr>
            <w:tcW w:w="980" w:type="dxa"/>
            <w:vAlign w:val="bottom"/>
            <w:shd w:val="clear" w:color="auto" w:fill="D4F1F5"/>
          </w:tcPr>
          <w:p>
            <w:pPr>
              <w:jc w:val="right"/>
              <w:spacing w:after="0"/>
              <w:rPr>
                <w:sz w:val="20"/>
                <w:szCs w:val="20"/>
                <w:color w:val="auto"/>
              </w:rPr>
            </w:pPr>
            <w:r>
              <w:rPr>
                <w:rFonts w:ascii="Arial" w:cs="Arial" w:eastAsia="Arial" w:hAnsi="Arial"/>
                <w:sz w:val="16"/>
                <w:szCs w:val="16"/>
                <w:color w:val="auto"/>
              </w:rPr>
              <w:t>—</w:t>
            </w:r>
          </w:p>
        </w:tc>
      </w:tr>
      <w:tr>
        <w:trPr>
          <w:trHeight w:val="215"/>
        </w:trPr>
        <w:tc>
          <w:tcPr>
            <w:tcW w:w="8300" w:type="dxa"/>
            <w:vAlign w:val="bottom"/>
          </w:tcPr>
          <w:p>
            <w:pPr>
              <w:ind w:left="240"/>
              <w:spacing w:after="0"/>
              <w:rPr>
                <w:sz w:val="20"/>
                <w:szCs w:val="20"/>
                <w:color w:val="auto"/>
              </w:rPr>
            </w:pPr>
            <w:r>
              <w:rPr>
                <w:rFonts w:ascii="Arial" w:cs="Arial" w:eastAsia="Arial" w:hAnsi="Arial"/>
                <w:sz w:val="16"/>
                <w:szCs w:val="16"/>
                <w:color w:val="auto"/>
              </w:rPr>
              <w:t>Preferred dividends declared but not paid</w:t>
            </w:r>
          </w:p>
        </w:tc>
        <w:tc>
          <w:tcPr>
            <w:tcW w:w="900" w:type="dxa"/>
            <w:vAlign w:val="bottom"/>
          </w:tcPr>
          <w:p>
            <w:pPr>
              <w:spacing w:after="0"/>
              <w:rPr>
                <w:sz w:val="18"/>
                <w:szCs w:val="18"/>
                <w:color w:val="auto"/>
              </w:rPr>
            </w:pPr>
          </w:p>
        </w:tc>
        <w:tc>
          <w:tcPr>
            <w:tcW w:w="56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5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11</w:t>
            </w:r>
          </w:p>
        </w:tc>
      </w:tr>
      <w:tr>
        <w:trPr>
          <w:trHeight w:val="217"/>
        </w:trPr>
        <w:tc>
          <w:tcPr>
            <w:tcW w:w="8300" w:type="dxa"/>
            <w:vAlign w:val="bottom"/>
            <w:shd w:val="clear" w:color="auto" w:fill="D4F1F5"/>
          </w:tcPr>
          <w:p>
            <w:pPr>
              <w:ind w:left="240"/>
              <w:spacing w:after="0"/>
              <w:rPr>
                <w:sz w:val="20"/>
                <w:szCs w:val="20"/>
                <w:color w:val="auto"/>
              </w:rPr>
            </w:pPr>
            <w:r>
              <w:rPr>
                <w:rFonts w:ascii="Arial" w:cs="Arial" w:eastAsia="Arial" w:hAnsi="Arial"/>
                <w:sz w:val="16"/>
                <w:szCs w:val="16"/>
                <w:color w:val="auto"/>
              </w:rPr>
              <w:t>Common dividends declared but not paid</w:t>
            </w:r>
          </w:p>
        </w:tc>
        <w:tc>
          <w:tcPr>
            <w:tcW w:w="900" w:type="dxa"/>
            <w:vAlign w:val="bottom"/>
            <w:shd w:val="clear" w:color="auto" w:fill="D4F1F5"/>
          </w:tcPr>
          <w:p>
            <w:pPr>
              <w:spacing w:after="0"/>
              <w:rPr>
                <w:sz w:val="18"/>
                <w:szCs w:val="18"/>
                <w:color w:val="auto"/>
              </w:rPr>
            </w:pPr>
          </w:p>
        </w:tc>
        <w:tc>
          <w:tcPr>
            <w:tcW w:w="560" w:type="dxa"/>
            <w:vAlign w:val="bottom"/>
            <w:shd w:val="clear" w:color="auto" w:fill="D4F1F5"/>
          </w:tcPr>
          <w:p>
            <w:pPr>
              <w:jc w:val="right"/>
              <w:ind w:right="40"/>
              <w:spacing w:after="0"/>
              <w:rPr>
                <w:sz w:val="20"/>
                <w:szCs w:val="20"/>
                <w:color w:val="auto"/>
              </w:rPr>
            </w:pPr>
            <w:r>
              <w:rPr>
                <w:rFonts w:ascii="Arial" w:cs="Arial" w:eastAsia="Arial" w:hAnsi="Arial"/>
                <w:sz w:val="16"/>
                <w:szCs w:val="16"/>
                <w:color w:val="auto"/>
              </w:rPr>
              <w:t>430</w:t>
            </w:r>
          </w:p>
        </w:tc>
        <w:tc>
          <w:tcPr>
            <w:tcW w:w="500" w:type="dxa"/>
            <w:vAlign w:val="bottom"/>
            <w:shd w:val="clear" w:color="auto" w:fill="D4F1F5"/>
          </w:tcPr>
          <w:p>
            <w:pPr>
              <w:spacing w:after="0"/>
              <w:rPr>
                <w:sz w:val="18"/>
                <w:szCs w:val="18"/>
                <w:color w:val="auto"/>
              </w:rPr>
            </w:pPr>
          </w:p>
        </w:tc>
        <w:tc>
          <w:tcPr>
            <w:tcW w:w="980" w:type="dxa"/>
            <w:vAlign w:val="bottom"/>
            <w:shd w:val="clear" w:color="auto" w:fill="D4F1F5"/>
          </w:tcPr>
          <w:p>
            <w:pPr>
              <w:jc w:val="right"/>
              <w:spacing w:after="0"/>
              <w:rPr>
                <w:sz w:val="20"/>
                <w:szCs w:val="20"/>
                <w:color w:val="auto"/>
              </w:rPr>
            </w:pPr>
            <w:r>
              <w:rPr>
                <w:rFonts w:ascii="Arial" w:cs="Arial" w:eastAsia="Arial" w:hAnsi="Arial"/>
                <w:sz w:val="16"/>
                <w:szCs w:val="16"/>
                <w:color w:val="auto"/>
              </w:rPr>
              <w:t>420</w:t>
            </w:r>
          </w:p>
        </w:tc>
      </w:tr>
      <w:tr>
        <w:trPr>
          <w:trHeight w:val="223"/>
        </w:trPr>
        <w:tc>
          <w:tcPr>
            <w:tcW w:w="8300" w:type="dxa"/>
            <w:vAlign w:val="bottom"/>
            <w:tcBorders>
              <w:bottom w:val="single" w:sz="8" w:color="929292"/>
            </w:tcBorders>
          </w:tcPr>
          <w:p>
            <w:pPr>
              <w:ind w:left="240"/>
              <w:spacing w:after="0"/>
              <w:rPr>
                <w:sz w:val="20"/>
                <w:szCs w:val="20"/>
                <w:color w:val="auto"/>
              </w:rPr>
            </w:pPr>
            <w:r>
              <w:rPr>
                <w:rFonts w:ascii="Arial" w:cs="Arial" w:eastAsia="Arial" w:hAnsi="Arial"/>
                <w:sz w:val="16"/>
                <w:szCs w:val="16"/>
                <w:color w:val="auto"/>
              </w:rPr>
              <w:t>Common dividends issued in stock</w:t>
            </w:r>
          </w:p>
        </w:tc>
        <w:tc>
          <w:tcPr>
            <w:tcW w:w="900" w:type="dxa"/>
            <w:vAlign w:val="bottom"/>
            <w:tcBorders>
              <w:bottom w:val="single" w:sz="8" w:color="929292"/>
            </w:tcBorders>
          </w:tcPr>
          <w:p>
            <w:pPr>
              <w:spacing w:after="0"/>
              <w:rPr>
                <w:sz w:val="19"/>
                <w:szCs w:val="19"/>
                <w:color w:val="auto"/>
              </w:rPr>
            </w:pPr>
          </w:p>
        </w:tc>
        <w:tc>
          <w:tcPr>
            <w:tcW w:w="560" w:type="dxa"/>
            <w:vAlign w:val="bottom"/>
            <w:tcBorders>
              <w:bottom w:val="single" w:sz="8" w:color="929292"/>
            </w:tcBorders>
          </w:tcPr>
          <w:p>
            <w:pPr>
              <w:jc w:val="right"/>
              <w:ind w:right="40"/>
              <w:spacing w:after="0"/>
              <w:rPr>
                <w:sz w:val="20"/>
                <w:szCs w:val="20"/>
                <w:color w:val="auto"/>
              </w:rPr>
            </w:pPr>
            <w:r>
              <w:rPr>
                <w:rFonts w:ascii="Arial" w:cs="Arial" w:eastAsia="Arial" w:hAnsi="Arial"/>
                <w:sz w:val="16"/>
                <w:szCs w:val="16"/>
                <w:color w:val="auto"/>
              </w:rPr>
              <w:t>12</w:t>
            </w:r>
          </w:p>
        </w:tc>
        <w:tc>
          <w:tcPr>
            <w:tcW w:w="500" w:type="dxa"/>
            <w:vAlign w:val="bottom"/>
            <w:tcBorders>
              <w:bottom w:val="single" w:sz="8" w:color="929292"/>
            </w:tcBorders>
          </w:tcPr>
          <w:p>
            <w:pPr>
              <w:spacing w:after="0"/>
              <w:rPr>
                <w:sz w:val="19"/>
                <w:szCs w:val="19"/>
                <w:color w:val="auto"/>
              </w:rPr>
            </w:pPr>
          </w:p>
        </w:tc>
        <w:tc>
          <w:tcPr>
            <w:tcW w:w="980" w:type="dxa"/>
            <w:vAlign w:val="bottom"/>
            <w:tcBorders>
              <w:bottom w:val="single" w:sz="8" w:color="929292"/>
            </w:tcBorders>
          </w:tcPr>
          <w:p>
            <w:pPr>
              <w:jc w:val="right"/>
              <w:spacing w:after="0"/>
              <w:rPr>
                <w:sz w:val="20"/>
                <w:szCs w:val="20"/>
                <w:color w:val="auto"/>
              </w:rPr>
            </w:pPr>
            <w:r>
              <w:rPr>
                <w:rFonts w:ascii="Arial" w:cs="Arial" w:eastAsia="Arial" w:hAnsi="Arial"/>
                <w:sz w:val="16"/>
                <w:szCs w:val="16"/>
                <w:color w:val="auto"/>
              </w:rPr>
              <w:t>13</w:t>
            </w:r>
          </w:p>
        </w:tc>
      </w:tr>
    </w:tbl>
    <w:p>
      <w:pPr>
        <w:spacing w:after="0" w:line="141"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See Notes to Condensed Consolidated Financial Statements.</w:t>
      </w: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FFFFFF"/>
        </w:rPr>
        <w:t>SEMPRA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-115570</wp:posOffset>
            </wp:positionV>
            <wp:extent cx="7132320" cy="40322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403225"/>
                    </a:xfrm>
                    <a:prstGeom prst="rect">
                      <a:avLst/>
                    </a:prstGeom>
                    <a:noFill/>
                  </pic:spPr>
                </pic:pic>
              </a:graphicData>
            </a:graphic>
          </wp:anchor>
        </w:drawing>
      </w:r>
    </w:p>
    <w:p>
      <w:pPr>
        <w:spacing w:after="0" w:line="19"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FFFFFF"/>
        </w:rPr>
        <w:t>CONDENSED CONSOLIDATED STATEMENTS OF CHANGES IN CONTINGENTLY REDEEMABLE NONCONTROLLING INTEREST AND EQUITY</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3100" w:type="dxa"/>
            <w:vAlign w:val="bottom"/>
          </w:tcPr>
          <w:p>
            <w:pPr>
              <w:ind w:left="20"/>
              <w:spacing w:after="0"/>
              <w:rPr>
                <w:sz w:val="20"/>
                <w:szCs w:val="20"/>
                <w:color w:val="auto"/>
              </w:rPr>
            </w:pPr>
            <w:r>
              <w:rPr>
                <w:rFonts w:ascii="Arial" w:cs="Arial" w:eastAsia="Arial" w:hAnsi="Arial"/>
                <w:sz w:val="14"/>
                <w:szCs w:val="14"/>
                <w:i w:val="1"/>
                <w:iCs w:val="1"/>
                <w:color w:val="FFFFFF"/>
              </w:rPr>
              <w:t>(Dollars in millions)</w:t>
            </w: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r>
      <w:tr>
        <w:trPr>
          <w:trHeight w:val="188"/>
        </w:trPr>
        <w:tc>
          <w:tcPr>
            <w:tcW w:w="3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Borders>
              <w:right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jc w:val="right"/>
              <w:ind w:right="188"/>
              <w:spacing w:after="0"/>
              <w:rPr>
                <w:sz w:val="20"/>
                <w:szCs w:val="20"/>
                <w:color w:val="auto"/>
              </w:rPr>
            </w:pPr>
            <w:r>
              <w:rPr>
                <w:rFonts w:ascii="Arial" w:cs="Arial" w:eastAsia="Arial" w:hAnsi="Arial"/>
                <w:sz w:val="14"/>
                <w:szCs w:val="14"/>
                <w:b w:val="1"/>
                <w:bCs w:val="1"/>
                <w:color w:val="auto"/>
              </w:rPr>
              <w:t>Sempra</w:t>
            </w:r>
          </w:p>
        </w:tc>
        <w:tc>
          <w:tcPr>
            <w:tcW w:w="2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r>
      <w:tr>
        <w:trPr>
          <w:trHeight w:val="162"/>
        </w:trPr>
        <w:tc>
          <w:tcPr>
            <w:tcW w:w="3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Borders>
              <w:right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jc w:val="right"/>
              <w:ind w:right="128"/>
              <w:spacing w:after="0"/>
              <w:rPr>
                <w:sz w:val="20"/>
                <w:szCs w:val="20"/>
                <w:color w:val="auto"/>
              </w:rPr>
            </w:pPr>
            <w:r>
              <w:rPr>
                <w:rFonts w:ascii="Arial" w:cs="Arial" w:eastAsia="Arial" w:hAnsi="Arial"/>
                <w:sz w:val="14"/>
                <w:szCs w:val="14"/>
                <w:color w:val="auto"/>
              </w:rPr>
              <w:t>Preferred</w:t>
            </w:r>
          </w:p>
        </w:tc>
        <w:tc>
          <w:tcPr>
            <w:tcW w:w="180" w:type="dxa"/>
            <w:vAlign w:val="bottom"/>
          </w:tcPr>
          <w:p>
            <w:pPr>
              <w:spacing w:after="0"/>
              <w:rPr>
                <w:sz w:val="14"/>
                <w:szCs w:val="14"/>
                <w:color w:val="auto"/>
              </w:rPr>
            </w:pPr>
          </w:p>
        </w:tc>
        <w:tc>
          <w:tcPr>
            <w:tcW w:w="860" w:type="dxa"/>
            <w:vAlign w:val="bottom"/>
          </w:tcPr>
          <w:p>
            <w:pPr>
              <w:jc w:val="right"/>
              <w:ind w:right="168"/>
              <w:spacing w:after="0"/>
              <w:rPr>
                <w:sz w:val="20"/>
                <w:szCs w:val="20"/>
                <w:color w:val="auto"/>
              </w:rPr>
            </w:pPr>
            <w:r>
              <w:rPr>
                <w:rFonts w:ascii="Arial" w:cs="Arial" w:eastAsia="Arial" w:hAnsi="Arial"/>
                <w:sz w:val="14"/>
                <w:szCs w:val="14"/>
                <w:color w:val="auto"/>
              </w:rPr>
              <w:t>Common</w:t>
            </w:r>
          </w:p>
        </w:tc>
        <w:tc>
          <w:tcPr>
            <w:tcW w:w="180" w:type="dxa"/>
            <w:vAlign w:val="bottom"/>
          </w:tcPr>
          <w:p>
            <w:pPr>
              <w:spacing w:after="0"/>
              <w:rPr>
                <w:sz w:val="14"/>
                <w:szCs w:val="14"/>
                <w:color w:val="auto"/>
              </w:rPr>
            </w:pPr>
          </w:p>
        </w:tc>
        <w:tc>
          <w:tcPr>
            <w:tcW w:w="840" w:type="dxa"/>
            <w:vAlign w:val="bottom"/>
          </w:tcPr>
          <w:p>
            <w:pPr>
              <w:jc w:val="right"/>
              <w:ind w:right="148"/>
              <w:spacing w:after="0"/>
              <w:rPr>
                <w:sz w:val="20"/>
                <w:szCs w:val="20"/>
                <w:color w:val="auto"/>
              </w:rPr>
            </w:pPr>
            <w:r>
              <w:rPr>
                <w:rFonts w:ascii="Arial" w:cs="Arial" w:eastAsia="Arial" w:hAnsi="Arial"/>
                <w:sz w:val="14"/>
                <w:szCs w:val="14"/>
                <w:color w:val="auto"/>
              </w:rPr>
              <w:t>Retained</w:t>
            </w:r>
          </w:p>
        </w:tc>
        <w:tc>
          <w:tcPr>
            <w:tcW w:w="2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60" w:type="dxa"/>
            <w:vAlign w:val="bottom"/>
            <w:gridSpan w:val="2"/>
          </w:tcPr>
          <w:p>
            <w:pPr>
              <w:ind w:left="60"/>
              <w:spacing w:after="0"/>
              <w:rPr>
                <w:sz w:val="20"/>
                <w:szCs w:val="20"/>
                <w:color w:val="auto"/>
              </w:rPr>
            </w:pPr>
            <w:r>
              <w:rPr>
                <w:rFonts w:ascii="Arial" w:cs="Arial" w:eastAsia="Arial" w:hAnsi="Arial"/>
                <w:sz w:val="14"/>
                <w:szCs w:val="14"/>
                <w:b w:val="1"/>
                <w:bCs w:val="1"/>
                <w:color w:val="auto"/>
              </w:rPr>
              <w:t>shareholders’</w:t>
            </w:r>
          </w:p>
        </w:tc>
        <w:tc>
          <w:tcPr>
            <w:tcW w:w="2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jc w:val="right"/>
              <w:ind w:right="228"/>
              <w:spacing w:after="0"/>
              <w:rPr>
                <w:sz w:val="20"/>
                <w:szCs w:val="20"/>
                <w:color w:val="auto"/>
              </w:rPr>
            </w:pPr>
            <w:r>
              <w:rPr>
                <w:rFonts w:ascii="Arial" w:cs="Arial" w:eastAsia="Arial" w:hAnsi="Arial"/>
                <w:sz w:val="14"/>
                <w:szCs w:val="14"/>
                <w:b w:val="1"/>
                <w:bCs w:val="1"/>
                <w:color w:val="auto"/>
              </w:rPr>
              <w:t>Total</w:t>
            </w:r>
          </w:p>
        </w:tc>
      </w:tr>
      <w:tr>
        <w:trPr>
          <w:trHeight w:val="211"/>
        </w:trPr>
        <w:tc>
          <w:tcPr>
            <w:tcW w:w="3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00" w:type="dxa"/>
            <w:vAlign w:val="bottom"/>
            <w:tcBorders>
              <w:bottom w:val="single" w:sz="8" w:color="auto"/>
              <w:right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CRNCI</w:t>
            </w:r>
          </w:p>
        </w:tc>
        <w:tc>
          <w:tcPr>
            <w:tcW w:w="1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color w:val="auto"/>
              </w:rPr>
              <w:t>stock</w:t>
            </w:r>
          </w:p>
        </w:tc>
        <w:tc>
          <w:tcPr>
            <w:tcW w:w="1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color w:val="auto"/>
              </w:rPr>
              <w:t>stock</w:t>
            </w:r>
          </w:p>
        </w:tc>
        <w:tc>
          <w:tcPr>
            <w:tcW w:w="1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earnings</w:t>
            </w:r>
          </w:p>
        </w:tc>
        <w:tc>
          <w:tcPr>
            <w:tcW w:w="2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color w:val="auto"/>
              </w:rPr>
              <w:t>AOCI</w:t>
            </w: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equity</w:t>
            </w:r>
          </w:p>
        </w:tc>
        <w:tc>
          <w:tcPr>
            <w:tcW w:w="2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color w:val="auto"/>
              </w:rPr>
              <w:t>NCI</w:t>
            </w:r>
          </w:p>
        </w:tc>
        <w:tc>
          <w:tcPr>
            <w:tcW w:w="2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equity</w:t>
            </w:r>
          </w:p>
        </w:tc>
      </w:tr>
      <w:tr>
        <w:trPr>
          <w:trHeight w:val="207"/>
        </w:trPr>
        <w:tc>
          <w:tcPr>
            <w:tcW w:w="3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860" w:type="dxa"/>
            <w:vAlign w:val="bottom"/>
            <w:tcBorders>
              <w:bottom w:val="single" w:sz="8" w:color="auto"/>
            </w:tcBorders>
            <w:gridSpan w:val="3"/>
          </w:tcPr>
          <w:p>
            <w:pPr>
              <w:jc w:val="center"/>
              <w:ind w:right="48"/>
              <w:spacing w:after="0"/>
              <w:rPr>
                <w:sz w:val="20"/>
                <w:szCs w:val="20"/>
                <w:color w:val="auto"/>
              </w:rPr>
            </w:pPr>
            <w:r>
              <w:rPr>
                <w:rFonts w:ascii="Arial" w:cs="Arial" w:eastAsia="Arial" w:hAnsi="Arial"/>
                <w:sz w:val="14"/>
                <w:szCs w:val="14"/>
                <w:color w:val="auto"/>
              </w:rPr>
              <w:t>(unaudited)</w:t>
            </w:r>
          </w:p>
        </w:tc>
        <w:tc>
          <w:tcPr>
            <w:tcW w:w="2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r>
      <w:tr>
        <w:trPr>
          <w:trHeight w:val="210"/>
        </w:trPr>
        <w:tc>
          <w:tcPr>
            <w:tcW w:w="3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3140" w:type="dxa"/>
            <w:vAlign w:val="bottom"/>
            <w:tcBorders>
              <w:bottom w:val="single" w:sz="8" w:color="auto"/>
            </w:tcBorders>
            <w:gridSpan w:val="6"/>
          </w:tcPr>
          <w:p>
            <w:pPr>
              <w:jc w:val="center"/>
              <w:ind w:left="608"/>
              <w:spacing w:after="0"/>
              <w:rPr>
                <w:sz w:val="20"/>
                <w:szCs w:val="20"/>
                <w:color w:val="auto"/>
              </w:rPr>
            </w:pPr>
            <w:r>
              <w:rPr>
                <w:rFonts w:ascii="Arial" w:cs="Arial" w:eastAsia="Arial" w:hAnsi="Arial"/>
                <w:sz w:val="14"/>
                <w:szCs w:val="14"/>
                <w:color w:val="auto"/>
              </w:rPr>
              <w:t>Three months ended March 31, 2026</w:t>
            </w:r>
          </w:p>
        </w:tc>
        <w:tc>
          <w:tcPr>
            <w:tcW w:w="82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r>
      <w:tr>
        <w:trPr>
          <w:trHeight w:val="200"/>
        </w:trPr>
        <w:tc>
          <w:tcPr>
            <w:tcW w:w="3100" w:type="dxa"/>
            <w:vAlign w:val="bottom"/>
            <w:shd w:val="clear" w:color="auto" w:fill="D4F1F5"/>
          </w:tcPr>
          <w:p>
            <w:pPr>
              <w:ind w:left="20"/>
              <w:spacing w:after="0"/>
              <w:rPr>
                <w:sz w:val="20"/>
                <w:szCs w:val="20"/>
                <w:color w:val="auto"/>
              </w:rPr>
            </w:pPr>
            <w:r>
              <w:rPr>
                <w:rFonts w:ascii="Arial" w:cs="Arial" w:eastAsia="Arial" w:hAnsi="Arial"/>
                <w:sz w:val="14"/>
                <w:szCs w:val="14"/>
                <w:b w:val="1"/>
                <w:bCs w:val="1"/>
                <w:color w:val="auto"/>
              </w:rPr>
              <w:t>Balance at December 31, 2025</w:t>
            </w:r>
          </w:p>
        </w:tc>
        <w:tc>
          <w:tcPr>
            <w:tcW w:w="160" w:type="dxa"/>
            <w:vAlign w:val="bottom"/>
            <w:shd w:val="clear" w:color="auto" w:fill="D4F1F5"/>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right w:val="single" w:sz="8" w:color="auto"/>
            </w:tcBorders>
            <w:shd w:val="clear" w:color="auto" w:fill="D4F1F5"/>
          </w:tcPr>
          <w:p>
            <w:pPr>
              <w:jc w:val="right"/>
              <w:ind w:right="28"/>
              <w:spacing w:after="0"/>
              <w:rPr>
                <w:sz w:val="20"/>
                <w:szCs w:val="20"/>
                <w:color w:val="auto"/>
              </w:rPr>
            </w:pPr>
            <w:r>
              <w:rPr>
                <w:rFonts w:ascii="Arial" w:cs="Arial" w:eastAsia="Arial" w:hAnsi="Arial"/>
                <w:sz w:val="14"/>
                <w:szCs w:val="14"/>
                <w:color w:val="auto"/>
              </w:rPr>
              <w:t>3,206</w:t>
            </w:r>
          </w:p>
        </w:tc>
        <w:tc>
          <w:tcPr>
            <w:tcW w:w="180" w:type="dxa"/>
            <w:vAlign w:val="bottom"/>
            <w:shd w:val="clear" w:color="auto" w:fill="D4F1F5"/>
          </w:tcPr>
          <w:p>
            <w:pPr>
              <w:jc w:val="right"/>
              <w:spacing w:after="0"/>
              <w:rPr>
                <w:sz w:val="20"/>
                <w:szCs w:val="20"/>
                <w:color w:val="auto"/>
              </w:rPr>
            </w:pPr>
            <w:r>
              <w:rPr>
                <w:rFonts w:ascii="Arial" w:cs="Arial" w:eastAsia="Arial" w:hAnsi="Arial"/>
                <w:sz w:val="14"/>
                <w:szCs w:val="14"/>
                <w:color w:val="auto"/>
              </w:rPr>
              <w:t>$</w:t>
            </w:r>
          </w:p>
        </w:tc>
        <w:tc>
          <w:tcPr>
            <w:tcW w:w="840" w:type="dxa"/>
            <w:vAlign w:val="bottom"/>
            <w:shd w:val="clear" w:color="auto" w:fill="D4F1F5"/>
          </w:tcPr>
          <w:p>
            <w:pPr>
              <w:jc w:val="right"/>
              <w:ind w:right="8"/>
              <w:spacing w:after="0"/>
              <w:rPr>
                <w:sz w:val="20"/>
                <w:szCs w:val="20"/>
                <w:color w:val="auto"/>
              </w:rPr>
            </w:pPr>
            <w:r>
              <w:rPr>
                <w:rFonts w:ascii="Arial" w:cs="Arial" w:eastAsia="Arial" w:hAnsi="Arial"/>
                <w:sz w:val="14"/>
                <w:szCs w:val="14"/>
                <w:color w:val="auto"/>
              </w:rPr>
              <w:t>—</w:t>
            </w:r>
          </w:p>
        </w:tc>
        <w:tc>
          <w:tcPr>
            <w:tcW w:w="180" w:type="dxa"/>
            <w:vAlign w:val="bottom"/>
            <w:shd w:val="clear" w:color="auto" w:fill="D4F1F5"/>
          </w:tcPr>
          <w:p>
            <w:pPr>
              <w:jc w:val="right"/>
              <w:spacing w:after="0"/>
              <w:rPr>
                <w:sz w:val="20"/>
                <w:szCs w:val="20"/>
                <w:color w:val="auto"/>
              </w:rPr>
            </w:pPr>
            <w:r>
              <w:rPr>
                <w:rFonts w:ascii="Arial" w:cs="Arial" w:eastAsia="Arial" w:hAnsi="Arial"/>
                <w:sz w:val="14"/>
                <w:szCs w:val="14"/>
                <w:color w:val="auto"/>
              </w:rPr>
              <w:t>$</w:t>
            </w:r>
          </w:p>
        </w:tc>
        <w:tc>
          <w:tcPr>
            <w:tcW w:w="860" w:type="dxa"/>
            <w:vAlign w:val="bottom"/>
            <w:shd w:val="clear" w:color="auto" w:fill="D4F1F5"/>
          </w:tcPr>
          <w:p>
            <w:pPr>
              <w:jc w:val="right"/>
              <w:ind w:right="28"/>
              <w:spacing w:after="0"/>
              <w:rPr>
                <w:sz w:val="20"/>
                <w:szCs w:val="20"/>
                <w:color w:val="auto"/>
              </w:rPr>
            </w:pPr>
            <w:r>
              <w:rPr>
                <w:rFonts w:ascii="Arial" w:cs="Arial" w:eastAsia="Arial" w:hAnsi="Arial"/>
                <w:sz w:val="14"/>
                <w:szCs w:val="14"/>
                <w:color w:val="auto"/>
              </w:rPr>
              <w:t>14,699</w:t>
            </w:r>
          </w:p>
        </w:tc>
        <w:tc>
          <w:tcPr>
            <w:tcW w:w="180" w:type="dxa"/>
            <w:vAlign w:val="bottom"/>
            <w:shd w:val="clear" w:color="auto" w:fill="D4F1F5"/>
          </w:tcPr>
          <w:p>
            <w:pPr>
              <w:jc w:val="right"/>
              <w:spacing w:after="0"/>
              <w:rPr>
                <w:sz w:val="20"/>
                <w:szCs w:val="20"/>
                <w:color w:val="auto"/>
              </w:rPr>
            </w:pPr>
            <w:r>
              <w:rPr>
                <w:rFonts w:ascii="Arial" w:cs="Arial" w:eastAsia="Arial" w:hAnsi="Arial"/>
                <w:sz w:val="14"/>
                <w:szCs w:val="14"/>
                <w:color w:val="auto"/>
              </w:rPr>
              <w:t>$</w:t>
            </w:r>
          </w:p>
        </w:tc>
        <w:tc>
          <w:tcPr>
            <w:tcW w:w="840" w:type="dxa"/>
            <w:vAlign w:val="bottom"/>
            <w:shd w:val="clear" w:color="auto" w:fill="D4F1F5"/>
          </w:tcPr>
          <w:p>
            <w:pPr>
              <w:jc w:val="right"/>
              <w:ind w:right="28"/>
              <w:spacing w:after="0"/>
              <w:rPr>
                <w:sz w:val="20"/>
                <w:szCs w:val="20"/>
                <w:color w:val="auto"/>
              </w:rPr>
            </w:pPr>
            <w:r>
              <w:rPr>
                <w:rFonts w:ascii="Arial" w:cs="Arial" w:eastAsia="Arial" w:hAnsi="Arial"/>
                <w:sz w:val="14"/>
                <w:szCs w:val="14"/>
                <w:color w:val="auto"/>
              </w:rPr>
              <w:t>17,092</w:t>
            </w:r>
          </w:p>
        </w:tc>
        <w:tc>
          <w:tcPr>
            <w:tcW w:w="240" w:type="dxa"/>
            <w:vAlign w:val="bottom"/>
            <w:shd w:val="clear" w:color="auto" w:fill="D4F1F5"/>
          </w:tcPr>
          <w:p>
            <w:pPr>
              <w:jc w:val="right"/>
              <w:ind w:right="28"/>
              <w:spacing w:after="0"/>
              <w:rPr>
                <w:sz w:val="20"/>
                <w:szCs w:val="20"/>
                <w:color w:val="auto"/>
              </w:rPr>
            </w:pPr>
            <w:r>
              <w:rPr>
                <w:rFonts w:ascii="Arial" w:cs="Arial" w:eastAsia="Arial" w:hAnsi="Arial"/>
                <w:sz w:val="14"/>
                <w:szCs w:val="14"/>
                <w:color w:val="auto"/>
              </w:rPr>
              <w:t>$</w:t>
            </w:r>
          </w:p>
        </w:tc>
        <w:tc>
          <w:tcPr>
            <w:tcW w:w="780" w:type="dxa"/>
            <w:vAlign w:val="bottom"/>
            <w:shd w:val="clear" w:color="auto" w:fill="D4F1F5"/>
          </w:tcPr>
          <w:p>
            <w:pPr>
              <w:jc w:val="right"/>
              <w:spacing w:after="0"/>
              <w:rPr>
                <w:sz w:val="20"/>
                <w:szCs w:val="20"/>
                <w:color w:val="auto"/>
              </w:rPr>
            </w:pPr>
            <w:r>
              <w:rPr>
                <w:rFonts w:ascii="Arial" w:cs="Arial" w:eastAsia="Arial" w:hAnsi="Arial"/>
                <w:sz w:val="14"/>
                <w:szCs w:val="14"/>
                <w:color w:val="auto"/>
              </w:rPr>
              <w:t>(197)</w:t>
            </w:r>
          </w:p>
        </w:tc>
        <w:tc>
          <w:tcPr>
            <w:tcW w:w="240" w:type="dxa"/>
            <w:vAlign w:val="bottom"/>
            <w:shd w:val="clear" w:color="auto" w:fill="D4F1F5"/>
          </w:tcPr>
          <w:p>
            <w:pPr>
              <w:ind w:left="60"/>
              <w:spacing w:after="0"/>
              <w:rPr>
                <w:sz w:val="20"/>
                <w:szCs w:val="20"/>
                <w:color w:val="auto"/>
              </w:rPr>
            </w:pPr>
            <w:r>
              <w:rPr>
                <w:rFonts w:ascii="Arial" w:cs="Arial" w:eastAsia="Arial" w:hAnsi="Arial"/>
                <w:sz w:val="14"/>
                <w:szCs w:val="14"/>
                <w:b w:val="1"/>
                <w:bCs w:val="1"/>
                <w:color w:val="auto"/>
              </w:rPr>
              <w:t>$</w:t>
            </w:r>
          </w:p>
        </w:tc>
        <w:tc>
          <w:tcPr>
            <w:tcW w:w="820" w:type="dxa"/>
            <w:vAlign w:val="bottom"/>
            <w:shd w:val="clear" w:color="auto" w:fill="D4F1F5"/>
          </w:tcPr>
          <w:p>
            <w:pPr>
              <w:jc w:val="right"/>
              <w:ind w:right="28"/>
              <w:spacing w:after="0"/>
              <w:rPr>
                <w:sz w:val="20"/>
                <w:szCs w:val="20"/>
                <w:color w:val="auto"/>
              </w:rPr>
            </w:pPr>
            <w:r>
              <w:rPr>
                <w:rFonts w:ascii="Arial" w:cs="Arial" w:eastAsia="Arial" w:hAnsi="Arial"/>
                <w:sz w:val="14"/>
                <w:szCs w:val="14"/>
                <w:b w:val="1"/>
                <w:bCs w:val="1"/>
                <w:color w:val="auto"/>
              </w:rPr>
              <w:t>31,594</w:t>
            </w:r>
          </w:p>
        </w:tc>
        <w:tc>
          <w:tcPr>
            <w:tcW w:w="280" w:type="dxa"/>
            <w:vAlign w:val="bottom"/>
            <w:shd w:val="clear" w:color="auto" w:fill="D4F1F5"/>
          </w:tcPr>
          <w:p>
            <w:pPr>
              <w:jc w:val="right"/>
              <w:ind w:right="68"/>
              <w:spacing w:after="0"/>
              <w:rPr>
                <w:sz w:val="20"/>
                <w:szCs w:val="20"/>
                <w:color w:val="auto"/>
              </w:rPr>
            </w:pPr>
            <w:r>
              <w:rPr>
                <w:rFonts w:ascii="Arial" w:cs="Arial" w:eastAsia="Arial" w:hAnsi="Arial"/>
                <w:sz w:val="14"/>
                <w:szCs w:val="14"/>
                <w:color w:val="auto"/>
              </w:rPr>
              <w:t>$</w:t>
            </w:r>
          </w:p>
        </w:tc>
        <w:tc>
          <w:tcPr>
            <w:tcW w:w="760" w:type="dxa"/>
            <w:vAlign w:val="bottom"/>
            <w:shd w:val="clear" w:color="auto" w:fill="D4F1F5"/>
          </w:tcPr>
          <w:p>
            <w:pPr>
              <w:jc w:val="right"/>
              <w:ind w:right="48"/>
              <w:spacing w:after="0"/>
              <w:rPr>
                <w:sz w:val="20"/>
                <w:szCs w:val="20"/>
                <w:color w:val="auto"/>
              </w:rPr>
            </w:pPr>
            <w:r>
              <w:rPr>
                <w:rFonts w:ascii="Arial" w:cs="Arial" w:eastAsia="Arial" w:hAnsi="Arial"/>
                <w:sz w:val="14"/>
                <w:szCs w:val="14"/>
                <w:color w:val="auto"/>
              </w:rPr>
              <w:t>7,199</w:t>
            </w:r>
          </w:p>
        </w:tc>
        <w:tc>
          <w:tcPr>
            <w:tcW w:w="220" w:type="dxa"/>
            <w:vAlign w:val="bottom"/>
            <w:shd w:val="clear" w:color="auto" w:fill="D4F1F5"/>
          </w:tcPr>
          <w:p>
            <w:pPr>
              <w:jc w:val="right"/>
              <w:ind w:right="8"/>
              <w:spacing w:after="0"/>
              <w:rPr>
                <w:sz w:val="20"/>
                <w:szCs w:val="20"/>
                <w:color w:val="auto"/>
              </w:rPr>
            </w:pPr>
            <w:r>
              <w:rPr>
                <w:rFonts w:ascii="Arial" w:cs="Arial" w:eastAsia="Arial" w:hAnsi="Arial"/>
                <w:sz w:val="14"/>
                <w:szCs w:val="14"/>
                <w:b w:val="1"/>
                <w:bCs w:val="1"/>
                <w:color w:val="auto"/>
              </w:rPr>
              <w:t>$</w:t>
            </w:r>
          </w:p>
        </w:tc>
        <w:tc>
          <w:tcPr>
            <w:tcW w:w="760" w:type="dxa"/>
            <w:vAlign w:val="bottom"/>
            <w:shd w:val="clear" w:color="auto" w:fill="D4F1F5"/>
          </w:tcPr>
          <w:p>
            <w:pPr>
              <w:jc w:val="right"/>
              <w:spacing w:after="0"/>
              <w:rPr>
                <w:sz w:val="20"/>
                <w:szCs w:val="20"/>
                <w:color w:val="auto"/>
              </w:rPr>
            </w:pPr>
            <w:r>
              <w:rPr>
                <w:rFonts w:ascii="Arial" w:cs="Arial" w:eastAsia="Arial" w:hAnsi="Arial"/>
                <w:sz w:val="14"/>
                <w:szCs w:val="14"/>
                <w:b w:val="1"/>
                <w:bCs w:val="1"/>
                <w:color w:val="auto"/>
              </w:rPr>
              <w:t>38,793</w:t>
            </w:r>
          </w:p>
        </w:tc>
      </w:tr>
      <w:tr>
        <w:trPr>
          <w:trHeight w:val="201"/>
        </w:trPr>
        <w:tc>
          <w:tcPr>
            <w:tcW w:w="3100" w:type="dxa"/>
            <w:vAlign w:val="bottom"/>
          </w:tcPr>
          <w:p>
            <w:pPr>
              <w:ind w:left="20"/>
              <w:spacing w:after="0"/>
              <w:rPr>
                <w:sz w:val="20"/>
                <w:szCs w:val="20"/>
                <w:color w:val="auto"/>
              </w:rPr>
            </w:pPr>
            <w:r>
              <w:rPr>
                <w:rFonts w:ascii="Arial" w:cs="Arial" w:eastAsia="Arial" w:hAnsi="Arial"/>
                <w:sz w:val="14"/>
                <w:szCs w:val="14"/>
                <w:color w:val="auto"/>
              </w:rPr>
              <w:t>Net income</w:t>
            </w:r>
          </w:p>
        </w:tc>
        <w:tc>
          <w:tcPr>
            <w:tcW w:w="160" w:type="dxa"/>
            <w:vAlign w:val="bottom"/>
          </w:tcPr>
          <w:p>
            <w:pPr>
              <w:spacing w:after="0"/>
              <w:rPr>
                <w:sz w:val="17"/>
                <w:szCs w:val="17"/>
                <w:color w:val="auto"/>
              </w:rPr>
            </w:pPr>
          </w:p>
        </w:tc>
        <w:tc>
          <w:tcPr>
            <w:tcW w:w="800" w:type="dxa"/>
            <w:vAlign w:val="bottom"/>
            <w:tcBorders>
              <w:right w:val="single" w:sz="8" w:color="auto"/>
            </w:tcBorders>
          </w:tcPr>
          <w:p>
            <w:pPr>
              <w:jc w:val="right"/>
              <w:ind w:right="28"/>
              <w:spacing w:after="0"/>
              <w:rPr>
                <w:sz w:val="20"/>
                <w:szCs w:val="20"/>
                <w:color w:val="auto"/>
              </w:rPr>
            </w:pPr>
            <w:r>
              <w:rPr>
                <w:rFonts w:ascii="Arial" w:cs="Arial" w:eastAsia="Arial" w:hAnsi="Arial"/>
                <w:sz w:val="14"/>
                <w:szCs w:val="14"/>
                <w:color w:val="auto"/>
              </w:rPr>
              <w:t>6</w:t>
            </w: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1,037</w:t>
            </w: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b w:val="1"/>
                <w:bCs w:val="1"/>
                <w:color w:val="auto"/>
              </w:rPr>
              <w:t>1,037</w:t>
            </w:r>
          </w:p>
        </w:tc>
        <w:tc>
          <w:tcPr>
            <w:tcW w:w="280" w:type="dxa"/>
            <w:vAlign w:val="bottom"/>
          </w:tcPr>
          <w:p>
            <w:pPr>
              <w:spacing w:after="0"/>
              <w:rPr>
                <w:sz w:val="17"/>
                <w:szCs w:val="17"/>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107</w:t>
            </w:r>
          </w:p>
        </w:tc>
        <w:tc>
          <w:tcPr>
            <w:tcW w:w="2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4"/>
                <w:szCs w:val="14"/>
                <w:b w:val="1"/>
                <w:bCs w:val="1"/>
                <w:color w:val="auto"/>
              </w:rPr>
              <w:t>1,144</w:t>
            </w:r>
          </w:p>
        </w:tc>
      </w:tr>
      <w:tr>
        <w:trPr>
          <w:trHeight w:val="204"/>
        </w:trPr>
        <w:tc>
          <w:tcPr>
            <w:tcW w:w="3100" w:type="dxa"/>
            <w:vAlign w:val="bottom"/>
            <w:shd w:val="clear" w:color="auto" w:fill="D4F1F5"/>
          </w:tcPr>
          <w:p>
            <w:pPr>
              <w:ind w:left="20"/>
              <w:spacing w:after="0"/>
              <w:rPr>
                <w:sz w:val="20"/>
                <w:szCs w:val="20"/>
                <w:color w:val="auto"/>
              </w:rPr>
            </w:pPr>
            <w:r>
              <w:rPr>
                <w:rFonts w:ascii="Arial" w:cs="Arial" w:eastAsia="Arial" w:hAnsi="Arial"/>
                <w:sz w:val="14"/>
                <w:szCs w:val="14"/>
                <w:color w:val="auto"/>
              </w:rPr>
              <w:t>Other comprehensive income</w:t>
            </w:r>
          </w:p>
        </w:tc>
        <w:tc>
          <w:tcPr>
            <w:tcW w:w="160" w:type="dxa"/>
            <w:vAlign w:val="bottom"/>
            <w:shd w:val="clear" w:color="auto" w:fill="D4F1F5"/>
          </w:tcPr>
          <w:p>
            <w:pPr>
              <w:spacing w:after="0"/>
              <w:rPr>
                <w:sz w:val="17"/>
                <w:szCs w:val="17"/>
                <w:color w:val="auto"/>
              </w:rPr>
            </w:pPr>
          </w:p>
        </w:tc>
        <w:tc>
          <w:tcPr>
            <w:tcW w:w="800" w:type="dxa"/>
            <w:vAlign w:val="bottom"/>
            <w:tcBorders>
              <w:right w:val="single" w:sz="8" w:color="auto"/>
            </w:tcBorders>
            <w:shd w:val="clear" w:color="auto" w:fill="D4F1F5"/>
          </w:tcPr>
          <w:p>
            <w:pPr>
              <w:spacing w:after="0"/>
              <w:rPr>
                <w:sz w:val="17"/>
                <w:szCs w:val="17"/>
                <w:color w:val="auto"/>
              </w:rPr>
            </w:pPr>
          </w:p>
        </w:tc>
        <w:tc>
          <w:tcPr>
            <w:tcW w:w="180" w:type="dxa"/>
            <w:vAlign w:val="bottom"/>
            <w:shd w:val="clear" w:color="auto" w:fill="D4F1F5"/>
          </w:tcPr>
          <w:p>
            <w:pPr>
              <w:spacing w:after="0"/>
              <w:rPr>
                <w:sz w:val="17"/>
                <w:szCs w:val="17"/>
                <w:color w:val="auto"/>
              </w:rPr>
            </w:pPr>
          </w:p>
        </w:tc>
        <w:tc>
          <w:tcPr>
            <w:tcW w:w="840" w:type="dxa"/>
            <w:vAlign w:val="bottom"/>
            <w:shd w:val="clear" w:color="auto" w:fill="D4F1F5"/>
          </w:tcPr>
          <w:p>
            <w:pPr>
              <w:spacing w:after="0"/>
              <w:rPr>
                <w:sz w:val="17"/>
                <w:szCs w:val="17"/>
                <w:color w:val="auto"/>
              </w:rPr>
            </w:pPr>
          </w:p>
        </w:tc>
        <w:tc>
          <w:tcPr>
            <w:tcW w:w="180" w:type="dxa"/>
            <w:vAlign w:val="bottom"/>
            <w:shd w:val="clear" w:color="auto" w:fill="D4F1F5"/>
          </w:tcPr>
          <w:p>
            <w:pPr>
              <w:spacing w:after="0"/>
              <w:rPr>
                <w:sz w:val="17"/>
                <w:szCs w:val="17"/>
                <w:color w:val="auto"/>
              </w:rPr>
            </w:pPr>
          </w:p>
        </w:tc>
        <w:tc>
          <w:tcPr>
            <w:tcW w:w="860" w:type="dxa"/>
            <w:vAlign w:val="bottom"/>
            <w:shd w:val="clear" w:color="auto" w:fill="D4F1F5"/>
          </w:tcPr>
          <w:p>
            <w:pPr>
              <w:spacing w:after="0"/>
              <w:rPr>
                <w:sz w:val="17"/>
                <w:szCs w:val="17"/>
                <w:color w:val="auto"/>
              </w:rPr>
            </w:pPr>
          </w:p>
        </w:tc>
        <w:tc>
          <w:tcPr>
            <w:tcW w:w="180" w:type="dxa"/>
            <w:vAlign w:val="bottom"/>
            <w:shd w:val="clear" w:color="auto" w:fill="D4F1F5"/>
          </w:tcPr>
          <w:p>
            <w:pPr>
              <w:spacing w:after="0"/>
              <w:rPr>
                <w:sz w:val="17"/>
                <w:szCs w:val="17"/>
                <w:color w:val="auto"/>
              </w:rPr>
            </w:pPr>
          </w:p>
        </w:tc>
        <w:tc>
          <w:tcPr>
            <w:tcW w:w="840" w:type="dxa"/>
            <w:vAlign w:val="bottom"/>
            <w:shd w:val="clear" w:color="auto" w:fill="D4F1F5"/>
          </w:tcPr>
          <w:p>
            <w:pPr>
              <w:spacing w:after="0"/>
              <w:rPr>
                <w:sz w:val="17"/>
                <w:szCs w:val="17"/>
                <w:color w:val="auto"/>
              </w:rPr>
            </w:pPr>
          </w:p>
        </w:tc>
        <w:tc>
          <w:tcPr>
            <w:tcW w:w="240" w:type="dxa"/>
            <w:vAlign w:val="bottom"/>
            <w:shd w:val="clear" w:color="auto" w:fill="D4F1F5"/>
          </w:tcPr>
          <w:p>
            <w:pPr>
              <w:spacing w:after="0"/>
              <w:rPr>
                <w:sz w:val="17"/>
                <w:szCs w:val="17"/>
                <w:color w:val="auto"/>
              </w:rPr>
            </w:pPr>
          </w:p>
        </w:tc>
        <w:tc>
          <w:tcPr>
            <w:tcW w:w="780" w:type="dxa"/>
            <w:vAlign w:val="bottom"/>
            <w:shd w:val="clear" w:color="auto" w:fill="D4F1F5"/>
          </w:tcPr>
          <w:p>
            <w:pPr>
              <w:jc w:val="right"/>
              <w:ind w:right="28"/>
              <w:spacing w:after="0"/>
              <w:rPr>
                <w:sz w:val="20"/>
                <w:szCs w:val="20"/>
                <w:color w:val="auto"/>
              </w:rPr>
            </w:pPr>
            <w:r>
              <w:rPr>
                <w:rFonts w:ascii="Arial" w:cs="Arial" w:eastAsia="Arial" w:hAnsi="Arial"/>
                <w:sz w:val="14"/>
                <w:szCs w:val="14"/>
                <w:color w:val="auto"/>
              </w:rPr>
              <w:t>6</w:t>
            </w:r>
          </w:p>
        </w:tc>
        <w:tc>
          <w:tcPr>
            <w:tcW w:w="240" w:type="dxa"/>
            <w:vAlign w:val="bottom"/>
            <w:shd w:val="clear" w:color="auto" w:fill="D4F1F5"/>
          </w:tcPr>
          <w:p>
            <w:pPr>
              <w:spacing w:after="0"/>
              <w:rPr>
                <w:sz w:val="17"/>
                <w:szCs w:val="17"/>
                <w:color w:val="auto"/>
              </w:rPr>
            </w:pPr>
          </w:p>
        </w:tc>
        <w:tc>
          <w:tcPr>
            <w:tcW w:w="820" w:type="dxa"/>
            <w:vAlign w:val="bottom"/>
            <w:shd w:val="clear" w:color="auto" w:fill="D4F1F5"/>
          </w:tcPr>
          <w:p>
            <w:pPr>
              <w:jc w:val="right"/>
              <w:ind w:right="28"/>
              <w:spacing w:after="0"/>
              <w:rPr>
                <w:sz w:val="20"/>
                <w:szCs w:val="20"/>
                <w:color w:val="auto"/>
              </w:rPr>
            </w:pPr>
            <w:r>
              <w:rPr>
                <w:rFonts w:ascii="Arial" w:cs="Arial" w:eastAsia="Arial" w:hAnsi="Arial"/>
                <w:sz w:val="14"/>
                <w:szCs w:val="14"/>
                <w:b w:val="1"/>
                <w:bCs w:val="1"/>
                <w:color w:val="auto"/>
              </w:rPr>
              <w:t>6</w:t>
            </w:r>
          </w:p>
        </w:tc>
        <w:tc>
          <w:tcPr>
            <w:tcW w:w="280" w:type="dxa"/>
            <w:vAlign w:val="bottom"/>
            <w:shd w:val="clear" w:color="auto" w:fill="D4F1F5"/>
          </w:tcPr>
          <w:p>
            <w:pPr>
              <w:spacing w:after="0"/>
              <w:rPr>
                <w:sz w:val="17"/>
                <w:szCs w:val="17"/>
                <w:color w:val="auto"/>
              </w:rPr>
            </w:pPr>
          </w:p>
        </w:tc>
        <w:tc>
          <w:tcPr>
            <w:tcW w:w="760" w:type="dxa"/>
            <w:vAlign w:val="bottom"/>
            <w:shd w:val="clear" w:color="auto" w:fill="D4F1F5"/>
          </w:tcPr>
          <w:p>
            <w:pPr>
              <w:jc w:val="right"/>
              <w:ind w:right="48"/>
              <w:spacing w:after="0"/>
              <w:rPr>
                <w:sz w:val="20"/>
                <w:szCs w:val="20"/>
                <w:color w:val="auto"/>
              </w:rPr>
            </w:pPr>
            <w:r>
              <w:rPr>
                <w:rFonts w:ascii="Arial" w:cs="Arial" w:eastAsia="Arial" w:hAnsi="Arial"/>
                <w:sz w:val="14"/>
                <w:szCs w:val="14"/>
                <w:color w:val="auto"/>
              </w:rPr>
              <w:t>1</w:t>
            </w:r>
          </w:p>
        </w:tc>
        <w:tc>
          <w:tcPr>
            <w:tcW w:w="220" w:type="dxa"/>
            <w:vAlign w:val="bottom"/>
            <w:shd w:val="clear" w:color="auto" w:fill="D4F1F5"/>
          </w:tcPr>
          <w:p>
            <w:pPr>
              <w:spacing w:after="0"/>
              <w:rPr>
                <w:sz w:val="17"/>
                <w:szCs w:val="17"/>
                <w:color w:val="auto"/>
              </w:rPr>
            </w:pPr>
          </w:p>
        </w:tc>
        <w:tc>
          <w:tcPr>
            <w:tcW w:w="760" w:type="dxa"/>
            <w:vAlign w:val="bottom"/>
            <w:shd w:val="clear" w:color="auto" w:fill="D4F1F5"/>
          </w:tcPr>
          <w:p>
            <w:pPr>
              <w:jc w:val="right"/>
              <w:spacing w:after="0"/>
              <w:rPr>
                <w:sz w:val="20"/>
                <w:szCs w:val="20"/>
                <w:color w:val="auto"/>
              </w:rPr>
            </w:pPr>
            <w:r>
              <w:rPr>
                <w:rFonts w:ascii="Arial" w:cs="Arial" w:eastAsia="Arial" w:hAnsi="Arial"/>
                <w:sz w:val="14"/>
                <w:szCs w:val="14"/>
                <w:b w:val="1"/>
                <w:bCs w:val="1"/>
                <w:color w:val="auto"/>
              </w:rPr>
              <w:t>7</w:t>
            </w:r>
          </w:p>
        </w:tc>
      </w:tr>
      <w:tr>
        <w:trPr>
          <w:trHeight w:val="201"/>
        </w:trPr>
        <w:tc>
          <w:tcPr>
            <w:tcW w:w="3100" w:type="dxa"/>
            <w:vAlign w:val="bottom"/>
          </w:tcPr>
          <w:p>
            <w:pPr>
              <w:ind w:left="20"/>
              <w:spacing w:after="0"/>
              <w:rPr>
                <w:sz w:val="20"/>
                <w:szCs w:val="20"/>
                <w:color w:val="auto"/>
              </w:rPr>
            </w:pPr>
            <w:r>
              <w:rPr>
                <w:rFonts w:ascii="Arial" w:cs="Arial" w:eastAsia="Arial" w:hAnsi="Arial"/>
                <w:sz w:val="14"/>
                <w:szCs w:val="14"/>
                <w:color w:val="auto"/>
              </w:rPr>
              <w:t>Share-based compensation expense</w:t>
            </w:r>
          </w:p>
        </w:tc>
        <w:tc>
          <w:tcPr>
            <w:tcW w:w="160" w:type="dxa"/>
            <w:vAlign w:val="bottom"/>
          </w:tcPr>
          <w:p>
            <w:pPr>
              <w:spacing w:after="0"/>
              <w:rPr>
                <w:sz w:val="17"/>
                <w:szCs w:val="17"/>
                <w:color w:val="auto"/>
              </w:rPr>
            </w:pPr>
          </w:p>
        </w:tc>
        <w:tc>
          <w:tcPr>
            <w:tcW w:w="800" w:type="dxa"/>
            <w:vAlign w:val="bottom"/>
            <w:tcBorders>
              <w:right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25</w:t>
            </w: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b w:val="1"/>
                <w:bCs w:val="1"/>
                <w:color w:val="auto"/>
              </w:rPr>
              <w:t>25</w:t>
            </w:r>
          </w:p>
        </w:tc>
        <w:tc>
          <w:tcPr>
            <w:tcW w:w="2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4"/>
                <w:szCs w:val="14"/>
                <w:b w:val="1"/>
                <w:bCs w:val="1"/>
                <w:color w:val="auto"/>
              </w:rPr>
              <w:t>25</w:t>
            </w:r>
          </w:p>
        </w:tc>
      </w:tr>
      <w:tr>
        <w:trPr>
          <w:trHeight w:val="204"/>
        </w:trPr>
        <w:tc>
          <w:tcPr>
            <w:tcW w:w="3100" w:type="dxa"/>
            <w:vAlign w:val="bottom"/>
            <w:shd w:val="clear" w:color="auto" w:fill="D4F1F5"/>
          </w:tcPr>
          <w:p>
            <w:pPr>
              <w:ind w:left="20"/>
              <w:spacing w:after="0"/>
              <w:rPr>
                <w:sz w:val="20"/>
                <w:szCs w:val="20"/>
                <w:color w:val="auto"/>
              </w:rPr>
            </w:pPr>
            <w:r>
              <w:rPr>
                <w:rFonts w:ascii="Arial" w:cs="Arial" w:eastAsia="Arial" w:hAnsi="Arial"/>
                <w:sz w:val="14"/>
                <w:szCs w:val="14"/>
                <w:color w:val="auto"/>
              </w:rPr>
              <w:t>Dividends declared:</w:t>
            </w:r>
          </w:p>
        </w:tc>
        <w:tc>
          <w:tcPr>
            <w:tcW w:w="160" w:type="dxa"/>
            <w:vAlign w:val="bottom"/>
            <w:shd w:val="clear" w:color="auto" w:fill="D4F1F5"/>
          </w:tcPr>
          <w:p>
            <w:pPr>
              <w:spacing w:after="0"/>
              <w:rPr>
                <w:sz w:val="17"/>
                <w:szCs w:val="17"/>
                <w:color w:val="auto"/>
              </w:rPr>
            </w:pPr>
          </w:p>
        </w:tc>
        <w:tc>
          <w:tcPr>
            <w:tcW w:w="800" w:type="dxa"/>
            <w:vAlign w:val="bottom"/>
            <w:tcBorders>
              <w:right w:val="single" w:sz="8" w:color="auto"/>
            </w:tcBorders>
            <w:shd w:val="clear" w:color="auto" w:fill="D4F1F5"/>
          </w:tcPr>
          <w:p>
            <w:pPr>
              <w:spacing w:after="0"/>
              <w:rPr>
                <w:sz w:val="17"/>
                <w:szCs w:val="17"/>
                <w:color w:val="auto"/>
              </w:rPr>
            </w:pPr>
          </w:p>
        </w:tc>
        <w:tc>
          <w:tcPr>
            <w:tcW w:w="180" w:type="dxa"/>
            <w:vAlign w:val="bottom"/>
            <w:shd w:val="clear" w:color="auto" w:fill="D4F1F5"/>
          </w:tcPr>
          <w:p>
            <w:pPr>
              <w:spacing w:after="0"/>
              <w:rPr>
                <w:sz w:val="17"/>
                <w:szCs w:val="17"/>
                <w:color w:val="auto"/>
              </w:rPr>
            </w:pPr>
          </w:p>
        </w:tc>
        <w:tc>
          <w:tcPr>
            <w:tcW w:w="840" w:type="dxa"/>
            <w:vAlign w:val="bottom"/>
            <w:shd w:val="clear" w:color="auto" w:fill="D4F1F5"/>
          </w:tcPr>
          <w:p>
            <w:pPr>
              <w:spacing w:after="0"/>
              <w:rPr>
                <w:sz w:val="17"/>
                <w:szCs w:val="17"/>
                <w:color w:val="auto"/>
              </w:rPr>
            </w:pPr>
          </w:p>
        </w:tc>
        <w:tc>
          <w:tcPr>
            <w:tcW w:w="180" w:type="dxa"/>
            <w:vAlign w:val="bottom"/>
            <w:shd w:val="clear" w:color="auto" w:fill="D4F1F5"/>
          </w:tcPr>
          <w:p>
            <w:pPr>
              <w:spacing w:after="0"/>
              <w:rPr>
                <w:sz w:val="17"/>
                <w:szCs w:val="17"/>
                <w:color w:val="auto"/>
              </w:rPr>
            </w:pPr>
          </w:p>
        </w:tc>
        <w:tc>
          <w:tcPr>
            <w:tcW w:w="860" w:type="dxa"/>
            <w:vAlign w:val="bottom"/>
            <w:shd w:val="clear" w:color="auto" w:fill="D4F1F5"/>
          </w:tcPr>
          <w:p>
            <w:pPr>
              <w:spacing w:after="0"/>
              <w:rPr>
                <w:sz w:val="17"/>
                <w:szCs w:val="17"/>
                <w:color w:val="auto"/>
              </w:rPr>
            </w:pPr>
          </w:p>
        </w:tc>
        <w:tc>
          <w:tcPr>
            <w:tcW w:w="180" w:type="dxa"/>
            <w:vAlign w:val="bottom"/>
            <w:shd w:val="clear" w:color="auto" w:fill="D4F1F5"/>
          </w:tcPr>
          <w:p>
            <w:pPr>
              <w:spacing w:after="0"/>
              <w:rPr>
                <w:sz w:val="17"/>
                <w:szCs w:val="17"/>
                <w:color w:val="auto"/>
              </w:rPr>
            </w:pPr>
          </w:p>
        </w:tc>
        <w:tc>
          <w:tcPr>
            <w:tcW w:w="840" w:type="dxa"/>
            <w:vAlign w:val="bottom"/>
            <w:shd w:val="clear" w:color="auto" w:fill="D4F1F5"/>
          </w:tcPr>
          <w:p>
            <w:pPr>
              <w:spacing w:after="0"/>
              <w:rPr>
                <w:sz w:val="17"/>
                <w:szCs w:val="17"/>
                <w:color w:val="auto"/>
              </w:rPr>
            </w:pPr>
          </w:p>
        </w:tc>
        <w:tc>
          <w:tcPr>
            <w:tcW w:w="240" w:type="dxa"/>
            <w:vAlign w:val="bottom"/>
            <w:shd w:val="clear" w:color="auto" w:fill="D4F1F5"/>
          </w:tcPr>
          <w:p>
            <w:pPr>
              <w:spacing w:after="0"/>
              <w:rPr>
                <w:sz w:val="17"/>
                <w:szCs w:val="17"/>
                <w:color w:val="auto"/>
              </w:rPr>
            </w:pPr>
          </w:p>
        </w:tc>
        <w:tc>
          <w:tcPr>
            <w:tcW w:w="780" w:type="dxa"/>
            <w:vAlign w:val="bottom"/>
            <w:shd w:val="clear" w:color="auto" w:fill="D4F1F5"/>
          </w:tcPr>
          <w:p>
            <w:pPr>
              <w:spacing w:after="0"/>
              <w:rPr>
                <w:sz w:val="17"/>
                <w:szCs w:val="17"/>
                <w:color w:val="auto"/>
              </w:rPr>
            </w:pPr>
          </w:p>
        </w:tc>
        <w:tc>
          <w:tcPr>
            <w:tcW w:w="240" w:type="dxa"/>
            <w:vAlign w:val="bottom"/>
            <w:shd w:val="clear" w:color="auto" w:fill="D4F1F5"/>
          </w:tcPr>
          <w:p>
            <w:pPr>
              <w:spacing w:after="0"/>
              <w:rPr>
                <w:sz w:val="17"/>
                <w:szCs w:val="17"/>
                <w:color w:val="auto"/>
              </w:rPr>
            </w:pPr>
          </w:p>
        </w:tc>
        <w:tc>
          <w:tcPr>
            <w:tcW w:w="820" w:type="dxa"/>
            <w:vAlign w:val="bottom"/>
            <w:shd w:val="clear" w:color="auto" w:fill="D4F1F5"/>
          </w:tcPr>
          <w:p>
            <w:pPr>
              <w:spacing w:after="0"/>
              <w:rPr>
                <w:sz w:val="17"/>
                <w:szCs w:val="17"/>
                <w:color w:val="auto"/>
              </w:rPr>
            </w:pPr>
          </w:p>
        </w:tc>
        <w:tc>
          <w:tcPr>
            <w:tcW w:w="280" w:type="dxa"/>
            <w:vAlign w:val="bottom"/>
            <w:shd w:val="clear" w:color="auto" w:fill="D4F1F5"/>
          </w:tcPr>
          <w:p>
            <w:pPr>
              <w:spacing w:after="0"/>
              <w:rPr>
                <w:sz w:val="17"/>
                <w:szCs w:val="17"/>
                <w:color w:val="auto"/>
              </w:rPr>
            </w:pPr>
          </w:p>
        </w:tc>
        <w:tc>
          <w:tcPr>
            <w:tcW w:w="760" w:type="dxa"/>
            <w:vAlign w:val="bottom"/>
            <w:shd w:val="clear" w:color="auto" w:fill="D4F1F5"/>
          </w:tcPr>
          <w:p>
            <w:pPr>
              <w:spacing w:after="0"/>
              <w:rPr>
                <w:sz w:val="17"/>
                <w:szCs w:val="17"/>
                <w:color w:val="auto"/>
              </w:rPr>
            </w:pPr>
          </w:p>
        </w:tc>
        <w:tc>
          <w:tcPr>
            <w:tcW w:w="220" w:type="dxa"/>
            <w:vAlign w:val="bottom"/>
            <w:shd w:val="clear" w:color="auto" w:fill="D4F1F5"/>
          </w:tcPr>
          <w:p>
            <w:pPr>
              <w:spacing w:after="0"/>
              <w:rPr>
                <w:sz w:val="17"/>
                <w:szCs w:val="17"/>
                <w:color w:val="auto"/>
              </w:rPr>
            </w:pPr>
          </w:p>
        </w:tc>
        <w:tc>
          <w:tcPr>
            <w:tcW w:w="760" w:type="dxa"/>
            <w:vAlign w:val="bottom"/>
            <w:shd w:val="clear" w:color="auto" w:fill="D4F1F5"/>
          </w:tcPr>
          <w:p>
            <w:pPr>
              <w:spacing w:after="0"/>
              <w:rPr>
                <w:sz w:val="17"/>
                <w:szCs w:val="17"/>
                <w:color w:val="auto"/>
              </w:rPr>
            </w:pPr>
          </w:p>
        </w:tc>
      </w:tr>
      <w:tr>
        <w:trPr>
          <w:trHeight w:val="201"/>
        </w:trPr>
        <w:tc>
          <w:tcPr>
            <w:tcW w:w="3100" w:type="dxa"/>
            <w:vAlign w:val="bottom"/>
          </w:tcPr>
          <w:p>
            <w:pPr>
              <w:ind w:left="220"/>
              <w:spacing w:after="0"/>
              <w:rPr>
                <w:sz w:val="20"/>
                <w:szCs w:val="20"/>
                <w:color w:val="auto"/>
              </w:rPr>
            </w:pPr>
            <w:r>
              <w:rPr>
                <w:rFonts w:ascii="Arial" w:cs="Arial" w:eastAsia="Arial" w:hAnsi="Arial"/>
                <w:sz w:val="14"/>
                <w:szCs w:val="14"/>
                <w:color w:val="auto"/>
              </w:rPr>
              <w:t>Common stock ($0.66/share)</w:t>
            </w:r>
          </w:p>
        </w:tc>
        <w:tc>
          <w:tcPr>
            <w:tcW w:w="160" w:type="dxa"/>
            <w:vAlign w:val="bottom"/>
          </w:tcPr>
          <w:p>
            <w:pPr>
              <w:spacing w:after="0"/>
              <w:rPr>
                <w:sz w:val="17"/>
                <w:szCs w:val="17"/>
                <w:color w:val="auto"/>
              </w:rPr>
            </w:pPr>
          </w:p>
        </w:tc>
        <w:tc>
          <w:tcPr>
            <w:tcW w:w="800" w:type="dxa"/>
            <w:vAlign w:val="bottom"/>
            <w:tcBorders>
              <w:right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(430)</w:t>
            </w: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(430)</w:t>
            </w:r>
          </w:p>
        </w:tc>
        <w:tc>
          <w:tcPr>
            <w:tcW w:w="2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4"/>
                <w:szCs w:val="14"/>
                <w:b w:val="1"/>
                <w:bCs w:val="1"/>
                <w:color w:val="auto"/>
              </w:rPr>
              <w:t>(430)</w:t>
            </w:r>
          </w:p>
        </w:tc>
      </w:tr>
      <w:tr>
        <w:trPr>
          <w:trHeight w:val="204"/>
        </w:trPr>
        <w:tc>
          <w:tcPr>
            <w:tcW w:w="3100" w:type="dxa"/>
            <w:vAlign w:val="bottom"/>
            <w:shd w:val="clear" w:color="auto" w:fill="D4F1F5"/>
          </w:tcPr>
          <w:p>
            <w:pPr>
              <w:ind w:left="20"/>
              <w:spacing w:after="0"/>
              <w:rPr>
                <w:sz w:val="20"/>
                <w:szCs w:val="20"/>
                <w:color w:val="auto"/>
              </w:rPr>
            </w:pPr>
            <w:r>
              <w:rPr>
                <w:rFonts w:ascii="Arial" w:cs="Arial" w:eastAsia="Arial" w:hAnsi="Arial"/>
                <w:sz w:val="14"/>
                <w:szCs w:val="14"/>
                <w:color w:val="auto"/>
              </w:rPr>
              <w:t>Issuances of common stock</w:t>
            </w:r>
          </w:p>
        </w:tc>
        <w:tc>
          <w:tcPr>
            <w:tcW w:w="160" w:type="dxa"/>
            <w:vAlign w:val="bottom"/>
            <w:shd w:val="clear" w:color="auto" w:fill="D4F1F5"/>
          </w:tcPr>
          <w:p>
            <w:pPr>
              <w:spacing w:after="0"/>
              <w:rPr>
                <w:sz w:val="17"/>
                <w:szCs w:val="17"/>
                <w:color w:val="auto"/>
              </w:rPr>
            </w:pPr>
          </w:p>
        </w:tc>
        <w:tc>
          <w:tcPr>
            <w:tcW w:w="800" w:type="dxa"/>
            <w:vAlign w:val="bottom"/>
            <w:tcBorders>
              <w:right w:val="single" w:sz="8" w:color="auto"/>
            </w:tcBorders>
            <w:shd w:val="clear" w:color="auto" w:fill="D4F1F5"/>
          </w:tcPr>
          <w:p>
            <w:pPr>
              <w:spacing w:after="0"/>
              <w:rPr>
                <w:sz w:val="17"/>
                <w:szCs w:val="17"/>
                <w:color w:val="auto"/>
              </w:rPr>
            </w:pPr>
          </w:p>
        </w:tc>
        <w:tc>
          <w:tcPr>
            <w:tcW w:w="180" w:type="dxa"/>
            <w:vAlign w:val="bottom"/>
            <w:shd w:val="clear" w:color="auto" w:fill="D4F1F5"/>
          </w:tcPr>
          <w:p>
            <w:pPr>
              <w:spacing w:after="0"/>
              <w:rPr>
                <w:sz w:val="17"/>
                <w:szCs w:val="17"/>
                <w:color w:val="auto"/>
              </w:rPr>
            </w:pPr>
          </w:p>
        </w:tc>
        <w:tc>
          <w:tcPr>
            <w:tcW w:w="840" w:type="dxa"/>
            <w:vAlign w:val="bottom"/>
            <w:shd w:val="clear" w:color="auto" w:fill="D4F1F5"/>
          </w:tcPr>
          <w:p>
            <w:pPr>
              <w:spacing w:after="0"/>
              <w:rPr>
                <w:sz w:val="17"/>
                <w:szCs w:val="17"/>
                <w:color w:val="auto"/>
              </w:rPr>
            </w:pPr>
          </w:p>
        </w:tc>
        <w:tc>
          <w:tcPr>
            <w:tcW w:w="180" w:type="dxa"/>
            <w:vAlign w:val="bottom"/>
            <w:shd w:val="clear" w:color="auto" w:fill="D4F1F5"/>
          </w:tcPr>
          <w:p>
            <w:pPr>
              <w:spacing w:after="0"/>
              <w:rPr>
                <w:sz w:val="17"/>
                <w:szCs w:val="17"/>
                <w:color w:val="auto"/>
              </w:rPr>
            </w:pPr>
          </w:p>
        </w:tc>
        <w:tc>
          <w:tcPr>
            <w:tcW w:w="860" w:type="dxa"/>
            <w:vAlign w:val="bottom"/>
            <w:shd w:val="clear" w:color="auto" w:fill="D4F1F5"/>
          </w:tcPr>
          <w:p>
            <w:pPr>
              <w:jc w:val="right"/>
              <w:ind w:right="28"/>
              <w:spacing w:after="0"/>
              <w:rPr>
                <w:sz w:val="20"/>
                <w:szCs w:val="20"/>
                <w:color w:val="auto"/>
              </w:rPr>
            </w:pPr>
            <w:r>
              <w:rPr>
                <w:rFonts w:ascii="Arial" w:cs="Arial" w:eastAsia="Arial" w:hAnsi="Arial"/>
                <w:sz w:val="14"/>
                <w:szCs w:val="14"/>
                <w:color w:val="auto"/>
              </w:rPr>
              <w:t>21</w:t>
            </w:r>
          </w:p>
        </w:tc>
        <w:tc>
          <w:tcPr>
            <w:tcW w:w="180" w:type="dxa"/>
            <w:vAlign w:val="bottom"/>
            <w:shd w:val="clear" w:color="auto" w:fill="D4F1F5"/>
          </w:tcPr>
          <w:p>
            <w:pPr>
              <w:spacing w:after="0"/>
              <w:rPr>
                <w:sz w:val="17"/>
                <w:szCs w:val="17"/>
                <w:color w:val="auto"/>
              </w:rPr>
            </w:pPr>
          </w:p>
        </w:tc>
        <w:tc>
          <w:tcPr>
            <w:tcW w:w="840" w:type="dxa"/>
            <w:vAlign w:val="bottom"/>
            <w:shd w:val="clear" w:color="auto" w:fill="D4F1F5"/>
          </w:tcPr>
          <w:p>
            <w:pPr>
              <w:spacing w:after="0"/>
              <w:rPr>
                <w:sz w:val="17"/>
                <w:szCs w:val="17"/>
                <w:color w:val="auto"/>
              </w:rPr>
            </w:pPr>
          </w:p>
        </w:tc>
        <w:tc>
          <w:tcPr>
            <w:tcW w:w="240" w:type="dxa"/>
            <w:vAlign w:val="bottom"/>
            <w:shd w:val="clear" w:color="auto" w:fill="D4F1F5"/>
          </w:tcPr>
          <w:p>
            <w:pPr>
              <w:spacing w:after="0"/>
              <w:rPr>
                <w:sz w:val="17"/>
                <w:szCs w:val="17"/>
                <w:color w:val="auto"/>
              </w:rPr>
            </w:pPr>
          </w:p>
        </w:tc>
        <w:tc>
          <w:tcPr>
            <w:tcW w:w="780" w:type="dxa"/>
            <w:vAlign w:val="bottom"/>
            <w:shd w:val="clear" w:color="auto" w:fill="D4F1F5"/>
          </w:tcPr>
          <w:p>
            <w:pPr>
              <w:spacing w:after="0"/>
              <w:rPr>
                <w:sz w:val="17"/>
                <w:szCs w:val="17"/>
                <w:color w:val="auto"/>
              </w:rPr>
            </w:pPr>
          </w:p>
        </w:tc>
        <w:tc>
          <w:tcPr>
            <w:tcW w:w="240" w:type="dxa"/>
            <w:vAlign w:val="bottom"/>
            <w:shd w:val="clear" w:color="auto" w:fill="D4F1F5"/>
          </w:tcPr>
          <w:p>
            <w:pPr>
              <w:spacing w:after="0"/>
              <w:rPr>
                <w:sz w:val="17"/>
                <w:szCs w:val="17"/>
                <w:color w:val="auto"/>
              </w:rPr>
            </w:pPr>
          </w:p>
        </w:tc>
        <w:tc>
          <w:tcPr>
            <w:tcW w:w="820" w:type="dxa"/>
            <w:vAlign w:val="bottom"/>
            <w:shd w:val="clear" w:color="auto" w:fill="D4F1F5"/>
          </w:tcPr>
          <w:p>
            <w:pPr>
              <w:jc w:val="right"/>
              <w:ind w:right="28"/>
              <w:spacing w:after="0"/>
              <w:rPr>
                <w:sz w:val="20"/>
                <w:szCs w:val="20"/>
                <w:color w:val="auto"/>
              </w:rPr>
            </w:pPr>
            <w:r>
              <w:rPr>
                <w:rFonts w:ascii="Arial" w:cs="Arial" w:eastAsia="Arial" w:hAnsi="Arial"/>
                <w:sz w:val="14"/>
                <w:szCs w:val="14"/>
                <w:b w:val="1"/>
                <w:bCs w:val="1"/>
                <w:color w:val="auto"/>
              </w:rPr>
              <w:t>21</w:t>
            </w:r>
          </w:p>
        </w:tc>
        <w:tc>
          <w:tcPr>
            <w:tcW w:w="280" w:type="dxa"/>
            <w:vAlign w:val="bottom"/>
            <w:shd w:val="clear" w:color="auto" w:fill="D4F1F5"/>
          </w:tcPr>
          <w:p>
            <w:pPr>
              <w:spacing w:after="0"/>
              <w:rPr>
                <w:sz w:val="17"/>
                <w:szCs w:val="17"/>
                <w:color w:val="auto"/>
              </w:rPr>
            </w:pPr>
          </w:p>
        </w:tc>
        <w:tc>
          <w:tcPr>
            <w:tcW w:w="760" w:type="dxa"/>
            <w:vAlign w:val="bottom"/>
            <w:shd w:val="clear" w:color="auto" w:fill="D4F1F5"/>
          </w:tcPr>
          <w:p>
            <w:pPr>
              <w:spacing w:after="0"/>
              <w:rPr>
                <w:sz w:val="17"/>
                <w:szCs w:val="17"/>
                <w:color w:val="auto"/>
              </w:rPr>
            </w:pPr>
          </w:p>
        </w:tc>
        <w:tc>
          <w:tcPr>
            <w:tcW w:w="220" w:type="dxa"/>
            <w:vAlign w:val="bottom"/>
            <w:shd w:val="clear" w:color="auto" w:fill="D4F1F5"/>
          </w:tcPr>
          <w:p>
            <w:pPr>
              <w:spacing w:after="0"/>
              <w:rPr>
                <w:sz w:val="17"/>
                <w:szCs w:val="17"/>
                <w:color w:val="auto"/>
              </w:rPr>
            </w:pPr>
          </w:p>
        </w:tc>
        <w:tc>
          <w:tcPr>
            <w:tcW w:w="760" w:type="dxa"/>
            <w:vAlign w:val="bottom"/>
            <w:shd w:val="clear" w:color="auto" w:fill="D4F1F5"/>
          </w:tcPr>
          <w:p>
            <w:pPr>
              <w:jc w:val="right"/>
              <w:spacing w:after="0"/>
              <w:rPr>
                <w:sz w:val="20"/>
                <w:szCs w:val="20"/>
                <w:color w:val="auto"/>
              </w:rPr>
            </w:pPr>
            <w:r>
              <w:rPr>
                <w:rFonts w:ascii="Arial" w:cs="Arial" w:eastAsia="Arial" w:hAnsi="Arial"/>
                <w:sz w:val="14"/>
                <w:szCs w:val="14"/>
                <w:b w:val="1"/>
                <w:bCs w:val="1"/>
                <w:color w:val="auto"/>
              </w:rPr>
              <w:t>21</w:t>
            </w:r>
          </w:p>
        </w:tc>
      </w:tr>
      <w:tr>
        <w:trPr>
          <w:trHeight w:val="201"/>
        </w:trPr>
        <w:tc>
          <w:tcPr>
            <w:tcW w:w="3100" w:type="dxa"/>
            <w:vAlign w:val="bottom"/>
          </w:tcPr>
          <w:p>
            <w:pPr>
              <w:ind w:left="20"/>
              <w:spacing w:after="0"/>
              <w:rPr>
                <w:sz w:val="20"/>
                <w:szCs w:val="20"/>
                <w:color w:val="auto"/>
              </w:rPr>
            </w:pPr>
            <w:r>
              <w:rPr>
                <w:rFonts w:ascii="Arial" w:cs="Arial" w:eastAsia="Arial" w:hAnsi="Arial"/>
                <w:sz w:val="14"/>
                <w:szCs w:val="14"/>
                <w:color w:val="auto"/>
              </w:rPr>
              <w:t>Repurchases of common stock</w:t>
            </w:r>
          </w:p>
        </w:tc>
        <w:tc>
          <w:tcPr>
            <w:tcW w:w="160" w:type="dxa"/>
            <w:vAlign w:val="bottom"/>
          </w:tcPr>
          <w:p>
            <w:pPr>
              <w:spacing w:after="0"/>
              <w:rPr>
                <w:sz w:val="17"/>
                <w:szCs w:val="17"/>
                <w:color w:val="auto"/>
              </w:rPr>
            </w:pPr>
          </w:p>
        </w:tc>
        <w:tc>
          <w:tcPr>
            <w:tcW w:w="800" w:type="dxa"/>
            <w:vAlign w:val="bottom"/>
            <w:tcBorders>
              <w:right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(20)</w:t>
            </w: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(20)</w:t>
            </w:r>
          </w:p>
        </w:tc>
        <w:tc>
          <w:tcPr>
            <w:tcW w:w="2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4"/>
                <w:szCs w:val="14"/>
                <w:b w:val="1"/>
                <w:bCs w:val="1"/>
                <w:color w:val="auto"/>
              </w:rPr>
              <w:t>(20)</w:t>
            </w:r>
          </w:p>
        </w:tc>
      </w:tr>
      <w:tr>
        <w:trPr>
          <w:trHeight w:val="204"/>
        </w:trPr>
        <w:tc>
          <w:tcPr>
            <w:tcW w:w="3100" w:type="dxa"/>
            <w:vAlign w:val="bottom"/>
            <w:shd w:val="clear" w:color="auto" w:fill="D4F1F5"/>
          </w:tcPr>
          <w:p>
            <w:pPr>
              <w:ind w:left="20"/>
              <w:spacing w:after="0"/>
              <w:rPr>
                <w:sz w:val="20"/>
                <w:szCs w:val="20"/>
                <w:color w:val="auto"/>
              </w:rPr>
            </w:pPr>
            <w:r>
              <w:rPr>
                <w:rFonts w:ascii="Arial" w:cs="Arial" w:eastAsia="Arial" w:hAnsi="Arial"/>
                <w:sz w:val="14"/>
                <w:szCs w:val="14"/>
                <w:color w:val="auto"/>
              </w:rPr>
              <w:t>CRNCI and NCI activities:</w:t>
            </w:r>
          </w:p>
        </w:tc>
        <w:tc>
          <w:tcPr>
            <w:tcW w:w="160" w:type="dxa"/>
            <w:vAlign w:val="bottom"/>
            <w:shd w:val="clear" w:color="auto" w:fill="D4F1F5"/>
          </w:tcPr>
          <w:p>
            <w:pPr>
              <w:spacing w:after="0"/>
              <w:rPr>
                <w:sz w:val="17"/>
                <w:szCs w:val="17"/>
                <w:color w:val="auto"/>
              </w:rPr>
            </w:pPr>
          </w:p>
        </w:tc>
        <w:tc>
          <w:tcPr>
            <w:tcW w:w="800" w:type="dxa"/>
            <w:vAlign w:val="bottom"/>
            <w:tcBorders>
              <w:right w:val="single" w:sz="8" w:color="auto"/>
            </w:tcBorders>
            <w:shd w:val="clear" w:color="auto" w:fill="D4F1F5"/>
          </w:tcPr>
          <w:p>
            <w:pPr>
              <w:spacing w:after="0"/>
              <w:rPr>
                <w:sz w:val="17"/>
                <w:szCs w:val="17"/>
                <w:color w:val="auto"/>
              </w:rPr>
            </w:pPr>
          </w:p>
        </w:tc>
        <w:tc>
          <w:tcPr>
            <w:tcW w:w="180" w:type="dxa"/>
            <w:vAlign w:val="bottom"/>
            <w:shd w:val="clear" w:color="auto" w:fill="D4F1F5"/>
          </w:tcPr>
          <w:p>
            <w:pPr>
              <w:spacing w:after="0"/>
              <w:rPr>
                <w:sz w:val="17"/>
                <w:szCs w:val="17"/>
                <w:color w:val="auto"/>
              </w:rPr>
            </w:pPr>
          </w:p>
        </w:tc>
        <w:tc>
          <w:tcPr>
            <w:tcW w:w="840" w:type="dxa"/>
            <w:vAlign w:val="bottom"/>
            <w:shd w:val="clear" w:color="auto" w:fill="D4F1F5"/>
          </w:tcPr>
          <w:p>
            <w:pPr>
              <w:spacing w:after="0"/>
              <w:rPr>
                <w:sz w:val="17"/>
                <w:szCs w:val="17"/>
                <w:color w:val="auto"/>
              </w:rPr>
            </w:pPr>
          </w:p>
        </w:tc>
        <w:tc>
          <w:tcPr>
            <w:tcW w:w="180" w:type="dxa"/>
            <w:vAlign w:val="bottom"/>
            <w:shd w:val="clear" w:color="auto" w:fill="D4F1F5"/>
          </w:tcPr>
          <w:p>
            <w:pPr>
              <w:spacing w:after="0"/>
              <w:rPr>
                <w:sz w:val="17"/>
                <w:szCs w:val="17"/>
                <w:color w:val="auto"/>
              </w:rPr>
            </w:pPr>
          </w:p>
        </w:tc>
        <w:tc>
          <w:tcPr>
            <w:tcW w:w="860" w:type="dxa"/>
            <w:vAlign w:val="bottom"/>
            <w:shd w:val="clear" w:color="auto" w:fill="D4F1F5"/>
          </w:tcPr>
          <w:p>
            <w:pPr>
              <w:spacing w:after="0"/>
              <w:rPr>
                <w:sz w:val="17"/>
                <w:szCs w:val="17"/>
                <w:color w:val="auto"/>
              </w:rPr>
            </w:pPr>
          </w:p>
        </w:tc>
        <w:tc>
          <w:tcPr>
            <w:tcW w:w="180" w:type="dxa"/>
            <w:vAlign w:val="bottom"/>
            <w:shd w:val="clear" w:color="auto" w:fill="D4F1F5"/>
          </w:tcPr>
          <w:p>
            <w:pPr>
              <w:spacing w:after="0"/>
              <w:rPr>
                <w:sz w:val="17"/>
                <w:szCs w:val="17"/>
                <w:color w:val="auto"/>
              </w:rPr>
            </w:pPr>
          </w:p>
        </w:tc>
        <w:tc>
          <w:tcPr>
            <w:tcW w:w="840" w:type="dxa"/>
            <w:vAlign w:val="bottom"/>
            <w:shd w:val="clear" w:color="auto" w:fill="D4F1F5"/>
          </w:tcPr>
          <w:p>
            <w:pPr>
              <w:spacing w:after="0"/>
              <w:rPr>
                <w:sz w:val="17"/>
                <w:szCs w:val="17"/>
                <w:color w:val="auto"/>
              </w:rPr>
            </w:pPr>
          </w:p>
        </w:tc>
        <w:tc>
          <w:tcPr>
            <w:tcW w:w="240" w:type="dxa"/>
            <w:vAlign w:val="bottom"/>
            <w:shd w:val="clear" w:color="auto" w:fill="D4F1F5"/>
          </w:tcPr>
          <w:p>
            <w:pPr>
              <w:spacing w:after="0"/>
              <w:rPr>
                <w:sz w:val="17"/>
                <w:szCs w:val="17"/>
                <w:color w:val="auto"/>
              </w:rPr>
            </w:pPr>
          </w:p>
        </w:tc>
        <w:tc>
          <w:tcPr>
            <w:tcW w:w="780" w:type="dxa"/>
            <w:vAlign w:val="bottom"/>
            <w:shd w:val="clear" w:color="auto" w:fill="D4F1F5"/>
          </w:tcPr>
          <w:p>
            <w:pPr>
              <w:spacing w:after="0"/>
              <w:rPr>
                <w:sz w:val="17"/>
                <w:szCs w:val="17"/>
                <w:color w:val="auto"/>
              </w:rPr>
            </w:pPr>
          </w:p>
        </w:tc>
        <w:tc>
          <w:tcPr>
            <w:tcW w:w="240" w:type="dxa"/>
            <w:vAlign w:val="bottom"/>
            <w:shd w:val="clear" w:color="auto" w:fill="D4F1F5"/>
          </w:tcPr>
          <w:p>
            <w:pPr>
              <w:spacing w:after="0"/>
              <w:rPr>
                <w:sz w:val="17"/>
                <w:szCs w:val="17"/>
                <w:color w:val="auto"/>
              </w:rPr>
            </w:pPr>
          </w:p>
        </w:tc>
        <w:tc>
          <w:tcPr>
            <w:tcW w:w="820" w:type="dxa"/>
            <w:vAlign w:val="bottom"/>
            <w:shd w:val="clear" w:color="auto" w:fill="D4F1F5"/>
          </w:tcPr>
          <w:p>
            <w:pPr>
              <w:spacing w:after="0"/>
              <w:rPr>
                <w:sz w:val="17"/>
                <w:szCs w:val="17"/>
                <w:color w:val="auto"/>
              </w:rPr>
            </w:pPr>
          </w:p>
        </w:tc>
        <w:tc>
          <w:tcPr>
            <w:tcW w:w="280" w:type="dxa"/>
            <w:vAlign w:val="bottom"/>
            <w:shd w:val="clear" w:color="auto" w:fill="D4F1F5"/>
          </w:tcPr>
          <w:p>
            <w:pPr>
              <w:spacing w:after="0"/>
              <w:rPr>
                <w:sz w:val="17"/>
                <w:szCs w:val="17"/>
                <w:color w:val="auto"/>
              </w:rPr>
            </w:pPr>
          </w:p>
        </w:tc>
        <w:tc>
          <w:tcPr>
            <w:tcW w:w="760" w:type="dxa"/>
            <w:vAlign w:val="bottom"/>
            <w:shd w:val="clear" w:color="auto" w:fill="D4F1F5"/>
          </w:tcPr>
          <w:p>
            <w:pPr>
              <w:spacing w:after="0"/>
              <w:rPr>
                <w:sz w:val="17"/>
                <w:szCs w:val="17"/>
                <w:color w:val="auto"/>
              </w:rPr>
            </w:pPr>
          </w:p>
        </w:tc>
        <w:tc>
          <w:tcPr>
            <w:tcW w:w="220" w:type="dxa"/>
            <w:vAlign w:val="bottom"/>
            <w:shd w:val="clear" w:color="auto" w:fill="D4F1F5"/>
          </w:tcPr>
          <w:p>
            <w:pPr>
              <w:spacing w:after="0"/>
              <w:rPr>
                <w:sz w:val="17"/>
                <w:szCs w:val="17"/>
                <w:color w:val="auto"/>
              </w:rPr>
            </w:pPr>
          </w:p>
        </w:tc>
        <w:tc>
          <w:tcPr>
            <w:tcW w:w="760" w:type="dxa"/>
            <w:vAlign w:val="bottom"/>
            <w:shd w:val="clear" w:color="auto" w:fill="D4F1F5"/>
          </w:tcPr>
          <w:p>
            <w:pPr>
              <w:spacing w:after="0"/>
              <w:rPr>
                <w:sz w:val="17"/>
                <w:szCs w:val="17"/>
                <w:color w:val="auto"/>
              </w:rPr>
            </w:pPr>
          </w:p>
        </w:tc>
      </w:tr>
      <w:tr>
        <w:trPr>
          <w:trHeight w:val="201"/>
        </w:trPr>
        <w:tc>
          <w:tcPr>
            <w:tcW w:w="3100" w:type="dxa"/>
            <w:vAlign w:val="bottom"/>
          </w:tcPr>
          <w:p>
            <w:pPr>
              <w:ind w:left="220"/>
              <w:spacing w:after="0"/>
              <w:rPr>
                <w:sz w:val="20"/>
                <w:szCs w:val="20"/>
                <w:color w:val="auto"/>
              </w:rPr>
            </w:pPr>
            <w:r>
              <w:rPr>
                <w:rFonts w:ascii="Arial" w:cs="Arial" w:eastAsia="Arial" w:hAnsi="Arial"/>
                <w:sz w:val="14"/>
                <w:szCs w:val="14"/>
                <w:color w:val="auto"/>
              </w:rPr>
              <w:t>Allocation of interests</w:t>
            </w:r>
          </w:p>
        </w:tc>
        <w:tc>
          <w:tcPr>
            <w:tcW w:w="160" w:type="dxa"/>
            <w:vAlign w:val="bottom"/>
          </w:tcPr>
          <w:p>
            <w:pPr>
              <w:spacing w:after="0"/>
              <w:rPr>
                <w:sz w:val="17"/>
                <w:szCs w:val="17"/>
                <w:color w:val="auto"/>
              </w:rPr>
            </w:pPr>
          </w:p>
        </w:tc>
        <w:tc>
          <w:tcPr>
            <w:tcW w:w="800" w:type="dxa"/>
            <w:vAlign w:val="bottom"/>
            <w:tcBorders>
              <w:right w:val="single" w:sz="8" w:color="auto"/>
            </w:tcBorders>
          </w:tcPr>
          <w:p>
            <w:pPr>
              <w:jc w:val="right"/>
              <w:ind w:right="28"/>
              <w:spacing w:after="0"/>
              <w:rPr>
                <w:sz w:val="20"/>
                <w:szCs w:val="20"/>
                <w:color w:val="auto"/>
              </w:rPr>
            </w:pPr>
            <w:r>
              <w:rPr>
                <w:rFonts w:ascii="Arial" w:cs="Arial" w:eastAsia="Arial" w:hAnsi="Arial"/>
                <w:sz w:val="14"/>
                <w:szCs w:val="14"/>
                <w:color w:val="auto"/>
              </w:rPr>
              <w:t>42</w:t>
            </w: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6</w:t>
            </w: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b w:val="1"/>
                <w:bCs w:val="1"/>
                <w:color w:val="auto"/>
              </w:rPr>
              <w:t>6</w:t>
            </w:r>
          </w:p>
        </w:tc>
        <w:tc>
          <w:tcPr>
            <w:tcW w:w="280" w:type="dxa"/>
            <w:vAlign w:val="bottom"/>
          </w:tcPr>
          <w:p>
            <w:pPr>
              <w:spacing w:after="0"/>
              <w:rPr>
                <w:sz w:val="17"/>
                <w:szCs w:val="17"/>
                <w:color w:val="auto"/>
              </w:rPr>
            </w:pPr>
          </w:p>
        </w:tc>
        <w:tc>
          <w:tcPr>
            <w:tcW w:w="760" w:type="dxa"/>
            <w:vAlign w:val="bottom"/>
          </w:tcPr>
          <w:p>
            <w:pPr>
              <w:jc w:val="right"/>
              <w:ind w:right="8"/>
              <w:spacing w:after="0"/>
              <w:rPr>
                <w:sz w:val="20"/>
                <w:szCs w:val="20"/>
                <w:color w:val="auto"/>
              </w:rPr>
            </w:pPr>
            <w:r>
              <w:rPr>
                <w:rFonts w:ascii="Arial" w:cs="Arial" w:eastAsia="Arial" w:hAnsi="Arial"/>
                <w:sz w:val="14"/>
                <w:szCs w:val="14"/>
                <w:color w:val="auto"/>
              </w:rPr>
              <w:t>(48)</w:t>
            </w:r>
          </w:p>
        </w:tc>
        <w:tc>
          <w:tcPr>
            <w:tcW w:w="2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4"/>
                <w:szCs w:val="14"/>
                <w:b w:val="1"/>
                <w:bCs w:val="1"/>
                <w:color w:val="auto"/>
              </w:rPr>
              <w:t>(42)</w:t>
            </w:r>
          </w:p>
        </w:tc>
      </w:tr>
      <w:tr>
        <w:trPr>
          <w:trHeight w:val="204"/>
        </w:trPr>
        <w:tc>
          <w:tcPr>
            <w:tcW w:w="3100" w:type="dxa"/>
            <w:vAlign w:val="bottom"/>
            <w:shd w:val="clear" w:color="auto" w:fill="D4F1F5"/>
          </w:tcPr>
          <w:p>
            <w:pPr>
              <w:ind w:left="220"/>
              <w:spacing w:after="0"/>
              <w:rPr>
                <w:sz w:val="20"/>
                <w:szCs w:val="20"/>
                <w:color w:val="auto"/>
              </w:rPr>
            </w:pPr>
            <w:r>
              <w:rPr>
                <w:rFonts w:ascii="Arial" w:cs="Arial" w:eastAsia="Arial" w:hAnsi="Arial"/>
                <w:sz w:val="14"/>
                <w:szCs w:val="14"/>
                <w:color w:val="auto"/>
              </w:rPr>
              <w:t>Contributions from NCI</w:t>
            </w:r>
          </w:p>
        </w:tc>
        <w:tc>
          <w:tcPr>
            <w:tcW w:w="160" w:type="dxa"/>
            <w:vAlign w:val="bottom"/>
            <w:shd w:val="clear" w:color="auto" w:fill="D4F1F5"/>
          </w:tcPr>
          <w:p>
            <w:pPr>
              <w:spacing w:after="0"/>
              <w:rPr>
                <w:sz w:val="17"/>
                <w:szCs w:val="17"/>
                <w:color w:val="auto"/>
              </w:rPr>
            </w:pPr>
          </w:p>
        </w:tc>
        <w:tc>
          <w:tcPr>
            <w:tcW w:w="800" w:type="dxa"/>
            <w:vAlign w:val="bottom"/>
            <w:tcBorders>
              <w:right w:val="single" w:sz="8" w:color="auto"/>
            </w:tcBorders>
            <w:shd w:val="clear" w:color="auto" w:fill="D4F1F5"/>
          </w:tcPr>
          <w:p>
            <w:pPr>
              <w:spacing w:after="0"/>
              <w:rPr>
                <w:sz w:val="17"/>
                <w:szCs w:val="17"/>
                <w:color w:val="auto"/>
              </w:rPr>
            </w:pPr>
          </w:p>
        </w:tc>
        <w:tc>
          <w:tcPr>
            <w:tcW w:w="180" w:type="dxa"/>
            <w:vAlign w:val="bottom"/>
            <w:shd w:val="clear" w:color="auto" w:fill="D4F1F5"/>
          </w:tcPr>
          <w:p>
            <w:pPr>
              <w:spacing w:after="0"/>
              <w:rPr>
                <w:sz w:val="17"/>
                <w:szCs w:val="17"/>
                <w:color w:val="auto"/>
              </w:rPr>
            </w:pPr>
          </w:p>
        </w:tc>
        <w:tc>
          <w:tcPr>
            <w:tcW w:w="840" w:type="dxa"/>
            <w:vAlign w:val="bottom"/>
            <w:shd w:val="clear" w:color="auto" w:fill="D4F1F5"/>
          </w:tcPr>
          <w:p>
            <w:pPr>
              <w:spacing w:after="0"/>
              <w:rPr>
                <w:sz w:val="17"/>
                <w:szCs w:val="17"/>
                <w:color w:val="auto"/>
              </w:rPr>
            </w:pPr>
          </w:p>
        </w:tc>
        <w:tc>
          <w:tcPr>
            <w:tcW w:w="180" w:type="dxa"/>
            <w:vAlign w:val="bottom"/>
            <w:shd w:val="clear" w:color="auto" w:fill="D4F1F5"/>
          </w:tcPr>
          <w:p>
            <w:pPr>
              <w:spacing w:after="0"/>
              <w:rPr>
                <w:sz w:val="17"/>
                <w:szCs w:val="17"/>
                <w:color w:val="auto"/>
              </w:rPr>
            </w:pPr>
          </w:p>
        </w:tc>
        <w:tc>
          <w:tcPr>
            <w:tcW w:w="860" w:type="dxa"/>
            <w:vAlign w:val="bottom"/>
            <w:shd w:val="clear" w:color="auto" w:fill="D4F1F5"/>
          </w:tcPr>
          <w:p>
            <w:pPr>
              <w:spacing w:after="0"/>
              <w:rPr>
                <w:sz w:val="17"/>
                <w:szCs w:val="17"/>
                <w:color w:val="auto"/>
              </w:rPr>
            </w:pPr>
          </w:p>
        </w:tc>
        <w:tc>
          <w:tcPr>
            <w:tcW w:w="180" w:type="dxa"/>
            <w:vAlign w:val="bottom"/>
            <w:shd w:val="clear" w:color="auto" w:fill="D4F1F5"/>
          </w:tcPr>
          <w:p>
            <w:pPr>
              <w:spacing w:after="0"/>
              <w:rPr>
                <w:sz w:val="17"/>
                <w:szCs w:val="17"/>
                <w:color w:val="auto"/>
              </w:rPr>
            </w:pPr>
          </w:p>
        </w:tc>
        <w:tc>
          <w:tcPr>
            <w:tcW w:w="840" w:type="dxa"/>
            <w:vAlign w:val="bottom"/>
            <w:shd w:val="clear" w:color="auto" w:fill="D4F1F5"/>
          </w:tcPr>
          <w:p>
            <w:pPr>
              <w:spacing w:after="0"/>
              <w:rPr>
                <w:sz w:val="17"/>
                <w:szCs w:val="17"/>
                <w:color w:val="auto"/>
              </w:rPr>
            </w:pPr>
          </w:p>
        </w:tc>
        <w:tc>
          <w:tcPr>
            <w:tcW w:w="240" w:type="dxa"/>
            <w:vAlign w:val="bottom"/>
            <w:shd w:val="clear" w:color="auto" w:fill="D4F1F5"/>
          </w:tcPr>
          <w:p>
            <w:pPr>
              <w:spacing w:after="0"/>
              <w:rPr>
                <w:sz w:val="17"/>
                <w:szCs w:val="17"/>
                <w:color w:val="auto"/>
              </w:rPr>
            </w:pPr>
          </w:p>
        </w:tc>
        <w:tc>
          <w:tcPr>
            <w:tcW w:w="780" w:type="dxa"/>
            <w:vAlign w:val="bottom"/>
            <w:shd w:val="clear" w:color="auto" w:fill="D4F1F5"/>
          </w:tcPr>
          <w:p>
            <w:pPr>
              <w:spacing w:after="0"/>
              <w:rPr>
                <w:sz w:val="17"/>
                <w:szCs w:val="17"/>
                <w:color w:val="auto"/>
              </w:rPr>
            </w:pPr>
          </w:p>
        </w:tc>
        <w:tc>
          <w:tcPr>
            <w:tcW w:w="240" w:type="dxa"/>
            <w:vAlign w:val="bottom"/>
            <w:shd w:val="clear" w:color="auto" w:fill="D4F1F5"/>
          </w:tcPr>
          <w:p>
            <w:pPr>
              <w:spacing w:after="0"/>
              <w:rPr>
                <w:sz w:val="17"/>
                <w:szCs w:val="17"/>
                <w:color w:val="auto"/>
              </w:rPr>
            </w:pPr>
          </w:p>
        </w:tc>
        <w:tc>
          <w:tcPr>
            <w:tcW w:w="820" w:type="dxa"/>
            <w:vAlign w:val="bottom"/>
            <w:shd w:val="clear" w:color="auto" w:fill="D4F1F5"/>
          </w:tcPr>
          <w:p>
            <w:pPr>
              <w:spacing w:after="0"/>
              <w:rPr>
                <w:sz w:val="17"/>
                <w:szCs w:val="17"/>
                <w:color w:val="auto"/>
              </w:rPr>
            </w:pPr>
          </w:p>
        </w:tc>
        <w:tc>
          <w:tcPr>
            <w:tcW w:w="280" w:type="dxa"/>
            <w:vAlign w:val="bottom"/>
            <w:shd w:val="clear" w:color="auto" w:fill="D4F1F5"/>
          </w:tcPr>
          <w:p>
            <w:pPr>
              <w:spacing w:after="0"/>
              <w:rPr>
                <w:sz w:val="17"/>
                <w:szCs w:val="17"/>
                <w:color w:val="auto"/>
              </w:rPr>
            </w:pPr>
          </w:p>
        </w:tc>
        <w:tc>
          <w:tcPr>
            <w:tcW w:w="760" w:type="dxa"/>
            <w:vAlign w:val="bottom"/>
            <w:shd w:val="clear" w:color="auto" w:fill="D4F1F5"/>
          </w:tcPr>
          <w:p>
            <w:pPr>
              <w:jc w:val="right"/>
              <w:ind w:right="48"/>
              <w:spacing w:after="0"/>
              <w:rPr>
                <w:sz w:val="20"/>
                <w:szCs w:val="20"/>
                <w:color w:val="auto"/>
              </w:rPr>
            </w:pPr>
            <w:r>
              <w:rPr>
                <w:rFonts w:ascii="Arial" w:cs="Arial" w:eastAsia="Arial" w:hAnsi="Arial"/>
                <w:sz w:val="14"/>
                <w:szCs w:val="14"/>
                <w:color w:val="auto"/>
              </w:rPr>
              <w:t>41</w:t>
            </w:r>
          </w:p>
        </w:tc>
        <w:tc>
          <w:tcPr>
            <w:tcW w:w="220" w:type="dxa"/>
            <w:vAlign w:val="bottom"/>
            <w:shd w:val="clear" w:color="auto" w:fill="D4F1F5"/>
          </w:tcPr>
          <w:p>
            <w:pPr>
              <w:spacing w:after="0"/>
              <w:rPr>
                <w:sz w:val="17"/>
                <w:szCs w:val="17"/>
                <w:color w:val="auto"/>
              </w:rPr>
            </w:pPr>
          </w:p>
        </w:tc>
        <w:tc>
          <w:tcPr>
            <w:tcW w:w="760" w:type="dxa"/>
            <w:vAlign w:val="bottom"/>
            <w:shd w:val="clear" w:color="auto" w:fill="D4F1F5"/>
          </w:tcPr>
          <w:p>
            <w:pPr>
              <w:jc w:val="right"/>
              <w:spacing w:after="0"/>
              <w:rPr>
                <w:sz w:val="20"/>
                <w:szCs w:val="20"/>
                <w:color w:val="auto"/>
              </w:rPr>
            </w:pPr>
            <w:r>
              <w:rPr>
                <w:rFonts w:ascii="Arial" w:cs="Arial" w:eastAsia="Arial" w:hAnsi="Arial"/>
                <w:sz w:val="14"/>
                <w:szCs w:val="14"/>
                <w:b w:val="1"/>
                <w:bCs w:val="1"/>
                <w:color w:val="auto"/>
              </w:rPr>
              <w:t>41</w:t>
            </w:r>
          </w:p>
        </w:tc>
      </w:tr>
      <w:tr>
        <w:trPr>
          <w:trHeight w:val="201"/>
        </w:trPr>
        <w:tc>
          <w:tcPr>
            <w:tcW w:w="3100" w:type="dxa"/>
            <w:vAlign w:val="bottom"/>
            <w:tcBorders>
              <w:bottom w:val="single" w:sz="8" w:color="D4F1F5"/>
            </w:tcBorders>
          </w:tcPr>
          <w:p>
            <w:pPr>
              <w:ind w:left="220"/>
              <w:spacing w:after="0"/>
              <w:rPr>
                <w:sz w:val="20"/>
                <w:szCs w:val="20"/>
                <w:color w:val="auto"/>
              </w:rPr>
            </w:pPr>
            <w:r>
              <w:rPr>
                <w:rFonts w:ascii="Arial" w:cs="Arial" w:eastAsia="Arial" w:hAnsi="Arial"/>
                <w:sz w:val="14"/>
                <w:szCs w:val="14"/>
                <w:color w:val="auto"/>
              </w:rPr>
              <w:t>Distributions to NCI</w:t>
            </w:r>
          </w:p>
        </w:tc>
        <w:tc>
          <w:tcPr>
            <w:tcW w:w="160" w:type="dxa"/>
            <w:vAlign w:val="bottom"/>
            <w:tcBorders>
              <w:bottom w:val="single" w:sz="8" w:color="auto"/>
            </w:tcBorders>
          </w:tcPr>
          <w:p>
            <w:pPr>
              <w:spacing w:after="0"/>
              <w:rPr>
                <w:sz w:val="17"/>
                <w:szCs w:val="17"/>
                <w:color w:val="auto"/>
              </w:rPr>
            </w:pPr>
          </w:p>
        </w:tc>
        <w:tc>
          <w:tcPr>
            <w:tcW w:w="800" w:type="dxa"/>
            <w:vAlign w:val="bottom"/>
            <w:tcBorders>
              <w:bottom w:val="single" w:sz="8" w:color="auto"/>
              <w:right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(65)</w:t>
            </w:r>
          </w:p>
        </w:tc>
        <w:tc>
          <w:tcPr>
            <w:tcW w:w="2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(65)</w:t>
            </w:r>
          </w:p>
        </w:tc>
      </w:tr>
      <w:tr>
        <w:trPr>
          <w:trHeight w:val="204"/>
        </w:trPr>
        <w:tc>
          <w:tcPr>
            <w:tcW w:w="3100" w:type="dxa"/>
            <w:vAlign w:val="bottom"/>
            <w:tcBorders>
              <w:bottom w:val="single" w:sz="8" w:color="auto"/>
            </w:tcBorders>
            <w:shd w:val="clear" w:color="auto" w:fill="D4F1F5"/>
          </w:tcPr>
          <w:p>
            <w:pPr>
              <w:ind w:left="20"/>
              <w:spacing w:after="0"/>
              <w:rPr>
                <w:sz w:val="20"/>
                <w:szCs w:val="20"/>
                <w:color w:val="auto"/>
              </w:rPr>
            </w:pPr>
            <w:r>
              <w:rPr>
                <w:rFonts w:ascii="Arial" w:cs="Arial" w:eastAsia="Arial" w:hAnsi="Arial"/>
                <w:sz w:val="14"/>
                <w:szCs w:val="14"/>
                <w:b w:val="1"/>
                <w:bCs w:val="1"/>
                <w:color w:val="auto"/>
              </w:rPr>
              <w:t>Balance at March 31, 2026</w:t>
            </w:r>
          </w:p>
        </w:tc>
        <w:tc>
          <w:tcPr>
            <w:tcW w:w="160" w:type="dxa"/>
            <w:vAlign w:val="bottom"/>
            <w:tcBorders>
              <w:bottom w:val="single" w:sz="8" w:color="auto"/>
            </w:tcBorders>
            <w:shd w:val="clear" w:color="auto" w:fill="D4F1F5"/>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right w:val="single" w:sz="8" w:color="auto"/>
            </w:tcBorders>
            <w:shd w:val="clear" w:color="auto" w:fill="D4F1F5"/>
          </w:tcPr>
          <w:p>
            <w:pPr>
              <w:jc w:val="right"/>
              <w:ind w:right="28"/>
              <w:spacing w:after="0"/>
              <w:rPr>
                <w:sz w:val="20"/>
                <w:szCs w:val="20"/>
                <w:color w:val="auto"/>
              </w:rPr>
            </w:pPr>
            <w:r>
              <w:rPr>
                <w:rFonts w:ascii="Arial" w:cs="Arial" w:eastAsia="Arial" w:hAnsi="Arial"/>
                <w:sz w:val="14"/>
                <w:szCs w:val="14"/>
                <w:color w:val="auto"/>
              </w:rPr>
              <w:t>3,254</w:t>
            </w:r>
          </w:p>
        </w:tc>
        <w:tc>
          <w:tcPr>
            <w:tcW w:w="180" w:type="dxa"/>
            <w:vAlign w:val="bottom"/>
            <w:tcBorders>
              <w:bottom w:val="single" w:sz="8" w:color="auto"/>
            </w:tcBorders>
            <w:shd w:val="clear" w:color="auto" w:fill="D4F1F5"/>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shd w:val="clear" w:color="auto" w:fill="D4F1F5"/>
          </w:tcPr>
          <w:p>
            <w:pPr>
              <w:jc w:val="right"/>
              <w:ind w:right="8"/>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auto"/>
            </w:tcBorders>
            <w:shd w:val="clear" w:color="auto" w:fill="D4F1F5"/>
          </w:tcPr>
          <w:p>
            <w:pPr>
              <w:jc w:val="right"/>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shd w:val="clear" w:color="auto" w:fill="D4F1F5"/>
          </w:tcPr>
          <w:p>
            <w:pPr>
              <w:jc w:val="right"/>
              <w:ind w:right="28"/>
              <w:spacing w:after="0"/>
              <w:rPr>
                <w:sz w:val="20"/>
                <w:szCs w:val="20"/>
                <w:color w:val="auto"/>
              </w:rPr>
            </w:pPr>
            <w:r>
              <w:rPr>
                <w:rFonts w:ascii="Arial" w:cs="Arial" w:eastAsia="Arial" w:hAnsi="Arial"/>
                <w:sz w:val="14"/>
                <w:szCs w:val="14"/>
                <w:color w:val="auto"/>
              </w:rPr>
              <w:t>14,731</w:t>
            </w:r>
          </w:p>
        </w:tc>
        <w:tc>
          <w:tcPr>
            <w:tcW w:w="180" w:type="dxa"/>
            <w:vAlign w:val="bottom"/>
            <w:tcBorders>
              <w:bottom w:val="single" w:sz="8" w:color="auto"/>
            </w:tcBorders>
            <w:shd w:val="clear" w:color="auto" w:fill="D4F1F5"/>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shd w:val="clear" w:color="auto" w:fill="D4F1F5"/>
          </w:tcPr>
          <w:p>
            <w:pPr>
              <w:jc w:val="right"/>
              <w:ind w:right="28"/>
              <w:spacing w:after="0"/>
              <w:rPr>
                <w:sz w:val="20"/>
                <w:szCs w:val="20"/>
                <w:color w:val="auto"/>
              </w:rPr>
            </w:pPr>
            <w:r>
              <w:rPr>
                <w:rFonts w:ascii="Arial" w:cs="Arial" w:eastAsia="Arial" w:hAnsi="Arial"/>
                <w:sz w:val="14"/>
                <w:szCs w:val="14"/>
                <w:color w:val="auto"/>
              </w:rPr>
              <w:t>17,699</w:t>
            </w:r>
          </w:p>
        </w:tc>
        <w:tc>
          <w:tcPr>
            <w:tcW w:w="240" w:type="dxa"/>
            <w:vAlign w:val="bottom"/>
            <w:tcBorders>
              <w:bottom w:val="single" w:sz="8" w:color="auto"/>
            </w:tcBorders>
            <w:shd w:val="clear" w:color="auto" w:fill="D4F1F5"/>
          </w:tcPr>
          <w:p>
            <w:pPr>
              <w:jc w:val="right"/>
              <w:ind w:right="28"/>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shd w:val="clear" w:color="auto" w:fill="D4F1F5"/>
          </w:tcPr>
          <w:p>
            <w:pPr>
              <w:jc w:val="right"/>
              <w:spacing w:after="0"/>
              <w:rPr>
                <w:sz w:val="20"/>
                <w:szCs w:val="20"/>
                <w:color w:val="auto"/>
              </w:rPr>
            </w:pPr>
            <w:r>
              <w:rPr>
                <w:rFonts w:ascii="Arial" w:cs="Arial" w:eastAsia="Arial" w:hAnsi="Arial"/>
                <w:sz w:val="14"/>
                <w:szCs w:val="14"/>
                <w:color w:val="auto"/>
              </w:rPr>
              <w:t>(191)</w:t>
            </w:r>
          </w:p>
        </w:tc>
        <w:tc>
          <w:tcPr>
            <w:tcW w:w="240" w:type="dxa"/>
            <w:vAlign w:val="bottom"/>
            <w:tcBorders>
              <w:bottom w:val="single" w:sz="8" w:color="auto"/>
            </w:tcBorders>
            <w:shd w:val="clear" w:color="auto" w:fill="D4F1F5"/>
          </w:tcPr>
          <w:p>
            <w:pPr>
              <w:ind w:left="60"/>
              <w:spacing w:after="0"/>
              <w:rPr>
                <w:sz w:val="20"/>
                <w:szCs w:val="20"/>
                <w:color w:val="auto"/>
              </w:rPr>
            </w:pPr>
            <w:r>
              <w:rPr>
                <w:rFonts w:ascii="Arial" w:cs="Arial" w:eastAsia="Arial" w:hAnsi="Arial"/>
                <w:sz w:val="14"/>
                <w:szCs w:val="14"/>
                <w:b w:val="1"/>
                <w:bCs w:val="1"/>
                <w:color w:val="auto"/>
              </w:rPr>
              <w:t>$</w:t>
            </w:r>
          </w:p>
        </w:tc>
        <w:tc>
          <w:tcPr>
            <w:tcW w:w="820" w:type="dxa"/>
            <w:vAlign w:val="bottom"/>
            <w:tcBorders>
              <w:bottom w:val="single" w:sz="8" w:color="auto"/>
            </w:tcBorders>
            <w:shd w:val="clear" w:color="auto" w:fill="D4F1F5"/>
          </w:tcPr>
          <w:p>
            <w:pPr>
              <w:jc w:val="right"/>
              <w:ind w:right="28"/>
              <w:spacing w:after="0"/>
              <w:rPr>
                <w:sz w:val="20"/>
                <w:szCs w:val="20"/>
                <w:color w:val="auto"/>
              </w:rPr>
            </w:pPr>
            <w:r>
              <w:rPr>
                <w:rFonts w:ascii="Arial" w:cs="Arial" w:eastAsia="Arial" w:hAnsi="Arial"/>
                <w:sz w:val="14"/>
                <w:szCs w:val="14"/>
                <w:b w:val="1"/>
                <w:bCs w:val="1"/>
                <w:color w:val="auto"/>
              </w:rPr>
              <w:t>32,239</w:t>
            </w:r>
          </w:p>
        </w:tc>
        <w:tc>
          <w:tcPr>
            <w:tcW w:w="280" w:type="dxa"/>
            <w:vAlign w:val="bottom"/>
            <w:tcBorders>
              <w:bottom w:val="single" w:sz="8" w:color="auto"/>
            </w:tcBorders>
            <w:shd w:val="clear" w:color="auto" w:fill="D4F1F5"/>
          </w:tcPr>
          <w:p>
            <w:pPr>
              <w:jc w:val="right"/>
              <w:ind w:right="68"/>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shd w:val="clear" w:color="auto" w:fill="D4F1F5"/>
          </w:tcPr>
          <w:p>
            <w:pPr>
              <w:jc w:val="right"/>
              <w:ind w:right="48"/>
              <w:spacing w:after="0"/>
              <w:rPr>
                <w:sz w:val="20"/>
                <w:szCs w:val="20"/>
                <w:color w:val="auto"/>
              </w:rPr>
            </w:pPr>
            <w:r>
              <w:rPr>
                <w:rFonts w:ascii="Arial" w:cs="Arial" w:eastAsia="Arial" w:hAnsi="Arial"/>
                <w:sz w:val="14"/>
                <w:szCs w:val="14"/>
                <w:color w:val="auto"/>
              </w:rPr>
              <w:t>7,235</w:t>
            </w:r>
          </w:p>
        </w:tc>
        <w:tc>
          <w:tcPr>
            <w:tcW w:w="220" w:type="dxa"/>
            <w:vAlign w:val="bottom"/>
            <w:tcBorders>
              <w:bottom w:val="single" w:sz="8" w:color="auto"/>
            </w:tcBorders>
            <w:shd w:val="clear" w:color="auto" w:fill="D4F1F5"/>
          </w:tcPr>
          <w:p>
            <w:pPr>
              <w:jc w:val="right"/>
              <w:ind w:right="8"/>
              <w:spacing w:after="0"/>
              <w:rPr>
                <w:sz w:val="20"/>
                <w:szCs w:val="20"/>
                <w:color w:val="auto"/>
              </w:rPr>
            </w:pPr>
            <w:r>
              <w:rPr>
                <w:rFonts w:ascii="Arial" w:cs="Arial" w:eastAsia="Arial" w:hAnsi="Arial"/>
                <w:sz w:val="14"/>
                <w:szCs w:val="14"/>
                <w:b w:val="1"/>
                <w:bCs w:val="1"/>
                <w:color w:val="auto"/>
              </w:rPr>
              <w:t>$</w:t>
            </w:r>
          </w:p>
        </w:tc>
        <w:tc>
          <w:tcPr>
            <w:tcW w:w="760" w:type="dxa"/>
            <w:vAlign w:val="bottom"/>
            <w:tcBorders>
              <w:bottom w:val="single" w:sz="8" w:color="auto"/>
            </w:tcBorders>
            <w:shd w:val="clear" w:color="auto" w:fill="D4F1F5"/>
          </w:tcPr>
          <w:p>
            <w:pPr>
              <w:jc w:val="right"/>
              <w:spacing w:after="0"/>
              <w:rPr>
                <w:sz w:val="20"/>
                <w:szCs w:val="20"/>
                <w:color w:val="auto"/>
              </w:rPr>
            </w:pPr>
            <w:r>
              <w:rPr>
                <w:rFonts w:ascii="Arial" w:cs="Arial" w:eastAsia="Arial" w:hAnsi="Arial"/>
                <w:sz w:val="14"/>
                <w:szCs w:val="14"/>
                <w:b w:val="1"/>
                <w:bCs w:val="1"/>
                <w:color w:val="auto"/>
              </w:rPr>
              <w:t>39,474</w:t>
            </w:r>
          </w:p>
        </w:tc>
      </w:tr>
      <w:tr>
        <w:trPr>
          <w:trHeight w:val="415"/>
        </w:trPr>
        <w:tc>
          <w:tcPr>
            <w:tcW w:w="3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3140" w:type="dxa"/>
            <w:vAlign w:val="bottom"/>
            <w:tcBorders>
              <w:bottom w:val="single" w:sz="8" w:color="auto"/>
            </w:tcBorders>
            <w:gridSpan w:val="6"/>
          </w:tcPr>
          <w:p>
            <w:pPr>
              <w:jc w:val="center"/>
              <w:ind w:left="608"/>
              <w:spacing w:after="0"/>
              <w:rPr>
                <w:sz w:val="20"/>
                <w:szCs w:val="20"/>
                <w:color w:val="auto"/>
              </w:rPr>
            </w:pPr>
            <w:r>
              <w:rPr>
                <w:rFonts w:ascii="Arial" w:cs="Arial" w:eastAsia="Arial" w:hAnsi="Arial"/>
                <w:sz w:val="14"/>
                <w:szCs w:val="14"/>
                <w:color w:val="auto"/>
              </w:rPr>
              <w:t>Three months ended March 31, 2025</w:t>
            </w:r>
          </w:p>
        </w:tc>
        <w:tc>
          <w:tcPr>
            <w:tcW w:w="8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r>
      <w:tr>
        <w:trPr>
          <w:trHeight w:val="200"/>
        </w:trPr>
        <w:tc>
          <w:tcPr>
            <w:tcW w:w="3100" w:type="dxa"/>
            <w:vAlign w:val="bottom"/>
            <w:shd w:val="clear" w:color="auto" w:fill="D4F1F5"/>
          </w:tcPr>
          <w:p>
            <w:pPr>
              <w:ind w:left="20"/>
              <w:spacing w:after="0"/>
              <w:rPr>
                <w:sz w:val="20"/>
                <w:szCs w:val="20"/>
                <w:color w:val="auto"/>
              </w:rPr>
            </w:pPr>
            <w:r>
              <w:rPr>
                <w:rFonts w:ascii="Arial" w:cs="Arial" w:eastAsia="Arial" w:hAnsi="Arial"/>
                <w:sz w:val="14"/>
                <w:szCs w:val="14"/>
                <w:b w:val="1"/>
                <w:bCs w:val="1"/>
                <w:color w:val="auto"/>
              </w:rPr>
              <w:t>Balance at December 31, 2024</w:t>
            </w:r>
          </w:p>
        </w:tc>
        <w:tc>
          <w:tcPr>
            <w:tcW w:w="160" w:type="dxa"/>
            <w:vAlign w:val="bottom"/>
            <w:shd w:val="clear" w:color="auto" w:fill="D4F1F5"/>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right w:val="single" w:sz="8" w:color="auto"/>
            </w:tcBorders>
            <w:shd w:val="clear" w:color="auto" w:fill="D4F1F5"/>
          </w:tcPr>
          <w:p>
            <w:pPr>
              <w:jc w:val="right"/>
              <w:ind w:right="28"/>
              <w:spacing w:after="0"/>
              <w:rPr>
                <w:sz w:val="20"/>
                <w:szCs w:val="20"/>
                <w:color w:val="auto"/>
              </w:rPr>
            </w:pPr>
            <w:r>
              <w:rPr>
                <w:rFonts w:ascii="Arial" w:cs="Arial" w:eastAsia="Arial" w:hAnsi="Arial"/>
                <w:sz w:val="14"/>
                <w:szCs w:val="14"/>
                <w:color w:val="auto"/>
              </w:rPr>
              <w:t>—</w:t>
            </w:r>
          </w:p>
        </w:tc>
        <w:tc>
          <w:tcPr>
            <w:tcW w:w="180" w:type="dxa"/>
            <w:vAlign w:val="bottom"/>
            <w:shd w:val="clear" w:color="auto" w:fill="D4F1F5"/>
          </w:tcPr>
          <w:p>
            <w:pPr>
              <w:jc w:val="right"/>
              <w:spacing w:after="0"/>
              <w:rPr>
                <w:sz w:val="20"/>
                <w:szCs w:val="20"/>
                <w:color w:val="auto"/>
              </w:rPr>
            </w:pPr>
            <w:r>
              <w:rPr>
                <w:rFonts w:ascii="Arial" w:cs="Arial" w:eastAsia="Arial" w:hAnsi="Arial"/>
                <w:sz w:val="14"/>
                <w:szCs w:val="14"/>
                <w:color w:val="auto"/>
              </w:rPr>
              <w:t>$</w:t>
            </w:r>
          </w:p>
        </w:tc>
        <w:tc>
          <w:tcPr>
            <w:tcW w:w="840" w:type="dxa"/>
            <w:vAlign w:val="bottom"/>
            <w:shd w:val="clear" w:color="auto" w:fill="D4F1F5"/>
          </w:tcPr>
          <w:p>
            <w:pPr>
              <w:jc w:val="right"/>
              <w:ind w:right="8"/>
              <w:spacing w:after="0"/>
              <w:rPr>
                <w:sz w:val="20"/>
                <w:szCs w:val="20"/>
                <w:color w:val="auto"/>
              </w:rPr>
            </w:pPr>
            <w:r>
              <w:rPr>
                <w:rFonts w:ascii="Arial" w:cs="Arial" w:eastAsia="Arial" w:hAnsi="Arial"/>
                <w:sz w:val="14"/>
                <w:szCs w:val="14"/>
                <w:color w:val="auto"/>
              </w:rPr>
              <w:t>889</w:t>
            </w:r>
          </w:p>
        </w:tc>
        <w:tc>
          <w:tcPr>
            <w:tcW w:w="180" w:type="dxa"/>
            <w:vAlign w:val="bottom"/>
            <w:shd w:val="clear" w:color="auto" w:fill="D4F1F5"/>
          </w:tcPr>
          <w:p>
            <w:pPr>
              <w:jc w:val="right"/>
              <w:spacing w:after="0"/>
              <w:rPr>
                <w:sz w:val="20"/>
                <w:szCs w:val="20"/>
                <w:color w:val="auto"/>
              </w:rPr>
            </w:pPr>
            <w:r>
              <w:rPr>
                <w:rFonts w:ascii="Arial" w:cs="Arial" w:eastAsia="Arial" w:hAnsi="Arial"/>
                <w:sz w:val="14"/>
                <w:szCs w:val="14"/>
                <w:color w:val="auto"/>
              </w:rPr>
              <w:t>$</w:t>
            </w:r>
          </w:p>
        </w:tc>
        <w:tc>
          <w:tcPr>
            <w:tcW w:w="860" w:type="dxa"/>
            <w:vAlign w:val="bottom"/>
            <w:shd w:val="clear" w:color="auto" w:fill="D4F1F5"/>
          </w:tcPr>
          <w:p>
            <w:pPr>
              <w:jc w:val="right"/>
              <w:ind w:right="28"/>
              <w:spacing w:after="0"/>
              <w:rPr>
                <w:sz w:val="20"/>
                <w:szCs w:val="20"/>
                <w:color w:val="auto"/>
              </w:rPr>
            </w:pPr>
            <w:r>
              <w:rPr>
                <w:rFonts w:ascii="Arial" w:cs="Arial" w:eastAsia="Arial" w:hAnsi="Arial"/>
                <w:sz w:val="14"/>
                <w:szCs w:val="14"/>
                <w:color w:val="auto"/>
              </w:rPr>
              <w:t>13,520</w:t>
            </w:r>
          </w:p>
        </w:tc>
        <w:tc>
          <w:tcPr>
            <w:tcW w:w="180" w:type="dxa"/>
            <w:vAlign w:val="bottom"/>
            <w:shd w:val="clear" w:color="auto" w:fill="D4F1F5"/>
          </w:tcPr>
          <w:p>
            <w:pPr>
              <w:jc w:val="right"/>
              <w:spacing w:after="0"/>
              <w:rPr>
                <w:sz w:val="20"/>
                <w:szCs w:val="20"/>
                <w:color w:val="auto"/>
              </w:rPr>
            </w:pPr>
            <w:r>
              <w:rPr>
                <w:rFonts w:ascii="Arial" w:cs="Arial" w:eastAsia="Arial" w:hAnsi="Arial"/>
                <w:sz w:val="14"/>
                <w:szCs w:val="14"/>
                <w:color w:val="auto"/>
              </w:rPr>
              <w:t>$</w:t>
            </w:r>
          </w:p>
        </w:tc>
        <w:tc>
          <w:tcPr>
            <w:tcW w:w="840" w:type="dxa"/>
            <w:vAlign w:val="bottom"/>
            <w:shd w:val="clear" w:color="auto" w:fill="D4F1F5"/>
          </w:tcPr>
          <w:p>
            <w:pPr>
              <w:jc w:val="right"/>
              <w:ind w:right="28"/>
              <w:spacing w:after="0"/>
              <w:rPr>
                <w:sz w:val="20"/>
                <w:szCs w:val="20"/>
                <w:color w:val="auto"/>
              </w:rPr>
            </w:pPr>
            <w:r>
              <w:rPr>
                <w:rFonts w:ascii="Arial" w:cs="Arial" w:eastAsia="Arial" w:hAnsi="Arial"/>
                <w:sz w:val="14"/>
                <w:szCs w:val="14"/>
                <w:color w:val="auto"/>
              </w:rPr>
              <w:t>16,979</w:t>
            </w:r>
          </w:p>
        </w:tc>
        <w:tc>
          <w:tcPr>
            <w:tcW w:w="240" w:type="dxa"/>
            <w:vAlign w:val="bottom"/>
            <w:shd w:val="clear" w:color="auto" w:fill="D4F1F5"/>
          </w:tcPr>
          <w:p>
            <w:pPr>
              <w:jc w:val="right"/>
              <w:ind w:right="28"/>
              <w:spacing w:after="0"/>
              <w:rPr>
                <w:sz w:val="20"/>
                <w:szCs w:val="20"/>
                <w:color w:val="auto"/>
              </w:rPr>
            </w:pPr>
            <w:r>
              <w:rPr>
                <w:rFonts w:ascii="Arial" w:cs="Arial" w:eastAsia="Arial" w:hAnsi="Arial"/>
                <w:sz w:val="14"/>
                <w:szCs w:val="14"/>
                <w:color w:val="auto"/>
              </w:rPr>
              <w:t>$</w:t>
            </w:r>
          </w:p>
        </w:tc>
        <w:tc>
          <w:tcPr>
            <w:tcW w:w="780" w:type="dxa"/>
            <w:vAlign w:val="bottom"/>
            <w:shd w:val="clear" w:color="auto" w:fill="D4F1F5"/>
          </w:tcPr>
          <w:p>
            <w:pPr>
              <w:jc w:val="right"/>
              <w:spacing w:after="0"/>
              <w:rPr>
                <w:sz w:val="20"/>
                <w:szCs w:val="20"/>
                <w:color w:val="auto"/>
              </w:rPr>
            </w:pPr>
            <w:r>
              <w:rPr>
                <w:rFonts w:ascii="Arial" w:cs="Arial" w:eastAsia="Arial" w:hAnsi="Arial"/>
                <w:sz w:val="14"/>
                <w:szCs w:val="14"/>
                <w:color w:val="auto"/>
              </w:rPr>
              <w:t>(166)</w:t>
            </w:r>
          </w:p>
        </w:tc>
        <w:tc>
          <w:tcPr>
            <w:tcW w:w="240" w:type="dxa"/>
            <w:vAlign w:val="bottom"/>
            <w:shd w:val="clear" w:color="auto" w:fill="D4F1F5"/>
          </w:tcPr>
          <w:p>
            <w:pPr>
              <w:ind w:left="60"/>
              <w:spacing w:after="0"/>
              <w:rPr>
                <w:sz w:val="20"/>
                <w:szCs w:val="20"/>
                <w:color w:val="auto"/>
              </w:rPr>
            </w:pPr>
            <w:r>
              <w:rPr>
                <w:rFonts w:ascii="Arial" w:cs="Arial" w:eastAsia="Arial" w:hAnsi="Arial"/>
                <w:sz w:val="14"/>
                <w:szCs w:val="14"/>
                <w:b w:val="1"/>
                <w:bCs w:val="1"/>
                <w:color w:val="auto"/>
              </w:rPr>
              <w:t>$</w:t>
            </w:r>
          </w:p>
        </w:tc>
        <w:tc>
          <w:tcPr>
            <w:tcW w:w="820" w:type="dxa"/>
            <w:vAlign w:val="bottom"/>
            <w:shd w:val="clear" w:color="auto" w:fill="D4F1F5"/>
          </w:tcPr>
          <w:p>
            <w:pPr>
              <w:jc w:val="right"/>
              <w:ind w:right="28"/>
              <w:spacing w:after="0"/>
              <w:rPr>
                <w:sz w:val="20"/>
                <w:szCs w:val="20"/>
                <w:color w:val="auto"/>
              </w:rPr>
            </w:pPr>
            <w:r>
              <w:rPr>
                <w:rFonts w:ascii="Arial" w:cs="Arial" w:eastAsia="Arial" w:hAnsi="Arial"/>
                <w:sz w:val="14"/>
                <w:szCs w:val="14"/>
                <w:b w:val="1"/>
                <w:bCs w:val="1"/>
                <w:color w:val="auto"/>
              </w:rPr>
              <w:t>31,222</w:t>
            </w:r>
          </w:p>
        </w:tc>
        <w:tc>
          <w:tcPr>
            <w:tcW w:w="280" w:type="dxa"/>
            <w:vAlign w:val="bottom"/>
            <w:shd w:val="clear" w:color="auto" w:fill="D4F1F5"/>
          </w:tcPr>
          <w:p>
            <w:pPr>
              <w:jc w:val="right"/>
              <w:ind w:right="68"/>
              <w:spacing w:after="0"/>
              <w:rPr>
                <w:sz w:val="20"/>
                <w:szCs w:val="20"/>
                <w:color w:val="auto"/>
              </w:rPr>
            </w:pPr>
            <w:r>
              <w:rPr>
                <w:rFonts w:ascii="Arial" w:cs="Arial" w:eastAsia="Arial" w:hAnsi="Arial"/>
                <w:sz w:val="14"/>
                <w:szCs w:val="14"/>
                <w:color w:val="auto"/>
              </w:rPr>
              <w:t>$</w:t>
            </w:r>
          </w:p>
        </w:tc>
        <w:tc>
          <w:tcPr>
            <w:tcW w:w="760" w:type="dxa"/>
            <w:vAlign w:val="bottom"/>
            <w:shd w:val="clear" w:color="auto" w:fill="D4F1F5"/>
          </w:tcPr>
          <w:p>
            <w:pPr>
              <w:jc w:val="right"/>
              <w:ind w:right="48"/>
              <w:spacing w:after="0"/>
              <w:rPr>
                <w:sz w:val="20"/>
                <w:szCs w:val="20"/>
                <w:color w:val="auto"/>
              </w:rPr>
            </w:pPr>
            <w:r>
              <w:rPr>
                <w:rFonts w:ascii="Arial" w:cs="Arial" w:eastAsia="Arial" w:hAnsi="Arial"/>
                <w:sz w:val="14"/>
                <w:szCs w:val="14"/>
                <w:color w:val="auto"/>
              </w:rPr>
              <w:t>6,566</w:t>
            </w:r>
          </w:p>
        </w:tc>
        <w:tc>
          <w:tcPr>
            <w:tcW w:w="220" w:type="dxa"/>
            <w:vAlign w:val="bottom"/>
            <w:shd w:val="clear" w:color="auto" w:fill="D4F1F5"/>
          </w:tcPr>
          <w:p>
            <w:pPr>
              <w:jc w:val="right"/>
              <w:ind w:right="8"/>
              <w:spacing w:after="0"/>
              <w:rPr>
                <w:sz w:val="20"/>
                <w:szCs w:val="20"/>
                <w:color w:val="auto"/>
              </w:rPr>
            </w:pPr>
            <w:r>
              <w:rPr>
                <w:rFonts w:ascii="Arial" w:cs="Arial" w:eastAsia="Arial" w:hAnsi="Arial"/>
                <w:sz w:val="14"/>
                <w:szCs w:val="14"/>
                <w:b w:val="1"/>
                <w:bCs w:val="1"/>
                <w:color w:val="auto"/>
              </w:rPr>
              <w:t>$</w:t>
            </w:r>
          </w:p>
        </w:tc>
        <w:tc>
          <w:tcPr>
            <w:tcW w:w="760" w:type="dxa"/>
            <w:vAlign w:val="bottom"/>
            <w:shd w:val="clear" w:color="auto" w:fill="D4F1F5"/>
          </w:tcPr>
          <w:p>
            <w:pPr>
              <w:jc w:val="right"/>
              <w:spacing w:after="0"/>
              <w:rPr>
                <w:sz w:val="20"/>
                <w:szCs w:val="20"/>
                <w:color w:val="auto"/>
              </w:rPr>
            </w:pPr>
            <w:r>
              <w:rPr>
                <w:rFonts w:ascii="Arial" w:cs="Arial" w:eastAsia="Arial" w:hAnsi="Arial"/>
                <w:sz w:val="14"/>
                <w:szCs w:val="14"/>
                <w:b w:val="1"/>
                <w:bCs w:val="1"/>
                <w:color w:val="auto"/>
              </w:rPr>
              <w:t>37,788</w:t>
            </w:r>
          </w:p>
        </w:tc>
      </w:tr>
      <w:tr>
        <w:trPr>
          <w:trHeight w:val="201"/>
        </w:trPr>
        <w:tc>
          <w:tcPr>
            <w:tcW w:w="3100" w:type="dxa"/>
            <w:vAlign w:val="bottom"/>
          </w:tcPr>
          <w:p>
            <w:pPr>
              <w:ind w:left="20"/>
              <w:spacing w:after="0"/>
              <w:rPr>
                <w:sz w:val="20"/>
                <w:szCs w:val="20"/>
                <w:color w:val="auto"/>
              </w:rPr>
            </w:pPr>
            <w:r>
              <w:rPr>
                <w:rFonts w:ascii="Arial" w:cs="Arial" w:eastAsia="Arial" w:hAnsi="Arial"/>
                <w:sz w:val="14"/>
                <w:szCs w:val="14"/>
                <w:color w:val="auto"/>
              </w:rPr>
              <w:t>Net income</w:t>
            </w:r>
          </w:p>
        </w:tc>
        <w:tc>
          <w:tcPr>
            <w:tcW w:w="160" w:type="dxa"/>
            <w:vAlign w:val="bottom"/>
          </w:tcPr>
          <w:p>
            <w:pPr>
              <w:spacing w:after="0"/>
              <w:rPr>
                <w:sz w:val="17"/>
                <w:szCs w:val="17"/>
                <w:color w:val="auto"/>
              </w:rPr>
            </w:pPr>
          </w:p>
        </w:tc>
        <w:tc>
          <w:tcPr>
            <w:tcW w:w="800" w:type="dxa"/>
            <w:vAlign w:val="bottom"/>
            <w:tcBorders>
              <w:right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917</w:t>
            </w: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b w:val="1"/>
                <w:bCs w:val="1"/>
                <w:color w:val="auto"/>
              </w:rPr>
              <w:t>917</w:t>
            </w:r>
          </w:p>
        </w:tc>
        <w:tc>
          <w:tcPr>
            <w:tcW w:w="280" w:type="dxa"/>
            <w:vAlign w:val="bottom"/>
          </w:tcPr>
          <w:p>
            <w:pPr>
              <w:spacing w:after="0"/>
              <w:rPr>
                <w:sz w:val="17"/>
                <w:szCs w:val="17"/>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2</w:t>
            </w:r>
          </w:p>
        </w:tc>
        <w:tc>
          <w:tcPr>
            <w:tcW w:w="2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4"/>
                <w:szCs w:val="14"/>
                <w:b w:val="1"/>
                <w:bCs w:val="1"/>
                <w:color w:val="auto"/>
              </w:rPr>
              <w:t>919</w:t>
            </w:r>
          </w:p>
        </w:tc>
      </w:tr>
      <w:tr>
        <w:trPr>
          <w:trHeight w:val="204"/>
        </w:trPr>
        <w:tc>
          <w:tcPr>
            <w:tcW w:w="3100" w:type="dxa"/>
            <w:vAlign w:val="bottom"/>
            <w:shd w:val="clear" w:color="auto" w:fill="D4F1F5"/>
          </w:tcPr>
          <w:p>
            <w:pPr>
              <w:ind w:left="20"/>
              <w:spacing w:after="0"/>
              <w:rPr>
                <w:sz w:val="20"/>
                <w:szCs w:val="20"/>
                <w:color w:val="auto"/>
              </w:rPr>
            </w:pPr>
            <w:r>
              <w:rPr>
                <w:rFonts w:ascii="Arial" w:cs="Arial" w:eastAsia="Arial" w:hAnsi="Arial"/>
                <w:sz w:val="14"/>
                <w:szCs w:val="14"/>
                <w:color w:val="auto"/>
              </w:rPr>
              <w:t>Other comprehensive loss</w:t>
            </w:r>
          </w:p>
        </w:tc>
        <w:tc>
          <w:tcPr>
            <w:tcW w:w="160" w:type="dxa"/>
            <w:vAlign w:val="bottom"/>
            <w:shd w:val="clear" w:color="auto" w:fill="D4F1F5"/>
          </w:tcPr>
          <w:p>
            <w:pPr>
              <w:spacing w:after="0"/>
              <w:rPr>
                <w:sz w:val="17"/>
                <w:szCs w:val="17"/>
                <w:color w:val="auto"/>
              </w:rPr>
            </w:pPr>
          </w:p>
        </w:tc>
        <w:tc>
          <w:tcPr>
            <w:tcW w:w="800" w:type="dxa"/>
            <w:vAlign w:val="bottom"/>
            <w:tcBorders>
              <w:right w:val="single" w:sz="8" w:color="auto"/>
            </w:tcBorders>
            <w:shd w:val="clear" w:color="auto" w:fill="D4F1F5"/>
          </w:tcPr>
          <w:p>
            <w:pPr>
              <w:spacing w:after="0"/>
              <w:rPr>
                <w:sz w:val="17"/>
                <w:szCs w:val="17"/>
                <w:color w:val="auto"/>
              </w:rPr>
            </w:pPr>
          </w:p>
        </w:tc>
        <w:tc>
          <w:tcPr>
            <w:tcW w:w="180" w:type="dxa"/>
            <w:vAlign w:val="bottom"/>
            <w:shd w:val="clear" w:color="auto" w:fill="D4F1F5"/>
          </w:tcPr>
          <w:p>
            <w:pPr>
              <w:spacing w:after="0"/>
              <w:rPr>
                <w:sz w:val="17"/>
                <w:szCs w:val="17"/>
                <w:color w:val="auto"/>
              </w:rPr>
            </w:pPr>
          </w:p>
        </w:tc>
        <w:tc>
          <w:tcPr>
            <w:tcW w:w="840" w:type="dxa"/>
            <w:vAlign w:val="bottom"/>
            <w:shd w:val="clear" w:color="auto" w:fill="D4F1F5"/>
          </w:tcPr>
          <w:p>
            <w:pPr>
              <w:spacing w:after="0"/>
              <w:rPr>
                <w:sz w:val="17"/>
                <w:szCs w:val="17"/>
                <w:color w:val="auto"/>
              </w:rPr>
            </w:pPr>
          </w:p>
        </w:tc>
        <w:tc>
          <w:tcPr>
            <w:tcW w:w="180" w:type="dxa"/>
            <w:vAlign w:val="bottom"/>
            <w:shd w:val="clear" w:color="auto" w:fill="D4F1F5"/>
          </w:tcPr>
          <w:p>
            <w:pPr>
              <w:spacing w:after="0"/>
              <w:rPr>
                <w:sz w:val="17"/>
                <w:szCs w:val="17"/>
                <w:color w:val="auto"/>
              </w:rPr>
            </w:pPr>
          </w:p>
        </w:tc>
        <w:tc>
          <w:tcPr>
            <w:tcW w:w="860" w:type="dxa"/>
            <w:vAlign w:val="bottom"/>
            <w:shd w:val="clear" w:color="auto" w:fill="D4F1F5"/>
          </w:tcPr>
          <w:p>
            <w:pPr>
              <w:spacing w:after="0"/>
              <w:rPr>
                <w:sz w:val="17"/>
                <w:szCs w:val="17"/>
                <w:color w:val="auto"/>
              </w:rPr>
            </w:pPr>
          </w:p>
        </w:tc>
        <w:tc>
          <w:tcPr>
            <w:tcW w:w="180" w:type="dxa"/>
            <w:vAlign w:val="bottom"/>
            <w:shd w:val="clear" w:color="auto" w:fill="D4F1F5"/>
          </w:tcPr>
          <w:p>
            <w:pPr>
              <w:spacing w:after="0"/>
              <w:rPr>
                <w:sz w:val="17"/>
                <w:szCs w:val="17"/>
                <w:color w:val="auto"/>
              </w:rPr>
            </w:pPr>
          </w:p>
        </w:tc>
        <w:tc>
          <w:tcPr>
            <w:tcW w:w="840" w:type="dxa"/>
            <w:vAlign w:val="bottom"/>
            <w:shd w:val="clear" w:color="auto" w:fill="D4F1F5"/>
          </w:tcPr>
          <w:p>
            <w:pPr>
              <w:spacing w:after="0"/>
              <w:rPr>
                <w:sz w:val="17"/>
                <w:szCs w:val="17"/>
                <w:color w:val="auto"/>
              </w:rPr>
            </w:pPr>
          </w:p>
        </w:tc>
        <w:tc>
          <w:tcPr>
            <w:tcW w:w="240" w:type="dxa"/>
            <w:vAlign w:val="bottom"/>
            <w:shd w:val="clear" w:color="auto" w:fill="D4F1F5"/>
          </w:tcPr>
          <w:p>
            <w:pPr>
              <w:spacing w:after="0"/>
              <w:rPr>
                <w:sz w:val="17"/>
                <w:szCs w:val="17"/>
                <w:color w:val="auto"/>
              </w:rPr>
            </w:pPr>
          </w:p>
        </w:tc>
        <w:tc>
          <w:tcPr>
            <w:tcW w:w="780" w:type="dxa"/>
            <w:vAlign w:val="bottom"/>
            <w:shd w:val="clear" w:color="auto" w:fill="D4F1F5"/>
          </w:tcPr>
          <w:p>
            <w:pPr>
              <w:jc w:val="right"/>
              <w:spacing w:after="0"/>
              <w:rPr>
                <w:sz w:val="20"/>
                <w:szCs w:val="20"/>
                <w:color w:val="auto"/>
              </w:rPr>
            </w:pPr>
            <w:r>
              <w:rPr>
                <w:rFonts w:ascii="Arial" w:cs="Arial" w:eastAsia="Arial" w:hAnsi="Arial"/>
                <w:sz w:val="14"/>
                <w:szCs w:val="14"/>
                <w:color w:val="auto"/>
              </w:rPr>
              <w:t>(29)</w:t>
            </w:r>
          </w:p>
        </w:tc>
        <w:tc>
          <w:tcPr>
            <w:tcW w:w="240" w:type="dxa"/>
            <w:vAlign w:val="bottom"/>
            <w:shd w:val="clear" w:color="auto" w:fill="D4F1F5"/>
          </w:tcPr>
          <w:p>
            <w:pPr>
              <w:spacing w:after="0"/>
              <w:rPr>
                <w:sz w:val="17"/>
                <w:szCs w:val="17"/>
                <w:color w:val="auto"/>
              </w:rPr>
            </w:pPr>
          </w:p>
        </w:tc>
        <w:tc>
          <w:tcPr>
            <w:tcW w:w="820" w:type="dxa"/>
            <w:vAlign w:val="bottom"/>
            <w:shd w:val="clear" w:color="auto" w:fill="D4F1F5"/>
          </w:tcPr>
          <w:p>
            <w:pPr>
              <w:jc w:val="right"/>
              <w:spacing w:after="0"/>
              <w:rPr>
                <w:sz w:val="20"/>
                <w:szCs w:val="20"/>
                <w:color w:val="auto"/>
              </w:rPr>
            </w:pPr>
            <w:r>
              <w:rPr>
                <w:rFonts w:ascii="Arial" w:cs="Arial" w:eastAsia="Arial" w:hAnsi="Arial"/>
                <w:sz w:val="14"/>
                <w:szCs w:val="14"/>
                <w:b w:val="1"/>
                <w:bCs w:val="1"/>
                <w:color w:val="auto"/>
              </w:rPr>
              <w:t>(29)</w:t>
            </w:r>
          </w:p>
        </w:tc>
        <w:tc>
          <w:tcPr>
            <w:tcW w:w="280" w:type="dxa"/>
            <w:vAlign w:val="bottom"/>
            <w:shd w:val="clear" w:color="auto" w:fill="D4F1F5"/>
          </w:tcPr>
          <w:p>
            <w:pPr>
              <w:spacing w:after="0"/>
              <w:rPr>
                <w:sz w:val="17"/>
                <w:szCs w:val="17"/>
                <w:color w:val="auto"/>
              </w:rPr>
            </w:pPr>
          </w:p>
        </w:tc>
        <w:tc>
          <w:tcPr>
            <w:tcW w:w="760" w:type="dxa"/>
            <w:vAlign w:val="bottom"/>
            <w:shd w:val="clear" w:color="auto" w:fill="D4F1F5"/>
          </w:tcPr>
          <w:p>
            <w:pPr>
              <w:jc w:val="right"/>
              <w:ind w:right="8"/>
              <w:spacing w:after="0"/>
              <w:rPr>
                <w:sz w:val="20"/>
                <w:szCs w:val="20"/>
                <w:color w:val="auto"/>
              </w:rPr>
            </w:pPr>
            <w:r>
              <w:rPr>
                <w:rFonts w:ascii="Arial" w:cs="Arial" w:eastAsia="Arial" w:hAnsi="Arial"/>
                <w:sz w:val="14"/>
                <w:szCs w:val="14"/>
                <w:color w:val="auto"/>
              </w:rPr>
              <w:t>(5)</w:t>
            </w:r>
          </w:p>
        </w:tc>
        <w:tc>
          <w:tcPr>
            <w:tcW w:w="220" w:type="dxa"/>
            <w:vAlign w:val="bottom"/>
            <w:shd w:val="clear" w:color="auto" w:fill="D4F1F5"/>
          </w:tcPr>
          <w:p>
            <w:pPr>
              <w:spacing w:after="0"/>
              <w:rPr>
                <w:sz w:val="17"/>
                <w:szCs w:val="17"/>
                <w:color w:val="auto"/>
              </w:rPr>
            </w:pPr>
          </w:p>
        </w:tc>
        <w:tc>
          <w:tcPr>
            <w:tcW w:w="760" w:type="dxa"/>
            <w:vAlign w:val="bottom"/>
            <w:shd w:val="clear" w:color="auto" w:fill="D4F1F5"/>
          </w:tcPr>
          <w:p>
            <w:pPr>
              <w:jc w:val="right"/>
              <w:spacing w:after="0"/>
              <w:rPr>
                <w:sz w:val="20"/>
                <w:szCs w:val="20"/>
                <w:color w:val="auto"/>
              </w:rPr>
            </w:pPr>
            <w:r>
              <w:rPr>
                <w:rFonts w:ascii="Arial" w:cs="Arial" w:eastAsia="Arial" w:hAnsi="Arial"/>
                <w:sz w:val="14"/>
                <w:szCs w:val="14"/>
                <w:b w:val="1"/>
                <w:bCs w:val="1"/>
                <w:color w:val="auto"/>
              </w:rPr>
              <w:t>(34)</w:t>
            </w:r>
          </w:p>
        </w:tc>
      </w:tr>
      <w:tr>
        <w:trPr>
          <w:trHeight w:val="201"/>
        </w:trPr>
        <w:tc>
          <w:tcPr>
            <w:tcW w:w="3100" w:type="dxa"/>
            <w:vAlign w:val="bottom"/>
          </w:tcPr>
          <w:p>
            <w:pPr>
              <w:ind w:left="20"/>
              <w:spacing w:after="0"/>
              <w:rPr>
                <w:sz w:val="20"/>
                <w:szCs w:val="20"/>
                <w:color w:val="auto"/>
              </w:rPr>
            </w:pPr>
            <w:r>
              <w:rPr>
                <w:rFonts w:ascii="Arial" w:cs="Arial" w:eastAsia="Arial" w:hAnsi="Arial"/>
                <w:sz w:val="14"/>
                <w:szCs w:val="14"/>
                <w:color w:val="auto"/>
              </w:rPr>
              <w:t>Share-based compensation expense</w:t>
            </w:r>
          </w:p>
        </w:tc>
        <w:tc>
          <w:tcPr>
            <w:tcW w:w="160" w:type="dxa"/>
            <w:vAlign w:val="bottom"/>
          </w:tcPr>
          <w:p>
            <w:pPr>
              <w:spacing w:after="0"/>
              <w:rPr>
                <w:sz w:val="17"/>
                <w:szCs w:val="17"/>
                <w:color w:val="auto"/>
              </w:rPr>
            </w:pPr>
          </w:p>
        </w:tc>
        <w:tc>
          <w:tcPr>
            <w:tcW w:w="800" w:type="dxa"/>
            <w:vAlign w:val="bottom"/>
            <w:tcBorders>
              <w:right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(2)</w:t>
            </w: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(2)</w:t>
            </w:r>
          </w:p>
        </w:tc>
        <w:tc>
          <w:tcPr>
            <w:tcW w:w="2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4"/>
                <w:szCs w:val="14"/>
                <w:b w:val="1"/>
                <w:bCs w:val="1"/>
                <w:color w:val="auto"/>
              </w:rPr>
              <w:t>(2)</w:t>
            </w:r>
          </w:p>
        </w:tc>
      </w:tr>
      <w:tr>
        <w:trPr>
          <w:trHeight w:val="204"/>
        </w:trPr>
        <w:tc>
          <w:tcPr>
            <w:tcW w:w="3100" w:type="dxa"/>
            <w:vAlign w:val="bottom"/>
            <w:shd w:val="clear" w:color="auto" w:fill="D4F1F5"/>
          </w:tcPr>
          <w:p>
            <w:pPr>
              <w:ind w:left="20"/>
              <w:spacing w:after="0"/>
              <w:rPr>
                <w:sz w:val="20"/>
                <w:szCs w:val="20"/>
                <w:color w:val="auto"/>
              </w:rPr>
            </w:pPr>
            <w:r>
              <w:rPr>
                <w:rFonts w:ascii="Arial" w:cs="Arial" w:eastAsia="Arial" w:hAnsi="Arial"/>
                <w:sz w:val="14"/>
                <w:szCs w:val="14"/>
                <w:color w:val="auto"/>
              </w:rPr>
              <w:t>Dividends declared:</w:t>
            </w:r>
          </w:p>
        </w:tc>
        <w:tc>
          <w:tcPr>
            <w:tcW w:w="160" w:type="dxa"/>
            <w:vAlign w:val="bottom"/>
            <w:shd w:val="clear" w:color="auto" w:fill="D4F1F5"/>
          </w:tcPr>
          <w:p>
            <w:pPr>
              <w:spacing w:after="0"/>
              <w:rPr>
                <w:sz w:val="17"/>
                <w:szCs w:val="17"/>
                <w:color w:val="auto"/>
              </w:rPr>
            </w:pPr>
          </w:p>
        </w:tc>
        <w:tc>
          <w:tcPr>
            <w:tcW w:w="800" w:type="dxa"/>
            <w:vAlign w:val="bottom"/>
            <w:tcBorders>
              <w:right w:val="single" w:sz="8" w:color="auto"/>
            </w:tcBorders>
            <w:shd w:val="clear" w:color="auto" w:fill="D4F1F5"/>
          </w:tcPr>
          <w:p>
            <w:pPr>
              <w:spacing w:after="0"/>
              <w:rPr>
                <w:sz w:val="17"/>
                <w:szCs w:val="17"/>
                <w:color w:val="auto"/>
              </w:rPr>
            </w:pPr>
          </w:p>
        </w:tc>
        <w:tc>
          <w:tcPr>
            <w:tcW w:w="180" w:type="dxa"/>
            <w:vAlign w:val="bottom"/>
            <w:shd w:val="clear" w:color="auto" w:fill="D4F1F5"/>
          </w:tcPr>
          <w:p>
            <w:pPr>
              <w:spacing w:after="0"/>
              <w:rPr>
                <w:sz w:val="17"/>
                <w:szCs w:val="17"/>
                <w:color w:val="auto"/>
              </w:rPr>
            </w:pPr>
          </w:p>
        </w:tc>
        <w:tc>
          <w:tcPr>
            <w:tcW w:w="840" w:type="dxa"/>
            <w:vAlign w:val="bottom"/>
            <w:shd w:val="clear" w:color="auto" w:fill="D4F1F5"/>
          </w:tcPr>
          <w:p>
            <w:pPr>
              <w:spacing w:after="0"/>
              <w:rPr>
                <w:sz w:val="17"/>
                <w:szCs w:val="17"/>
                <w:color w:val="auto"/>
              </w:rPr>
            </w:pPr>
          </w:p>
        </w:tc>
        <w:tc>
          <w:tcPr>
            <w:tcW w:w="180" w:type="dxa"/>
            <w:vAlign w:val="bottom"/>
            <w:shd w:val="clear" w:color="auto" w:fill="D4F1F5"/>
          </w:tcPr>
          <w:p>
            <w:pPr>
              <w:spacing w:after="0"/>
              <w:rPr>
                <w:sz w:val="17"/>
                <w:szCs w:val="17"/>
                <w:color w:val="auto"/>
              </w:rPr>
            </w:pPr>
          </w:p>
        </w:tc>
        <w:tc>
          <w:tcPr>
            <w:tcW w:w="860" w:type="dxa"/>
            <w:vAlign w:val="bottom"/>
            <w:shd w:val="clear" w:color="auto" w:fill="D4F1F5"/>
          </w:tcPr>
          <w:p>
            <w:pPr>
              <w:spacing w:after="0"/>
              <w:rPr>
                <w:sz w:val="17"/>
                <w:szCs w:val="17"/>
                <w:color w:val="auto"/>
              </w:rPr>
            </w:pPr>
          </w:p>
        </w:tc>
        <w:tc>
          <w:tcPr>
            <w:tcW w:w="180" w:type="dxa"/>
            <w:vAlign w:val="bottom"/>
            <w:shd w:val="clear" w:color="auto" w:fill="D4F1F5"/>
          </w:tcPr>
          <w:p>
            <w:pPr>
              <w:spacing w:after="0"/>
              <w:rPr>
                <w:sz w:val="17"/>
                <w:szCs w:val="17"/>
                <w:color w:val="auto"/>
              </w:rPr>
            </w:pPr>
          </w:p>
        </w:tc>
        <w:tc>
          <w:tcPr>
            <w:tcW w:w="840" w:type="dxa"/>
            <w:vAlign w:val="bottom"/>
            <w:shd w:val="clear" w:color="auto" w:fill="D4F1F5"/>
          </w:tcPr>
          <w:p>
            <w:pPr>
              <w:spacing w:after="0"/>
              <w:rPr>
                <w:sz w:val="17"/>
                <w:szCs w:val="17"/>
                <w:color w:val="auto"/>
              </w:rPr>
            </w:pPr>
          </w:p>
        </w:tc>
        <w:tc>
          <w:tcPr>
            <w:tcW w:w="240" w:type="dxa"/>
            <w:vAlign w:val="bottom"/>
            <w:shd w:val="clear" w:color="auto" w:fill="D4F1F5"/>
          </w:tcPr>
          <w:p>
            <w:pPr>
              <w:spacing w:after="0"/>
              <w:rPr>
                <w:sz w:val="17"/>
                <w:szCs w:val="17"/>
                <w:color w:val="auto"/>
              </w:rPr>
            </w:pPr>
          </w:p>
        </w:tc>
        <w:tc>
          <w:tcPr>
            <w:tcW w:w="780" w:type="dxa"/>
            <w:vAlign w:val="bottom"/>
            <w:shd w:val="clear" w:color="auto" w:fill="D4F1F5"/>
          </w:tcPr>
          <w:p>
            <w:pPr>
              <w:spacing w:after="0"/>
              <w:rPr>
                <w:sz w:val="17"/>
                <w:szCs w:val="17"/>
                <w:color w:val="auto"/>
              </w:rPr>
            </w:pPr>
          </w:p>
        </w:tc>
        <w:tc>
          <w:tcPr>
            <w:tcW w:w="240" w:type="dxa"/>
            <w:vAlign w:val="bottom"/>
            <w:shd w:val="clear" w:color="auto" w:fill="D4F1F5"/>
          </w:tcPr>
          <w:p>
            <w:pPr>
              <w:spacing w:after="0"/>
              <w:rPr>
                <w:sz w:val="17"/>
                <w:szCs w:val="17"/>
                <w:color w:val="auto"/>
              </w:rPr>
            </w:pPr>
          </w:p>
        </w:tc>
        <w:tc>
          <w:tcPr>
            <w:tcW w:w="820" w:type="dxa"/>
            <w:vAlign w:val="bottom"/>
            <w:shd w:val="clear" w:color="auto" w:fill="D4F1F5"/>
          </w:tcPr>
          <w:p>
            <w:pPr>
              <w:spacing w:after="0"/>
              <w:rPr>
                <w:sz w:val="17"/>
                <w:szCs w:val="17"/>
                <w:color w:val="auto"/>
              </w:rPr>
            </w:pPr>
          </w:p>
        </w:tc>
        <w:tc>
          <w:tcPr>
            <w:tcW w:w="280" w:type="dxa"/>
            <w:vAlign w:val="bottom"/>
            <w:shd w:val="clear" w:color="auto" w:fill="D4F1F5"/>
          </w:tcPr>
          <w:p>
            <w:pPr>
              <w:spacing w:after="0"/>
              <w:rPr>
                <w:sz w:val="17"/>
                <w:szCs w:val="17"/>
                <w:color w:val="auto"/>
              </w:rPr>
            </w:pPr>
          </w:p>
        </w:tc>
        <w:tc>
          <w:tcPr>
            <w:tcW w:w="760" w:type="dxa"/>
            <w:vAlign w:val="bottom"/>
            <w:shd w:val="clear" w:color="auto" w:fill="D4F1F5"/>
          </w:tcPr>
          <w:p>
            <w:pPr>
              <w:spacing w:after="0"/>
              <w:rPr>
                <w:sz w:val="17"/>
                <w:szCs w:val="17"/>
                <w:color w:val="auto"/>
              </w:rPr>
            </w:pPr>
          </w:p>
        </w:tc>
        <w:tc>
          <w:tcPr>
            <w:tcW w:w="220" w:type="dxa"/>
            <w:vAlign w:val="bottom"/>
            <w:shd w:val="clear" w:color="auto" w:fill="D4F1F5"/>
          </w:tcPr>
          <w:p>
            <w:pPr>
              <w:spacing w:after="0"/>
              <w:rPr>
                <w:sz w:val="17"/>
                <w:szCs w:val="17"/>
                <w:color w:val="auto"/>
              </w:rPr>
            </w:pPr>
          </w:p>
        </w:tc>
        <w:tc>
          <w:tcPr>
            <w:tcW w:w="760" w:type="dxa"/>
            <w:vAlign w:val="bottom"/>
            <w:shd w:val="clear" w:color="auto" w:fill="D4F1F5"/>
          </w:tcPr>
          <w:p>
            <w:pPr>
              <w:spacing w:after="0"/>
              <w:rPr>
                <w:sz w:val="17"/>
                <w:szCs w:val="17"/>
                <w:color w:val="auto"/>
              </w:rPr>
            </w:pPr>
          </w:p>
        </w:tc>
      </w:tr>
      <w:tr>
        <w:trPr>
          <w:trHeight w:val="201"/>
        </w:trPr>
        <w:tc>
          <w:tcPr>
            <w:tcW w:w="3100" w:type="dxa"/>
            <w:vAlign w:val="bottom"/>
          </w:tcPr>
          <w:p>
            <w:pPr>
              <w:ind w:left="220"/>
              <w:spacing w:after="0"/>
              <w:rPr>
                <w:sz w:val="20"/>
                <w:szCs w:val="20"/>
                <w:color w:val="auto"/>
              </w:rPr>
            </w:pPr>
            <w:r>
              <w:rPr>
                <w:rFonts w:ascii="Arial" w:cs="Arial" w:eastAsia="Arial" w:hAnsi="Arial"/>
                <w:sz w:val="14"/>
                <w:szCs w:val="14"/>
                <w:color w:val="auto"/>
              </w:rPr>
              <w:t>Series C preferred stock ($12.19/share)</w:t>
            </w:r>
          </w:p>
        </w:tc>
        <w:tc>
          <w:tcPr>
            <w:tcW w:w="160" w:type="dxa"/>
            <w:vAlign w:val="bottom"/>
          </w:tcPr>
          <w:p>
            <w:pPr>
              <w:spacing w:after="0"/>
              <w:rPr>
                <w:sz w:val="17"/>
                <w:szCs w:val="17"/>
                <w:color w:val="auto"/>
              </w:rPr>
            </w:pPr>
          </w:p>
        </w:tc>
        <w:tc>
          <w:tcPr>
            <w:tcW w:w="800" w:type="dxa"/>
            <w:vAlign w:val="bottom"/>
            <w:tcBorders>
              <w:right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(11)</w:t>
            </w: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(11)</w:t>
            </w:r>
          </w:p>
        </w:tc>
        <w:tc>
          <w:tcPr>
            <w:tcW w:w="2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4"/>
                <w:szCs w:val="14"/>
                <w:b w:val="1"/>
                <w:bCs w:val="1"/>
                <w:color w:val="auto"/>
              </w:rPr>
              <w:t>(11)</w:t>
            </w:r>
          </w:p>
        </w:tc>
      </w:tr>
      <w:tr>
        <w:trPr>
          <w:trHeight w:val="204"/>
        </w:trPr>
        <w:tc>
          <w:tcPr>
            <w:tcW w:w="3100" w:type="dxa"/>
            <w:vAlign w:val="bottom"/>
            <w:shd w:val="clear" w:color="auto" w:fill="D4F1F5"/>
          </w:tcPr>
          <w:p>
            <w:pPr>
              <w:ind w:left="220"/>
              <w:spacing w:after="0"/>
              <w:rPr>
                <w:sz w:val="20"/>
                <w:szCs w:val="20"/>
                <w:color w:val="auto"/>
              </w:rPr>
            </w:pPr>
            <w:r>
              <w:rPr>
                <w:rFonts w:ascii="Arial" w:cs="Arial" w:eastAsia="Arial" w:hAnsi="Arial"/>
                <w:sz w:val="14"/>
                <w:szCs w:val="14"/>
                <w:color w:val="auto"/>
              </w:rPr>
              <w:t>Common stock ($0.65/share)</w:t>
            </w:r>
          </w:p>
        </w:tc>
        <w:tc>
          <w:tcPr>
            <w:tcW w:w="160" w:type="dxa"/>
            <w:vAlign w:val="bottom"/>
            <w:shd w:val="clear" w:color="auto" w:fill="D4F1F5"/>
          </w:tcPr>
          <w:p>
            <w:pPr>
              <w:spacing w:after="0"/>
              <w:rPr>
                <w:sz w:val="17"/>
                <w:szCs w:val="17"/>
                <w:color w:val="auto"/>
              </w:rPr>
            </w:pPr>
          </w:p>
        </w:tc>
        <w:tc>
          <w:tcPr>
            <w:tcW w:w="800" w:type="dxa"/>
            <w:vAlign w:val="bottom"/>
            <w:tcBorders>
              <w:right w:val="single" w:sz="8" w:color="auto"/>
            </w:tcBorders>
            <w:shd w:val="clear" w:color="auto" w:fill="D4F1F5"/>
          </w:tcPr>
          <w:p>
            <w:pPr>
              <w:spacing w:after="0"/>
              <w:rPr>
                <w:sz w:val="17"/>
                <w:szCs w:val="17"/>
                <w:color w:val="auto"/>
              </w:rPr>
            </w:pPr>
          </w:p>
        </w:tc>
        <w:tc>
          <w:tcPr>
            <w:tcW w:w="180" w:type="dxa"/>
            <w:vAlign w:val="bottom"/>
            <w:shd w:val="clear" w:color="auto" w:fill="D4F1F5"/>
          </w:tcPr>
          <w:p>
            <w:pPr>
              <w:spacing w:after="0"/>
              <w:rPr>
                <w:sz w:val="17"/>
                <w:szCs w:val="17"/>
                <w:color w:val="auto"/>
              </w:rPr>
            </w:pPr>
          </w:p>
        </w:tc>
        <w:tc>
          <w:tcPr>
            <w:tcW w:w="840" w:type="dxa"/>
            <w:vAlign w:val="bottom"/>
            <w:shd w:val="clear" w:color="auto" w:fill="D4F1F5"/>
          </w:tcPr>
          <w:p>
            <w:pPr>
              <w:spacing w:after="0"/>
              <w:rPr>
                <w:sz w:val="17"/>
                <w:szCs w:val="17"/>
                <w:color w:val="auto"/>
              </w:rPr>
            </w:pPr>
          </w:p>
        </w:tc>
        <w:tc>
          <w:tcPr>
            <w:tcW w:w="180" w:type="dxa"/>
            <w:vAlign w:val="bottom"/>
            <w:shd w:val="clear" w:color="auto" w:fill="D4F1F5"/>
          </w:tcPr>
          <w:p>
            <w:pPr>
              <w:spacing w:after="0"/>
              <w:rPr>
                <w:sz w:val="17"/>
                <w:szCs w:val="17"/>
                <w:color w:val="auto"/>
              </w:rPr>
            </w:pPr>
          </w:p>
        </w:tc>
        <w:tc>
          <w:tcPr>
            <w:tcW w:w="860" w:type="dxa"/>
            <w:vAlign w:val="bottom"/>
            <w:shd w:val="clear" w:color="auto" w:fill="D4F1F5"/>
          </w:tcPr>
          <w:p>
            <w:pPr>
              <w:spacing w:after="0"/>
              <w:rPr>
                <w:sz w:val="17"/>
                <w:szCs w:val="17"/>
                <w:color w:val="auto"/>
              </w:rPr>
            </w:pPr>
          </w:p>
        </w:tc>
        <w:tc>
          <w:tcPr>
            <w:tcW w:w="180" w:type="dxa"/>
            <w:vAlign w:val="bottom"/>
            <w:shd w:val="clear" w:color="auto" w:fill="D4F1F5"/>
          </w:tcPr>
          <w:p>
            <w:pPr>
              <w:spacing w:after="0"/>
              <w:rPr>
                <w:sz w:val="17"/>
                <w:szCs w:val="17"/>
                <w:color w:val="auto"/>
              </w:rPr>
            </w:pPr>
          </w:p>
        </w:tc>
        <w:tc>
          <w:tcPr>
            <w:tcW w:w="840" w:type="dxa"/>
            <w:vAlign w:val="bottom"/>
            <w:shd w:val="clear" w:color="auto" w:fill="D4F1F5"/>
          </w:tcPr>
          <w:p>
            <w:pPr>
              <w:jc w:val="right"/>
              <w:spacing w:after="0"/>
              <w:rPr>
                <w:sz w:val="20"/>
                <w:szCs w:val="20"/>
                <w:color w:val="auto"/>
              </w:rPr>
            </w:pPr>
            <w:r>
              <w:rPr>
                <w:rFonts w:ascii="Arial" w:cs="Arial" w:eastAsia="Arial" w:hAnsi="Arial"/>
                <w:sz w:val="14"/>
                <w:szCs w:val="14"/>
                <w:color w:val="auto"/>
              </w:rPr>
              <w:t>(420)</w:t>
            </w:r>
          </w:p>
        </w:tc>
        <w:tc>
          <w:tcPr>
            <w:tcW w:w="240" w:type="dxa"/>
            <w:vAlign w:val="bottom"/>
            <w:shd w:val="clear" w:color="auto" w:fill="D4F1F5"/>
          </w:tcPr>
          <w:p>
            <w:pPr>
              <w:spacing w:after="0"/>
              <w:rPr>
                <w:sz w:val="17"/>
                <w:szCs w:val="17"/>
                <w:color w:val="auto"/>
              </w:rPr>
            </w:pPr>
          </w:p>
        </w:tc>
        <w:tc>
          <w:tcPr>
            <w:tcW w:w="780" w:type="dxa"/>
            <w:vAlign w:val="bottom"/>
            <w:shd w:val="clear" w:color="auto" w:fill="D4F1F5"/>
          </w:tcPr>
          <w:p>
            <w:pPr>
              <w:spacing w:after="0"/>
              <w:rPr>
                <w:sz w:val="17"/>
                <w:szCs w:val="17"/>
                <w:color w:val="auto"/>
              </w:rPr>
            </w:pPr>
          </w:p>
        </w:tc>
        <w:tc>
          <w:tcPr>
            <w:tcW w:w="240" w:type="dxa"/>
            <w:vAlign w:val="bottom"/>
            <w:shd w:val="clear" w:color="auto" w:fill="D4F1F5"/>
          </w:tcPr>
          <w:p>
            <w:pPr>
              <w:spacing w:after="0"/>
              <w:rPr>
                <w:sz w:val="17"/>
                <w:szCs w:val="17"/>
                <w:color w:val="auto"/>
              </w:rPr>
            </w:pPr>
          </w:p>
        </w:tc>
        <w:tc>
          <w:tcPr>
            <w:tcW w:w="820" w:type="dxa"/>
            <w:vAlign w:val="bottom"/>
            <w:shd w:val="clear" w:color="auto" w:fill="D4F1F5"/>
          </w:tcPr>
          <w:p>
            <w:pPr>
              <w:jc w:val="right"/>
              <w:spacing w:after="0"/>
              <w:rPr>
                <w:sz w:val="20"/>
                <w:szCs w:val="20"/>
                <w:color w:val="auto"/>
              </w:rPr>
            </w:pPr>
            <w:r>
              <w:rPr>
                <w:rFonts w:ascii="Arial" w:cs="Arial" w:eastAsia="Arial" w:hAnsi="Arial"/>
                <w:sz w:val="14"/>
                <w:szCs w:val="14"/>
                <w:b w:val="1"/>
                <w:bCs w:val="1"/>
                <w:color w:val="auto"/>
              </w:rPr>
              <w:t>(420)</w:t>
            </w:r>
          </w:p>
        </w:tc>
        <w:tc>
          <w:tcPr>
            <w:tcW w:w="280" w:type="dxa"/>
            <w:vAlign w:val="bottom"/>
            <w:shd w:val="clear" w:color="auto" w:fill="D4F1F5"/>
          </w:tcPr>
          <w:p>
            <w:pPr>
              <w:spacing w:after="0"/>
              <w:rPr>
                <w:sz w:val="17"/>
                <w:szCs w:val="17"/>
                <w:color w:val="auto"/>
              </w:rPr>
            </w:pPr>
          </w:p>
        </w:tc>
        <w:tc>
          <w:tcPr>
            <w:tcW w:w="760" w:type="dxa"/>
            <w:vAlign w:val="bottom"/>
            <w:shd w:val="clear" w:color="auto" w:fill="D4F1F5"/>
          </w:tcPr>
          <w:p>
            <w:pPr>
              <w:spacing w:after="0"/>
              <w:rPr>
                <w:sz w:val="17"/>
                <w:szCs w:val="17"/>
                <w:color w:val="auto"/>
              </w:rPr>
            </w:pPr>
          </w:p>
        </w:tc>
        <w:tc>
          <w:tcPr>
            <w:tcW w:w="220" w:type="dxa"/>
            <w:vAlign w:val="bottom"/>
            <w:shd w:val="clear" w:color="auto" w:fill="D4F1F5"/>
          </w:tcPr>
          <w:p>
            <w:pPr>
              <w:spacing w:after="0"/>
              <w:rPr>
                <w:sz w:val="17"/>
                <w:szCs w:val="17"/>
                <w:color w:val="auto"/>
              </w:rPr>
            </w:pPr>
          </w:p>
        </w:tc>
        <w:tc>
          <w:tcPr>
            <w:tcW w:w="760" w:type="dxa"/>
            <w:vAlign w:val="bottom"/>
            <w:shd w:val="clear" w:color="auto" w:fill="D4F1F5"/>
          </w:tcPr>
          <w:p>
            <w:pPr>
              <w:jc w:val="right"/>
              <w:spacing w:after="0"/>
              <w:rPr>
                <w:sz w:val="20"/>
                <w:szCs w:val="20"/>
                <w:color w:val="auto"/>
              </w:rPr>
            </w:pPr>
            <w:r>
              <w:rPr>
                <w:rFonts w:ascii="Arial" w:cs="Arial" w:eastAsia="Arial" w:hAnsi="Arial"/>
                <w:sz w:val="14"/>
                <w:szCs w:val="14"/>
                <w:b w:val="1"/>
                <w:bCs w:val="1"/>
                <w:color w:val="auto"/>
              </w:rPr>
              <w:t>(420)</w:t>
            </w:r>
          </w:p>
        </w:tc>
      </w:tr>
      <w:tr>
        <w:trPr>
          <w:trHeight w:val="201"/>
        </w:trPr>
        <w:tc>
          <w:tcPr>
            <w:tcW w:w="3100" w:type="dxa"/>
            <w:vAlign w:val="bottom"/>
          </w:tcPr>
          <w:p>
            <w:pPr>
              <w:ind w:left="20"/>
              <w:spacing w:after="0"/>
              <w:rPr>
                <w:sz w:val="20"/>
                <w:szCs w:val="20"/>
                <w:color w:val="auto"/>
              </w:rPr>
            </w:pPr>
            <w:r>
              <w:rPr>
                <w:rFonts w:ascii="Arial" w:cs="Arial" w:eastAsia="Arial" w:hAnsi="Arial"/>
                <w:sz w:val="14"/>
                <w:szCs w:val="14"/>
                <w:color w:val="auto"/>
              </w:rPr>
              <w:t>Issuances of common stock</w:t>
            </w:r>
          </w:p>
        </w:tc>
        <w:tc>
          <w:tcPr>
            <w:tcW w:w="160" w:type="dxa"/>
            <w:vAlign w:val="bottom"/>
          </w:tcPr>
          <w:p>
            <w:pPr>
              <w:spacing w:after="0"/>
              <w:rPr>
                <w:sz w:val="17"/>
                <w:szCs w:val="17"/>
                <w:color w:val="auto"/>
              </w:rPr>
            </w:pPr>
          </w:p>
        </w:tc>
        <w:tc>
          <w:tcPr>
            <w:tcW w:w="800" w:type="dxa"/>
            <w:vAlign w:val="bottom"/>
            <w:tcBorders>
              <w:right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23</w:t>
            </w: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b w:val="1"/>
                <w:bCs w:val="1"/>
                <w:color w:val="auto"/>
              </w:rPr>
              <w:t>23</w:t>
            </w:r>
          </w:p>
        </w:tc>
        <w:tc>
          <w:tcPr>
            <w:tcW w:w="2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4"/>
                <w:szCs w:val="14"/>
                <w:b w:val="1"/>
                <w:bCs w:val="1"/>
                <w:color w:val="auto"/>
              </w:rPr>
              <w:t>23</w:t>
            </w:r>
          </w:p>
        </w:tc>
      </w:tr>
      <w:tr>
        <w:trPr>
          <w:trHeight w:val="204"/>
        </w:trPr>
        <w:tc>
          <w:tcPr>
            <w:tcW w:w="3100" w:type="dxa"/>
            <w:vAlign w:val="bottom"/>
            <w:shd w:val="clear" w:color="auto" w:fill="D4F1F5"/>
          </w:tcPr>
          <w:p>
            <w:pPr>
              <w:ind w:left="20"/>
              <w:spacing w:after="0"/>
              <w:rPr>
                <w:sz w:val="20"/>
                <w:szCs w:val="20"/>
                <w:color w:val="auto"/>
              </w:rPr>
            </w:pPr>
            <w:r>
              <w:rPr>
                <w:rFonts w:ascii="Arial" w:cs="Arial" w:eastAsia="Arial" w:hAnsi="Arial"/>
                <w:sz w:val="14"/>
                <w:szCs w:val="14"/>
                <w:color w:val="auto"/>
              </w:rPr>
              <w:t>Repurchases of common stock</w:t>
            </w:r>
          </w:p>
        </w:tc>
        <w:tc>
          <w:tcPr>
            <w:tcW w:w="160" w:type="dxa"/>
            <w:vAlign w:val="bottom"/>
            <w:shd w:val="clear" w:color="auto" w:fill="D4F1F5"/>
          </w:tcPr>
          <w:p>
            <w:pPr>
              <w:spacing w:after="0"/>
              <w:rPr>
                <w:sz w:val="17"/>
                <w:szCs w:val="17"/>
                <w:color w:val="auto"/>
              </w:rPr>
            </w:pPr>
          </w:p>
        </w:tc>
        <w:tc>
          <w:tcPr>
            <w:tcW w:w="800" w:type="dxa"/>
            <w:vAlign w:val="bottom"/>
            <w:tcBorders>
              <w:right w:val="single" w:sz="8" w:color="auto"/>
            </w:tcBorders>
            <w:shd w:val="clear" w:color="auto" w:fill="D4F1F5"/>
          </w:tcPr>
          <w:p>
            <w:pPr>
              <w:spacing w:after="0"/>
              <w:rPr>
                <w:sz w:val="17"/>
                <w:szCs w:val="17"/>
                <w:color w:val="auto"/>
              </w:rPr>
            </w:pPr>
          </w:p>
        </w:tc>
        <w:tc>
          <w:tcPr>
            <w:tcW w:w="180" w:type="dxa"/>
            <w:vAlign w:val="bottom"/>
            <w:shd w:val="clear" w:color="auto" w:fill="D4F1F5"/>
          </w:tcPr>
          <w:p>
            <w:pPr>
              <w:spacing w:after="0"/>
              <w:rPr>
                <w:sz w:val="17"/>
                <w:szCs w:val="17"/>
                <w:color w:val="auto"/>
              </w:rPr>
            </w:pPr>
          </w:p>
        </w:tc>
        <w:tc>
          <w:tcPr>
            <w:tcW w:w="840" w:type="dxa"/>
            <w:vAlign w:val="bottom"/>
            <w:shd w:val="clear" w:color="auto" w:fill="D4F1F5"/>
          </w:tcPr>
          <w:p>
            <w:pPr>
              <w:spacing w:after="0"/>
              <w:rPr>
                <w:sz w:val="17"/>
                <w:szCs w:val="17"/>
                <w:color w:val="auto"/>
              </w:rPr>
            </w:pPr>
          </w:p>
        </w:tc>
        <w:tc>
          <w:tcPr>
            <w:tcW w:w="180" w:type="dxa"/>
            <w:vAlign w:val="bottom"/>
            <w:shd w:val="clear" w:color="auto" w:fill="D4F1F5"/>
          </w:tcPr>
          <w:p>
            <w:pPr>
              <w:spacing w:after="0"/>
              <w:rPr>
                <w:sz w:val="17"/>
                <w:szCs w:val="17"/>
                <w:color w:val="auto"/>
              </w:rPr>
            </w:pPr>
          </w:p>
        </w:tc>
        <w:tc>
          <w:tcPr>
            <w:tcW w:w="860" w:type="dxa"/>
            <w:vAlign w:val="bottom"/>
            <w:shd w:val="clear" w:color="auto" w:fill="D4F1F5"/>
          </w:tcPr>
          <w:p>
            <w:pPr>
              <w:jc w:val="right"/>
              <w:spacing w:after="0"/>
              <w:rPr>
                <w:sz w:val="20"/>
                <w:szCs w:val="20"/>
                <w:color w:val="auto"/>
              </w:rPr>
            </w:pPr>
            <w:r>
              <w:rPr>
                <w:rFonts w:ascii="Arial" w:cs="Arial" w:eastAsia="Arial" w:hAnsi="Arial"/>
                <w:sz w:val="14"/>
                <w:szCs w:val="14"/>
                <w:color w:val="auto"/>
              </w:rPr>
              <w:t>(57)</w:t>
            </w:r>
          </w:p>
        </w:tc>
        <w:tc>
          <w:tcPr>
            <w:tcW w:w="180" w:type="dxa"/>
            <w:vAlign w:val="bottom"/>
            <w:shd w:val="clear" w:color="auto" w:fill="D4F1F5"/>
          </w:tcPr>
          <w:p>
            <w:pPr>
              <w:spacing w:after="0"/>
              <w:rPr>
                <w:sz w:val="17"/>
                <w:szCs w:val="17"/>
                <w:color w:val="auto"/>
              </w:rPr>
            </w:pPr>
          </w:p>
        </w:tc>
        <w:tc>
          <w:tcPr>
            <w:tcW w:w="840" w:type="dxa"/>
            <w:vAlign w:val="bottom"/>
            <w:shd w:val="clear" w:color="auto" w:fill="D4F1F5"/>
          </w:tcPr>
          <w:p>
            <w:pPr>
              <w:spacing w:after="0"/>
              <w:rPr>
                <w:sz w:val="17"/>
                <w:szCs w:val="17"/>
                <w:color w:val="auto"/>
              </w:rPr>
            </w:pPr>
          </w:p>
        </w:tc>
        <w:tc>
          <w:tcPr>
            <w:tcW w:w="240" w:type="dxa"/>
            <w:vAlign w:val="bottom"/>
            <w:shd w:val="clear" w:color="auto" w:fill="D4F1F5"/>
          </w:tcPr>
          <w:p>
            <w:pPr>
              <w:spacing w:after="0"/>
              <w:rPr>
                <w:sz w:val="17"/>
                <w:szCs w:val="17"/>
                <w:color w:val="auto"/>
              </w:rPr>
            </w:pPr>
          </w:p>
        </w:tc>
        <w:tc>
          <w:tcPr>
            <w:tcW w:w="780" w:type="dxa"/>
            <w:vAlign w:val="bottom"/>
            <w:shd w:val="clear" w:color="auto" w:fill="D4F1F5"/>
          </w:tcPr>
          <w:p>
            <w:pPr>
              <w:spacing w:after="0"/>
              <w:rPr>
                <w:sz w:val="17"/>
                <w:szCs w:val="17"/>
                <w:color w:val="auto"/>
              </w:rPr>
            </w:pPr>
          </w:p>
        </w:tc>
        <w:tc>
          <w:tcPr>
            <w:tcW w:w="240" w:type="dxa"/>
            <w:vAlign w:val="bottom"/>
            <w:shd w:val="clear" w:color="auto" w:fill="D4F1F5"/>
          </w:tcPr>
          <w:p>
            <w:pPr>
              <w:spacing w:after="0"/>
              <w:rPr>
                <w:sz w:val="17"/>
                <w:szCs w:val="17"/>
                <w:color w:val="auto"/>
              </w:rPr>
            </w:pPr>
          </w:p>
        </w:tc>
        <w:tc>
          <w:tcPr>
            <w:tcW w:w="820" w:type="dxa"/>
            <w:vAlign w:val="bottom"/>
            <w:shd w:val="clear" w:color="auto" w:fill="D4F1F5"/>
          </w:tcPr>
          <w:p>
            <w:pPr>
              <w:jc w:val="right"/>
              <w:spacing w:after="0"/>
              <w:rPr>
                <w:sz w:val="20"/>
                <w:szCs w:val="20"/>
                <w:color w:val="auto"/>
              </w:rPr>
            </w:pPr>
            <w:r>
              <w:rPr>
                <w:rFonts w:ascii="Arial" w:cs="Arial" w:eastAsia="Arial" w:hAnsi="Arial"/>
                <w:sz w:val="14"/>
                <w:szCs w:val="14"/>
                <w:b w:val="1"/>
                <w:bCs w:val="1"/>
                <w:color w:val="auto"/>
              </w:rPr>
              <w:t>(57)</w:t>
            </w:r>
          </w:p>
        </w:tc>
        <w:tc>
          <w:tcPr>
            <w:tcW w:w="280" w:type="dxa"/>
            <w:vAlign w:val="bottom"/>
            <w:shd w:val="clear" w:color="auto" w:fill="D4F1F5"/>
          </w:tcPr>
          <w:p>
            <w:pPr>
              <w:spacing w:after="0"/>
              <w:rPr>
                <w:sz w:val="17"/>
                <w:szCs w:val="17"/>
                <w:color w:val="auto"/>
              </w:rPr>
            </w:pPr>
          </w:p>
        </w:tc>
        <w:tc>
          <w:tcPr>
            <w:tcW w:w="760" w:type="dxa"/>
            <w:vAlign w:val="bottom"/>
            <w:shd w:val="clear" w:color="auto" w:fill="D4F1F5"/>
          </w:tcPr>
          <w:p>
            <w:pPr>
              <w:spacing w:after="0"/>
              <w:rPr>
                <w:sz w:val="17"/>
                <w:szCs w:val="17"/>
                <w:color w:val="auto"/>
              </w:rPr>
            </w:pPr>
          </w:p>
        </w:tc>
        <w:tc>
          <w:tcPr>
            <w:tcW w:w="220" w:type="dxa"/>
            <w:vAlign w:val="bottom"/>
            <w:shd w:val="clear" w:color="auto" w:fill="D4F1F5"/>
          </w:tcPr>
          <w:p>
            <w:pPr>
              <w:spacing w:after="0"/>
              <w:rPr>
                <w:sz w:val="17"/>
                <w:szCs w:val="17"/>
                <w:color w:val="auto"/>
              </w:rPr>
            </w:pPr>
          </w:p>
        </w:tc>
        <w:tc>
          <w:tcPr>
            <w:tcW w:w="760" w:type="dxa"/>
            <w:vAlign w:val="bottom"/>
            <w:shd w:val="clear" w:color="auto" w:fill="D4F1F5"/>
          </w:tcPr>
          <w:p>
            <w:pPr>
              <w:jc w:val="right"/>
              <w:spacing w:after="0"/>
              <w:rPr>
                <w:sz w:val="20"/>
                <w:szCs w:val="20"/>
                <w:color w:val="auto"/>
              </w:rPr>
            </w:pPr>
            <w:r>
              <w:rPr>
                <w:rFonts w:ascii="Arial" w:cs="Arial" w:eastAsia="Arial" w:hAnsi="Arial"/>
                <w:sz w:val="14"/>
                <w:szCs w:val="14"/>
                <w:b w:val="1"/>
                <w:bCs w:val="1"/>
                <w:color w:val="auto"/>
              </w:rPr>
              <w:t>(57)</w:t>
            </w:r>
          </w:p>
        </w:tc>
      </w:tr>
      <w:tr>
        <w:trPr>
          <w:trHeight w:val="198"/>
        </w:trPr>
        <w:tc>
          <w:tcPr>
            <w:tcW w:w="3100" w:type="dxa"/>
            <w:vAlign w:val="bottom"/>
          </w:tcPr>
          <w:p>
            <w:pPr>
              <w:ind w:left="20"/>
              <w:spacing w:after="0"/>
              <w:rPr>
                <w:sz w:val="20"/>
                <w:szCs w:val="20"/>
                <w:color w:val="auto"/>
              </w:rPr>
            </w:pPr>
            <w:r>
              <w:rPr>
                <w:rFonts w:ascii="Arial" w:cs="Arial" w:eastAsia="Arial" w:hAnsi="Arial"/>
                <w:sz w:val="14"/>
                <w:szCs w:val="14"/>
                <w:color w:val="auto"/>
              </w:rPr>
              <w:t>CRNCI and NCI activities:</w:t>
            </w:r>
          </w:p>
        </w:tc>
        <w:tc>
          <w:tcPr>
            <w:tcW w:w="160" w:type="dxa"/>
            <w:vAlign w:val="bottom"/>
          </w:tcPr>
          <w:p>
            <w:pPr>
              <w:spacing w:after="0"/>
              <w:rPr>
                <w:sz w:val="17"/>
                <w:szCs w:val="17"/>
                <w:color w:val="auto"/>
              </w:rPr>
            </w:pPr>
          </w:p>
        </w:tc>
        <w:tc>
          <w:tcPr>
            <w:tcW w:w="800" w:type="dxa"/>
            <w:vAlign w:val="bottom"/>
            <w:tcBorders>
              <w:right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r>
      <w:tr>
        <w:trPr>
          <w:trHeight w:val="207"/>
        </w:trPr>
        <w:tc>
          <w:tcPr>
            <w:tcW w:w="3100" w:type="dxa"/>
            <w:vAlign w:val="bottom"/>
            <w:shd w:val="clear" w:color="auto" w:fill="D4F1F5"/>
          </w:tcPr>
          <w:p>
            <w:pPr>
              <w:ind w:left="220"/>
              <w:spacing w:after="0"/>
              <w:rPr>
                <w:sz w:val="20"/>
                <w:szCs w:val="20"/>
                <w:color w:val="auto"/>
              </w:rPr>
            </w:pPr>
            <w:r>
              <w:rPr>
                <w:rFonts w:ascii="Arial" w:cs="Arial" w:eastAsia="Arial" w:hAnsi="Arial"/>
                <w:sz w:val="14"/>
                <w:szCs w:val="14"/>
                <w:color w:val="auto"/>
              </w:rPr>
              <w:t>Contributions from NCI</w:t>
            </w:r>
          </w:p>
        </w:tc>
        <w:tc>
          <w:tcPr>
            <w:tcW w:w="160" w:type="dxa"/>
            <w:vAlign w:val="bottom"/>
            <w:shd w:val="clear" w:color="auto" w:fill="D4F1F5"/>
          </w:tcPr>
          <w:p>
            <w:pPr>
              <w:spacing w:after="0"/>
              <w:rPr>
                <w:sz w:val="17"/>
                <w:szCs w:val="17"/>
                <w:color w:val="auto"/>
              </w:rPr>
            </w:pPr>
          </w:p>
        </w:tc>
        <w:tc>
          <w:tcPr>
            <w:tcW w:w="800" w:type="dxa"/>
            <w:vAlign w:val="bottom"/>
            <w:tcBorders>
              <w:right w:val="single" w:sz="8" w:color="auto"/>
            </w:tcBorders>
            <w:shd w:val="clear" w:color="auto" w:fill="D4F1F5"/>
          </w:tcPr>
          <w:p>
            <w:pPr>
              <w:spacing w:after="0"/>
              <w:rPr>
                <w:sz w:val="17"/>
                <w:szCs w:val="17"/>
                <w:color w:val="auto"/>
              </w:rPr>
            </w:pPr>
          </w:p>
        </w:tc>
        <w:tc>
          <w:tcPr>
            <w:tcW w:w="180" w:type="dxa"/>
            <w:vAlign w:val="bottom"/>
            <w:shd w:val="clear" w:color="auto" w:fill="D4F1F5"/>
          </w:tcPr>
          <w:p>
            <w:pPr>
              <w:spacing w:after="0"/>
              <w:rPr>
                <w:sz w:val="17"/>
                <w:szCs w:val="17"/>
                <w:color w:val="auto"/>
              </w:rPr>
            </w:pPr>
          </w:p>
        </w:tc>
        <w:tc>
          <w:tcPr>
            <w:tcW w:w="840" w:type="dxa"/>
            <w:vAlign w:val="bottom"/>
            <w:shd w:val="clear" w:color="auto" w:fill="D4F1F5"/>
          </w:tcPr>
          <w:p>
            <w:pPr>
              <w:spacing w:after="0"/>
              <w:rPr>
                <w:sz w:val="17"/>
                <w:szCs w:val="17"/>
                <w:color w:val="auto"/>
              </w:rPr>
            </w:pPr>
          </w:p>
        </w:tc>
        <w:tc>
          <w:tcPr>
            <w:tcW w:w="180" w:type="dxa"/>
            <w:vAlign w:val="bottom"/>
            <w:shd w:val="clear" w:color="auto" w:fill="D4F1F5"/>
          </w:tcPr>
          <w:p>
            <w:pPr>
              <w:spacing w:after="0"/>
              <w:rPr>
                <w:sz w:val="17"/>
                <w:szCs w:val="17"/>
                <w:color w:val="auto"/>
              </w:rPr>
            </w:pPr>
          </w:p>
        </w:tc>
        <w:tc>
          <w:tcPr>
            <w:tcW w:w="860" w:type="dxa"/>
            <w:vAlign w:val="bottom"/>
            <w:shd w:val="clear" w:color="auto" w:fill="D4F1F5"/>
          </w:tcPr>
          <w:p>
            <w:pPr>
              <w:spacing w:after="0"/>
              <w:rPr>
                <w:sz w:val="17"/>
                <w:szCs w:val="17"/>
                <w:color w:val="auto"/>
              </w:rPr>
            </w:pPr>
          </w:p>
        </w:tc>
        <w:tc>
          <w:tcPr>
            <w:tcW w:w="180" w:type="dxa"/>
            <w:vAlign w:val="bottom"/>
            <w:shd w:val="clear" w:color="auto" w:fill="D4F1F5"/>
          </w:tcPr>
          <w:p>
            <w:pPr>
              <w:spacing w:after="0"/>
              <w:rPr>
                <w:sz w:val="17"/>
                <w:szCs w:val="17"/>
                <w:color w:val="auto"/>
              </w:rPr>
            </w:pPr>
          </w:p>
        </w:tc>
        <w:tc>
          <w:tcPr>
            <w:tcW w:w="840" w:type="dxa"/>
            <w:vAlign w:val="bottom"/>
            <w:shd w:val="clear" w:color="auto" w:fill="D4F1F5"/>
          </w:tcPr>
          <w:p>
            <w:pPr>
              <w:spacing w:after="0"/>
              <w:rPr>
                <w:sz w:val="17"/>
                <w:szCs w:val="17"/>
                <w:color w:val="auto"/>
              </w:rPr>
            </w:pPr>
          </w:p>
        </w:tc>
        <w:tc>
          <w:tcPr>
            <w:tcW w:w="240" w:type="dxa"/>
            <w:vAlign w:val="bottom"/>
            <w:shd w:val="clear" w:color="auto" w:fill="D4F1F5"/>
          </w:tcPr>
          <w:p>
            <w:pPr>
              <w:spacing w:after="0"/>
              <w:rPr>
                <w:sz w:val="17"/>
                <w:szCs w:val="17"/>
                <w:color w:val="auto"/>
              </w:rPr>
            </w:pPr>
          </w:p>
        </w:tc>
        <w:tc>
          <w:tcPr>
            <w:tcW w:w="780" w:type="dxa"/>
            <w:vAlign w:val="bottom"/>
            <w:shd w:val="clear" w:color="auto" w:fill="D4F1F5"/>
          </w:tcPr>
          <w:p>
            <w:pPr>
              <w:spacing w:after="0"/>
              <w:rPr>
                <w:sz w:val="17"/>
                <w:szCs w:val="17"/>
                <w:color w:val="auto"/>
              </w:rPr>
            </w:pPr>
          </w:p>
        </w:tc>
        <w:tc>
          <w:tcPr>
            <w:tcW w:w="240" w:type="dxa"/>
            <w:vAlign w:val="bottom"/>
            <w:shd w:val="clear" w:color="auto" w:fill="D4F1F5"/>
          </w:tcPr>
          <w:p>
            <w:pPr>
              <w:spacing w:after="0"/>
              <w:rPr>
                <w:sz w:val="17"/>
                <w:szCs w:val="17"/>
                <w:color w:val="auto"/>
              </w:rPr>
            </w:pPr>
          </w:p>
        </w:tc>
        <w:tc>
          <w:tcPr>
            <w:tcW w:w="820" w:type="dxa"/>
            <w:vAlign w:val="bottom"/>
            <w:shd w:val="clear" w:color="auto" w:fill="D4F1F5"/>
          </w:tcPr>
          <w:p>
            <w:pPr>
              <w:spacing w:after="0"/>
              <w:rPr>
                <w:sz w:val="17"/>
                <w:szCs w:val="17"/>
                <w:color w:val="auto"/>
              </w:rPr>
            </w:pPr>
          </w:p>
        </w:tc>
        <w:tc>
          <w:tcPr>
            <w:tcW w:w="280" w:type="dxa"/>
            <w:vAlign w:val="bottom"/>
            <w:shd w:val="clear" w:color="auto" w:fill="D4F1F5"/>
          </w:tcPr>
          <w:p>
            <w:pPr>
              <w:spacing w:after="0"/>
              <w:rPr>
                <w:sz w:val="17"/>
                <w:szCs w:val="17"/>
                <w:color w:val="auto"/>
              </w:rPr>
            </w:pPr>
          </w:p>
        </w:tc>
        <w:tc>
          <w:tcPr>
            <w:tcW w:w="760" w:type="dxa"/>
            <w:vAlign w:val="bottom"/>
            <w:shd w:val="clear" w:color="auto" w:fill="D4F1F5"/>
          </w:tcPr>
          <w:p>
            <w:pPr>
              <w:jc w:val="right"/>
              <w:ind w:right="48"/>
              <w:spacing w:after="0"/>
              <w:rPr>
                <w:sz w:val="20"/>
                <w:szCs w:val="20"/>
                <w:color w:val="auto"/>
              </w:rPr>
            </w:pPr>
            <w:r>
              <w:rPr>
                <w:rFonts w:ascii="Arial" w:cs="Arial" w:eastAsia="Arial" w:hAnsi="Arial"/>
                <w:sz w:val="14"/>
                <w:szCs w:val="14"/>
                <w:color w:val="auto"/>
              </w:rPr>
              <w:t>34</w:t>
            </w:r>
          </w:p>
        </w:tc>
        <w:tc>
          <w:tcPr>
            <w:tcW w:w="220" w:type="dxa"/>
            <w:vAlign w:val="bottom"/>
            <w:shd w:val="clear" w:color="auto" w:fill="D4F1F5"/>
          </w:tcPr>
          <w:p>
            <w:pPr>
              <w:spacing w:after="0"/>
              <w:rPr>
                <w:sz w:val="17"/>
                <w:szCs w:val="17"/>
                <w:color w:val="auto"/>
              </w:rPr>
            </w:pPr>
          </w:p>
        </w:tc>
        <w:tc>
          <w:tcPr>
            <w:tcW w:w="760" w:type="dxa"/>
            <w:vAlign w:val="bottom"/>
            <w:shd w:val="clear" w:color="auto" w:fill="D4F1F5"/>
          </w:tcPr>
          <w:p>
            <w:pPr>
              <w:jc w:val="right"/>
              <w:spacing w:after="0"/>
              <w:rPr>
                <w:sz w:val="20"/>
                <w:szCs w:val="20"/>
                <w:color w:val="auto"/>
              </w:rPr>
            </w:pPr>
            <w:r>
              <w:rPr>
                <w:rFonts w:ascii="Arial" w:cs="Arial" w:eastAsia="Arial" w:hAnsi="Arial"/>
                <w:sz w:val="14"/>
                <w:szCs w:val="14"/>
                <w:b w:val="1"/>
                <w:bCs w:val="1"/>
                <w:color w:val="auto"/>
              </w:rPr>
              <w:t>34</w:t>
            </w:r>
          </w:p>
        </w:tc>
      </w:tr>
      <w:tr>
        <w:trPr>
          <w:trHeight w:val="201"/>
        </w:trPr>
        <w:tc>
          <w:tcPr>
            <w:tcW w:w="3100" w:type="dxa"/>
            <w:vAlign w:val="bottom"/>
            <w:tcBorders>
              <w:bottom w:val="single" w:sz="8" w:color="D4F1F5"/>
            </w:tcBorders>
          </w:tcPr>
          <w:p>
            <w:pPr>
              <w:ind w:left="220"/>
              <w:spacing w:after="0"/>
              <w:rPr>
                <w:sz w:val="20"/>
                <w:szCs w:val="20"/>
                <w:color w:val="auto"/>
              </w:rPr>
            </w:pPr>
            <w:r>
              <w:rPr>
                <w:rFonts w:ascii="Arial" w:cs="Arial" w:eastAsia="Arial" w:hAnsi="Arial"/>
                <w:sz w:val="14"/>
                <w:szCs w:val="14"/>
                <w:color w:val="auto"/>
              </w:rPr>
              <w:t>Distributions to NCI</w:t>
            </w:r>
          </w:p>
        </w:tc>
        <w:tc>
          <w:tcPr>
            <w:tcW w:w="160" w:type="dxa"/>
            <w:vAlign w:val="bottom"/>
            <w:tcBorders>
              <w:bottom w:val="single" w:sz="8" w:color="auto"/>
            </w:tcBorders>
          </w:tcPr>
          <w:p>
            <w:pPr>
              <w:spacing w:after="0"/>
              <w:rPr>
                <w:sz w:val="17"/>
                <w:szCs w:val="17"/>
                <w:color w:val="auto"/>
              </w:rPr>
            </w:pPr>
          </w:p>
        </w:tc>
        <w:tc>
          <w:tcPr>
            <w:tcW w:w="800" w:type="dxa"/>
            <w:vAlign w:val="bottom"/>
            <w:tcBorders>
              <w:bottom w:val="single" w:sz="8" w:color="auto"/>
              <w:right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(38)</w:t>
            </w:r>
          </w:p>
        </w:tc>
        <w:tc>
          <w:tcPr>
            <w:tcW w:w="2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(38)</w:t>
            </w:r>
          </w:p>
        </w:tc>
      </w:tr>
      <w:tr>
        <w:trPr>
          <w:trHeight w:val="204"/>
        </w:trPr>
        <w:tc>
          <w:tcPr>
            <w:tcW w:w="3100" w:type="dxa"/>
            <w:vAlign w:val="bottom"/>
            <w:tcBorders>
              <w:bottom w:val="single" w:sz="8" w:color="auto"/>
            </w:tcBorders>
            <w:shd w:val="clear" w:color="auto" w:fill="D4F1F5"/>
          </w:tcPr>
          <w:p>
            <w:pPr>
              <w:ind w:left="20"/>
              <w:spacing w:after="0"/>
              <w:rPr>
                <w:sz w:val="20"/>
                <w:szCs w:val="20"/>
                <w:color w:val="auto"/>
              </w:rPr>
            </w:pPr>
            <w:r>
              <w:rPr>
                <w:rFonts w:ascii="Arial" w:cs="Arial" w:eastAsia="Arial" w:hAnsi="Arial"/>
                <w:sz w:val="14"/>
                <w:szCs w:val="14"/>
                <w:b w:val="1"/>
                <w:bCs w:val="1"/>
                <w:color w:val="auto"/>
              </w:rPr>
              <w:t>Balance at March 31, 2025</w:t>
            </w:r>
          </w:p>
        </w:tc>
        <w:tc>
          <w:tcPr>
            <w:tcW w:w="160" w:type="dxa"/>
            <w:vAlign w:val="bottom"/>
            <w:tcBorders>
              <w:bottom w:val="single" w:sz="8" w:color="auto"/>
            </w:tcBorders>
            <w:shd w:val="clear" w:color="auto" w:fill="D4F1F5"/>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right w:val="single" w:sz="8" w:color="auto"/>
            </w:tcBorders>
            <w:shd w:val="clear" w:color="auto" w:fill="D4F1F5"/>
          </w:tcPr>
          <w:p>
            <w:pPr>
              <w:jc w:val="right"/>
              <w:ind w:right="28"/>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auto"/>
            </w:tcBorders>
            <w:shd w:val="clear" w:color="auto" w:fill="D4F1F5"/>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shd w:val="clear" w:color="auto" w:fill="D4F1F5"/>
          </w:tcPr>
          <w:p>
            <w:pPr>
              <w:jc w:val="right"/>
              <w:ind w:right="8"/>
              <w:spacing w:after="0"/>
              <w:rPr>
                <w:sz w:val="20"/>
                <w:szCs w:val="20"/>
                <w:color w:val="auto"/>
              </w:rPr>
            </w:pPr>
            <w:r>
              <w:rPr>
                <w:rFonts w:ascii="Arial" w:cs="Arial" w:eastAsia="Arial" w:hAnsi="Arial"/>
                <w:sz w:val="14"/>
                <w:szCs w:val="14"/>
                <w:color w:val="auto"/>
              </w:rPr>
              <w:t>889</w:t>
            </w:r>
          </w:p>
        </w:tc>
        <w:tc>
          <w:tcPr>
            <w:tcW w:w="180" w:type="dxa"/>
            <w:vAlign w:val="bottom"/>
            <w:tcBorders>
              <w:bottom w:val="single" w:sz="8" w:color="auto"/>
            </w:tcBorders>
            <w:shd w:val="clear" w:color="auto" w:fill="D4F1F5"/>
          </w:tcPr>
          <w:p>
            <w:pPr>
              <w:jc w:val="right"/>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shd w:val="clear" w:color="auto" w:fill="D4F1F5"/>
          </w:tcPr>
          <w:p>
            <w:pPr>
              <w:jc w:val="right"/>
              <w:ind w:right="28"/>
              <w:spacing w:after="0"/>
              <w:rPr>
                <w:sz w:val="20"/>
                <w:szCs w:val="20"/>
                <w:color w:val="auto"/>
              </w:rPr>
            </w:pPr>
            <w:r>
              <w:rPr>
                <w:rFonts w:ascii="Arial" w:cs="Arial" w:eastAsia="Arial" w:hAnsi="Arial"/>
                <w:sz w:val="14"/>
                <w:szCs w:val="14"/>
                <w:color w:val="auto"/>
              </w:rPr>
              <w:t>13,484</w:t>
            </w:r>
          </w:p>
        </w:tc>
        <w:tc>
          <w:tcPr>
            <w:tcW w:w="180" w:type="dxa"/>
            <w:vAlign w:val="bottom"/>
            <w:tcBorders>
              <w:bottom w:val="single" w:sz="8" w:color="auto"/>
            </w:tcBorders>
            <w:shd w:val="clear" w:color="auto" w:fill="D4F1F5"/>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shd w:val="clear" w:color="auto" w:fill="D4F1F5"/>
          </w:tcPr>
          <w:p>
            <w:pPr>
              <w:jc w:val="right"/>
              <w:ind w:right="28"/>
              <w:spacing w:after="0"/>
              <w:rPr>
                <w:sz w:val="20"/>
                <w:szCs w:val="20"/>
                <w:color w:val="auto"/>
              </w:rPr>
            </w:pPr>
            <w:r>
              <w:rPr>
                <w:rFonts w:ascii="Arial" w:cs="Arial" w:eastAsia="Arial" w:hAnsi="Arial"/>
                <w:sz w:val="14"/>
                <w:szCs w:val="14"/>
                <w:color w:val="auto"/>
              </w:rPr>
              <w:t>17,465</w:t>
            </w:r>
          </w:p>
        </w:tc>
        <w:tc>
          <w:tcPr>
            <w:tcW w:w="240" w:type="dxa"/>
            <w:vAlign w:val="bottom"/>
            <w:tcBorders>
              <w:bottom w:val="single" w:sz="8" w:color="auto"/>
            </w:tcBorders>
            <w:shd w:val="clear" w:color="auto" w:fill="D4F1F5"/>
          </w:tcPr>
          <w:p>
            <w:pPr>
              <w:jc w:val="right"/>
              <w:ind w:right="28"/>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shd w:val="clear" w:color="auto" w:fill="D4F1F5"/>
          </w:tcPr>
          <w:p>
            <w:pPr>
              <w:jc w:val="right"/>
              <w:spacing w:after="0"/>
              <w:rPr>
                <w:sz w:val="20"/>
                <w:szCs w:val="20"/>
                <w:color w:val="auto"/>
              </w:rPr>
            </w:pPr>
            <w:r>
              <w:rPr>
                <w:rFonts w:ascii="Arial" w:cs="Arial" w:eastAsia="Arial" w:hAnsi="Arial"/>
                <w:sz w:val="14"/>
                <w:szCs w:val="14"/>
                <w:color w:val="auto"/>
              </w:rPr>
              <w:t>(195)</w:t>
            </w:r>
          </w:p>
        </w:tc>
        <w:tc>
          <w:tcPr>
            <w:tcW w:w="240" w:type="dxa"/>
            <w:vAlign w:val="bottom"/>
            <w:tcBorders>
              <w:bottom w:val="single" w:sz="8" w:color="auto"/>
            </w:tcBorders>
            <w:shd w:val="clear" w:color="auto" w:fill="D4F1F5"/>
          </w:tcPr>
          <w:p>
            <w:pPr>
              <w:ind w:left="60"/>
              <w:spacing w:after="0"/>
              <w:rPr>
                <w:sz w:val="20"/>
                <w:szCs w:val="20"/>
                <w:color w:val="auto"/>
              </w:rPr>
            </w:pPr>
            <w:r>
              <w:rPr>
                <w:rFonts w:ascii="Arial" w:cs="Arial" w:eastAsia="Arial" w:hAnsi="Arial"/>
                <w:sz w:val="14"/>
                <w:szCs w:val="14"/>
                <w:b w:val="1"/>
                <w:bCs w:val="1"/>
                <w:color w:val="auto"/>
              </w:rPr>
              <w:t>$</w:t>
            </w:r>
          </w:p>
        </w:tc>
        <w:tc>
          <w:tcPr>
            <w:tcW w:w="820" w:type="dxa"/>
            <w:vAlign w:val="bottom"/>
            <w:tcBorders>
              <w:bottom w:val="single" w:sz="8" w:color="auto"/>
            </w:tcBorders>
            <w:shd w:val="clear" w:color="auto" w:fill="D4F1F5"/>
          </w:tcPr>
          <w:p>
            <w:pPr>
              <w:jc w:val="right"/>
              <w:ind w:right="28"/>
              <w:spacing w:after="0"/>
              <w:rPr>
                <w:sz w:val="20"/>
                <w:szCs w:val="20"/>
                <w:color w:val="auto"/>
              </w:rPr>
            </w:pPr>
            <w:r>
              <w:rPr>
                <w:rFonts w:ascii="Arial" w:cs="Arial" w:eastAsia="Arial" w:hAnsi="Arial"/>
                <w:sz w:val="14"/>
                <w:szCs w:val="14"/>
                <w:b w:val="1"/>
                <w:bCs w:val="1"/>
                <w:color w:val="auto"/>
              </w:rPr>
              <w:t>31,643</w:t>
            </w:r>
          </w:p>
        </w:tc>
        <w:tc>
          <w:tcPr>
            <w:tcW w:w="280" w:type="dxa"/>
            <w:vAlign w:val="bottom"/>
            <w:tcBorders>
              <w:bottom w:val="single" w:sz="8" w:color="auto"/>
            </w:tcBorders>
            <w:shd w:val="clear" w:color="auto" w:fill="D4F1F5"/>
          </w:tcPr>
          <w:p>
            <w:pPr>
              <w:jc w:val="right"/>
              <w:ind w:right="68"/>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shd w:val="clear" w:color="auto" w:fill="D4F1F5"/>
          </w:tcPr>
          <w:p>
            <w:pPr>
              <w:jc w:val="right"/>
              <w:ind w:right="48"/>
              <w:spacing w:after="0"/>
              <w:rPr>
                <w:sz w:val="20"/>
                <w:szCs w:val="20"/>
                <w:color w:val="auto"/>
              </w:rPr>
            </w:pPr>
            <w:r>
              <w:rPr>
                <w:rFonts w:ascii="Arial" w:cs="Arial" w:eastAsia="Arial" w:hAnsi="Arial"/>
                <w:sz w:val="14"/>
                <w:szCs w:val="14"/>
                <w:color w:val="auto"/>
              </w:rPr>
              <w:t>6,559</w:t>
            </w:r>
          </w:p>
        </w:tc>
        <w:tc>
          <w:tcPr>
            <w:tcW w:w="220" w:type="dxa"/>
            <w:vAlign w:val="bottom"/>
            <w:tcBorders>
              <w:bottom w:val="single" w:sz="8" w:color="auto"/>
            </w:tcBorders>
            <w:shd w:val="clear" w:color="auto" w:fill="D4F1F5"/>
          </w:tcPr>
          <w:p>
            <w:pPr>
              <w:jc w:val="right"/>
              <w:ind w:right="8"/>
              <w:spacing w:after="0"/>
              <w:rPr>
                <w:sz w:val="20"/>
                <w:szCs w:val="20"/>
                <w:color w:val="auto"/>
              </w:rPr>
            </w:pPr>
            <w:r>
              <w:rPr>
                <w:rFonts w:ascii="Arial" w:cs="Arial" w:eastAsia="Arial" w:hAnsi="Arial"/>
                <w:sz w:val="14"/>
                <w:szCs w:val="14"/>
                <w:b w:val="1"/>
                <w:bCs w:val="1"/>
                <w:color w:val="auto"/>
              </w:rPr>
              <w:t>$</w:t>
            </w:r>
          </w:p>
        </w:tc>
        <w:tc>
          <w:tcPr>
            <w:tcW w:w="760" w:type="dxa"/>
            <w:vAlign w:val="bottom"/>
            <w:tcBorders>
              <w:bottom w:val="single" w:sz="8" w:color="auto"/>
            </w:tcBorders>
            <w:shd w:val="clear" w:color="auto" w:fill="D4F1F5"/>
          </w:tcPr>
          <w:p>
            <w:pPr>
              <w:jc w:val="right"/>
              <w:spacing w:after="0"/>
              <w:rPr>
                <w:sz w:val="20"/>
                <w:szCs w:val="20"/>
                <w:color w:val="auto"/>
              </w:rPr>
            </w:pPr>
            <w:r>
              <w:rPr>
                <w:rFonts w:ascii="Arial" w:cs="Arial" w:eastAsia="Arial" w:hAnsi="Arial"/>
                <w:sz w:val="14"/>
                <w:szCs w:val="14"/>
                <w:b w:val="1"/>
                <w:bCs w:val="1"/>
                <w:color w:val="auto"/>
              </w:rPr>
              <w:t>38,202</w:t>
            </w:r>
          </w:p>
        </w:tc>
      </w:tr>
    </w:tbl>
    <w:p>
      <w:pPr>
        <w:spacing w:after="0" w:line="141"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See Notes to Condensed Consolidated Financial Statements.</w:t>
      </w: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480060</wp:posOffset>
            </wp:positionV>
            <wp:extent cx="7132320" cy="45466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4546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FFFFFF"/>
        </w:rPr>
        <w:t>SAN DIEGO GAS &amp; ELECTRIC COMPANY</w:t>
      </w:r>
    </w:p>
    <w:p>
      <w:pPr>
        <w:spacing w:after="0" w:line="59"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FFFFFF"/>
        </w:rPr>
        <w:t>CONDENSED STATEMENTS OF OPERATIONS</w:t>
      </w:r>
    </w:p>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8440" w:type="dxa"/>
            <w:vAlign w:val="bottom"/>
          </w:tcPr>
          <w:p>
            <w:pPr>
              <w:ind w:left="20"/>
              <w:spacing w:after="0"/>
              <w:rPr>
                <w:sz w:val="20"/>
                <w:szCs w:val="20"/>
                <w:color w:val="auto"/>
              </w:rPr>
            </w:pPr>
            <w:r>
              <w:rPr>
                <w:rFonts w:ascii="Arial" w:cs="Arial" w:eastAsia="Arial" w:hAnsi="Arial"/>
                <w:sz w:val="14"/>
                <w:szCs w:val="14"/>
                <w:i w:val="1"/>
                <w:iCs w:val="1"/>
                <w:color w:val="FFFFFF"/>
              </w:rPr>
              <w:t>(Dollars in millions)</w:t>
            </w:r>
          </w:p>
        </w:tc>
        <w:tc>
          <w:tcPr>
            <w:tcW w:w="8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233"/>
        </w:trPr>
        <w:tc>
          <w:tcPr>
            <w:tcW w:w="8440" w:type="dxa"/>
            <w:vAlign w:val="bottom"/>
          </w:tcPr>
          <w:p>
            <w:pPr>
              <w:spacing w:after="0"/>
              <w:rPr>
                <w:sz w:val="20"/>
                <w:szCs w:val="20"/>
                <w:color w:val="auto"/>
              </w:rPr>
            </w:pPr>
          </w:p>
        </w:tc>
        <w:tc>
          <w:tcPr>
            <w:tcW w:w="2800" w:type="dxa"/>
            <w:vAlign w:val="bottom"/>
            <w:tcBorders>
              <w:bottom w:val="single" w:sz="8" w:color="auto"/>
            </w:tcBorders>
            <w:gridSpan w:val="4"/>
          </w:tcPr>
          <w:p>
            <w:pPr>
              <w:jc w:val="right"/>
              <w:ind w:right="320"/>
              <w:spacing w:after="0"/>
              <w:rPr>
                <w:sz w:val="20"/>
                <w:szCs w:val="20"/>
                <w:color w:val="auto"/>
              </w:rPr>
            </w:pPr>
            <w:r>
              <w:rPr>
                <w:rFonts w:ascii="Arial" w:cs="Arial" w:eastAsia="Arial" w:hAnsi="Arial"/>
                <w:sz w:val="14"/>
                <w:szCs w:val="14"/>
                <w:color w:val="auto"/>
              </w:rPr>
              <w:t>Three months ended March 31,</w:t>
            </w:r>
          </w:p>
        </w:tc>
      </w:tr>
      <w:tr>
        <w:trPr>
          <w:trHeight w:val="210"/>
        </w:trPr>
        <w:tc>
          <w:tcPr>
            <w:tcW w:w="84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2026</w:t>
            </w:r>
          </w:p>
        </w:tc>
        <w:tc>
          <w:tcPr>
            <w:tcW w:w="58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420"/>
              <w:spacing w:after="0"/>
              <w:rPr>
                <w:sz w:val="20"/>
                <w:szCs w:val="20"/>
                <w:color w:val="auto"/>
              </w:rPr>
            </w:pPr>
            <w:r>
              <w:rPr>
                <w:rFonts w:ascii="Arial" w:cs="Arial" w:eastAsia="Arial" w:hAnsi="Arial"/>
                <w:sz w:val="14"/>
                <w:szCs w:val="14"/>
                <w:color w:val="auto"/>
              </w:rPr>
              <w:t>2025</w:t>
            </w:r>
          </w:p>
        </w:tc>
      </w:tr>
      <w:tr>
        <w:trPr>
          <w:trHeight w:val="213"/>
        </w:trPr>
        <w:tc>
          <w:tcPr>
            <w:tcW w:w="8440" w:type="dxa"/>
            <w:vAlign w:val="bottom"/>
            <w:shd w:val="clear" w:color="auto" w:fill="D4F1F5"/>
          </w:tcPr>
          <w:p>
            <w:pPr>
              <w:spacing w:after="0"/>
              <w:rPr>
                <w:sz w:val="18"/>
                <w:szCs w:val="18"/>
                <w:color w:val="auto"/>
              </w:rPr>
            </w:pPr>
          </w:p>
        </w:tc>
        <w:tc>
          <w:tcPr>
            <w:tcW w:w="820" w:type="dxa"/>
            <w:vAlign w:val="bottom"/>
            <w:shd w:val="clear" w:color="auto" w:fill="D4F1F5"/>
          </w:tcPr>
          <w:p>
            <w:pPr>
              <w:spacing w:after="0"/>
              <w:rPr>
                <w:sz w:val="18"/>
                <w:szCs w:val="18"/>
                <w:color w:val="auto"/>
              </w:rPr>
            </w:pPr>
          </w:p>
        </w:tc>
        <w:tc>
          <w:tcPr>
            <w:tcW w:w="1060" w:type="dxa"/>
            <w:vAlign w:val="bottom"/>
            <w:gridSpan w:val="2"/>
            <w:shd w:val="clear" w:color="auto" w:fill="D4F1F5"/>
          </w:tcPr>
          <w:p>
            <w:pPr>
              <w:jc w:val="right"/>
              <w:ind w:right="39"/>
              <w:spacing w:after="0"/>
              <w:rPr>
                <w:sz w:val="20"/>
                <w:szCs w:val="20"/>
                <w:color w:val="auto"/>
              </w:rPr>
            </w:pPr>
            <w:r>
              <w:rPr>
                <w:rFonts w:ascii="Arial" w:cs="Arial" w:eastAsia="Arial" w:hAnsi="Arial"/>
                <w:sz w:val="14"/>
                <w:szCs w:val="14"/>
                <w:color w:val="auto"/>
              </w:rPr>
              <w:t>(unaudited)</w:t>
            </w:r>
          </w:p>
        </w:tc>
        <w:tc>
          <w:tcPr>
            <w:tcW w:w="920" w:type="dxa"/>
            <w:vAlign w:val="bottom"/>
            <w:shd w:val="clear" w:color="auto" w:fill="D4F1F5"/>
          </w:tcPr>
          <w:p>
            <w:pPr>
              <w:spacing w:after="0"/>
              <w:rPr>
                <w:sz w:val="18"/>
                <w:szCs w:val="18"/>
                <w:color w:val="auto"/>
              </w:rPr>
            </w:pPr>
          </w:p>
        </w:tc>
      </w:tr>
      <w:tr>
        <w:trPr>
          <w:trHeight w:val="215"/>
        </w:trPr>
        <w:tc>
          <w:tcPr>
            <w:tcW w:w="8440" w:type="dxa"/>
            <w:vAlign w:val="bottom"/>
          </w:tcPr>
          <w:p>
            <w:pPr>
              <w:ind w:left="20"/>
              <w:spacing w:after="0"/>
              <w:rPr>
                <w:sz w:val="20"/>
                <w:szCs w:val="20"/>
                <w:color w:val="auto"/>
              </w:rPr>
            </w:pPr>
            <w:r>
              <w:rPr>
                <w:rFonts w:ascii="Arial" w:cs="Arial" w:eastAsia="Arial" w:hAnsi="Arial"/>
                <w:sz w:val="16"/>
                <w:szCs w:val="16"/>
                <w:color w:val="auto"/>
              </w:rPr>
              <w:t>Operating revenues:</w:t>
            </w:r>
          </w:p>
        </w:tc>
        <w:tc>
          <w:tcPr>
            <w:tcW w:w="8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17"/>
        </w:trPr>
        <w:tc>
          <w:tcPr>
            <w:tcW w:w="8440" w:type="dxa"/>
            <w:vAlign w:val="bottom"/>
            <w:shd w:val="clear" w:color="auto" w:fill="D4F1F5"/>
          </w:tcPr>
          <w:p>
            <w:pPr>
              <w:ind w:left="240"/>
              <w:spacing w:after="0"/>
              <w:rPr>
                <w:sz w:val="20"/>
                <w:szCs w:val="20"/>
                <w:color w:val="auto"/>
              </w:rPr>
            </w:pPr>
            <w:r>
              <w:rPr>
                <w:rFonts w:ascii="Arial" w:cs="Arial" w:eastAsia="Arial" w:hAnsi="Arial"/>
                <w:sz w:val="16"/>
                <w:szCs w:val="16"/>
                <w:color w:val="auto"/>
              </w:rPr>
              <w:t>Electric</w:t>
            </w:r>
          </w:p>
        </w:tc>
        <w:tc>
          <w:tcPr>
            <w:tcW w:w="820" w:type="dxa"/>
            <w:vAlign w:val="bottom"/>
            <w:shd w:val="clear" w:color="auto" w:fill="D4F1F5"/>
          </w:tcPr>
          <w:p>
            <w:pPr>
              <w:jc w:val="right"/>
              <w:ind w:right="624"/>
              <w:spacing w:after="0"/>
              <w:rPr>
                <w:sz w:val="20"/>
                <w:szCs w:val="20"/>
                <w:color w:val="auto"/>
              </w:rPr>
            </w:pPr>
            <w:r>
              <w:rPr>
                <w:rFonts w:ascii="Arial" w:cs="Arial" w:eastAsia="Arial" w:hAnsi="Arial"/>
                <w:sz w:val="16"/>
                <w:szCs w:val="16"/>
                <w:color w:val="auto"/>
              </w:rPr>
              <w:t>$</w:t>
            </w:r>
          </w:p>
        </w:tc>
        <w:tc>
          <w:tcPr>
            <w:tcW w:w="580" w:type="dxa"/>
            <w:vAlign w:val="bottom"/>
            <w:shd w:val="clear" w:color="auto" w:fill="D4F1F5"/>
          </w:tcPr>
          <w:p>
            <w:pPr>
              <w:jc w:val="right"/>
              <w:ind w:right="80"/>
              <w:spacing w:after="0"/>
              <w:rPr>
                <w:sz w:val="20"/>
                <w:szCs w:val="20"/>
                <w:color w:val="auto"/>
              </w:rPr>
            </w:pPr>
            <w:r>
              <w:rPr>
                <w:rFonts w:ascii="Arial" w:cs="Arial" w:eastAsia="Arial" w:hAnsi="Arial"/>
                <w:sz w:val="16"/>
                <w:szCs w:val="16"/>
                <w:color w:val="auto"/>
                <w:w w:val="99"/>
              </w:rPr>
              <w:t>1,228</w:t>
            </w:r>
          </w:p>
        </w:tc>
        <w:tc>
          <w:tcPr>
            <w:tcW w:w="480" w:type="dxa"/>
            <w:vAlign w:val="bottom"/>
            <w:shd w:val="clear" w:color="auto" w:fill="D4F1F5"/>
          </w:tcPr>
          <w:p>
            <w:pPr>
              <w:jc w:val="right"/>
              <w:ind w:right="199"/>
              <w:spacing w:after="0"/>
              <w:rPr>
                <w:sz w:val="20"/>
                <w:szCs w:val="20"/>
                <w:color w:val="auto"/>
              </w:rPr>
            </w:pPr>
            <w:r>
              <w:rPr>
                <w:rFonts w:ascii="Arial" w:cs="Arial" w:eastAsia="Arial" w:hAnsi="Arial"/>
                <w:sz w:val="16"/>
                <w:szCs w:val="16"/>
                <w:color w:val="auto"/>
              </w:rPr>
              <w:t>$</w:t>
            </w:r>
          </w:p>
        </w:tc>
        <w:tc>
          <w:tcPr>
            <w:tcW w:w="920" w:type="dxa"/>
            <w:vAlign w:val="bottom"/>
            <w:shd w:val="clear" w:color="auto" w:fill="D4F1F5"/>
          </w:tcPr>
          <w:p>
            <w:pPr>
              <w:jc w:val="right"/>
              <w:spacing w:after="0"/>
              <w:rPr>
                <w:sz w:val="20"/>
                <w:szCs w:val="20"/>
                <w:color w:val="auto"/>
              </w:rPr>
            </w:pPr>
            <w:r>
              <w:rPr>
                <w:rFonts w:ascii="Arial" w:cs="Arial" w:eastAsia="Arial" w:hAnsi="Arial"/>
                <w:sz w:val="16"/>
                <w:szCs w:val="16"/>
                <w:color w:val="auto"/>
              </w:rPr>
              <w:t>1,064</w:t>
            </w:r>
          </w:p>
        </w:tc>
      </w:tr>
      <w:tr>
        <w:trPr>
          <w:trHeight w:val="215"/>
        </w:trPr>
        <w:tc>
          <w:tcPr>
            <w:tcW w:w="8440" w:type="dxa"/>
            <w:vAlign w:val="bottom"/>
            <w:tcBorders>
              <w:bottom w:val="single" w:sz="8" w:color="D4F1F5"/>
            </w:tcBorders>
          </w:tcPr>
          <w:p>
            <w:pPr>
              <w:ind w:left="240"/>
              <w:spacing w:after="0"/>
              <w:rPr>
                <w:sz w:val="20"/>
                <w:szCs w:val="20"/>
                <w:color w:val="auto"/>
              </w:rPr>
            </w:pPr>
            <w:r>
              <w:rPr>
                <w:rFonts w:ascii="Arial" w:cs="Arial" w:eastAsia="Arial" w:hAnsi="Arial"/>
                <w:sz w:val="16"/>
                <w:szCs w:val="16"/>
                <w:color w:val="auto"/>
              </w:rPr>
              <w:t>Natural gas</w:t>
            </w:r>
          </w:p>
        </w:tc>
        <w:tc>
          <w:tcPr>
            <w:tcW w:w="8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319</w:t>
            </w:r>
          </w:p>
        </w:tc>
        <w:tc>
          <w:tcPr>
            <w:tcW w:w="4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356</w:t>
            </w:r>
          </w:p>
        </w:tc>
      </w:tr>
      <w:tr>
        <w:trPr>
          <w:trHeight w:val="210"/>
        </w:trPr>
        <w:tc>
          <w:tcPr>
            <w:tcW w:w="8440" w:type="dxa"/>
            <w:vAlign w:val="bottom"/>
            <w:shd w:val="clear" w:color="auto" w:fill="D4F1F5"/>
          </w:tcPr>
          <w:p>
            <w:pPr>
              <w:ind w:left="460"/>
              <w:spacing w:after="0"/>
              <w:rPr>
                <w:sz w:val="20"/>
                <w:szCs w:val="20"/>
                <w:color w:val="auto"/>
              </w:rPr>
            </w:pPr>
            <w:r>
              <w:rPr>
                <w:rFonts w:ascii="Arial" w:cs="Arial" w:eastAsia="Arial" w:hAnsi="Arial"/>
                <w:sz w:val="16"/>
                <w:szCs w:val="16"/>
                <w:color w:val="auto"/>
              </w:rPr>
              <w:t>Total operating revenues</w:t>
            </w:r>
          </w:p>
        </w:tc>
        <w:tc>
          <w:tcPr>
            <w:tcW w:w="820" w:type="dxa"/>
            <w:vAlign w:val="bottom"/>
            <w:tcBorders>
              <w:bottom w:val="single" w:sz="8" w:color="auto"/>
            </w:tcBorders>
            <w:shd w:val="clear" w:color="auto" w:fill="D4F1F5"/>
          </w:tcPr>
          <w:p>
            <w:pPr>
              <w:spacing w:after="0"/>
              <w:rPr>
                <w:sz w:val="18"/>
                <w:szCs w:val="18"/>
                <w:color w:val="auto"/>
              </w:rPr>
            </w:pPr>
          </w:p>
        </w:tc>
        <w:tc>
          <w:tcPr>
            <w:tcW w:w="580" w:type="dxa"/>
            <w:vAlign w:val="bottom"/>
            <w:tcBorders>
              <w:bottom w:val="single" w:sz="8" w:color="auto"/>
            </w:tcBorders>
            <w:shd w:val="clear" w:color="auto" w:fill="D4F1F5"/>
          </w:tcPr>
          <w:p>
            <w:pPr>
              <w:jc w:val="right"/>
              <w:ind w:right="80"/>
              <w:spacing w:after="0"/>
              <w:rPr>
                <w:sz w:val="20"/>
                <w:szCs w:val="20"/>
                <w:color w:val="auto"/>
              </w:rPr>
            </w:pPr>
            <w:r>
              <w:rPr>
                <w:rFonts w:ascii="Arial" w:cs="Arial" w:eastAsia="Arial" w:hAnsi="Arial"/>
                <w:sz w:val="16"/>
                <w:szCs w:val="16"/>
                <w:color w:val="auto"/>
                <w:w w:val="99"/>
              </w:rPr>
              <w:t>1,547</w:t>
            </w:r>
          </w:p>
        </w:tc>
        <w:tc>
          <w:tcPr>
            <w:tcW w:w="480" w:type="dxa"/>
            <w:vAlign w:val="bottom"/>
            <w:tcBorders>
              <w:bottom w:val="single" w:sz="8" w:color="auto"/>
            </w:tcBorders>
            <w:shd w:val="clear" w:color="auto" w:fill="D4F1F5"/>
          </w:tcPr>
          <w:p>
            <w:pPr>
              <w:spacing w:after="0"/>
              <w:rPr>
                <w:sz w:val="18"/>
                <w:szCs w:val="18"/>
                <w:color w:val="auto"/>
              </w:rPr>
            </w:pPr>
          </w:p>
        </w:tc>
        <w:tc>
          <w:tcPr>
            <w:tcW w:w="920" w:type="dxa"/>
            <w:vAlign w:val="bottom"/>
            <w:tcBorders>
              <w:bottom w:val="single" w:sz="8" w:color="auto"/>
            </w:tcBorders>
            <w:shd w:val="clear" w:color="auto" w:fill="D4F1F5"/>
          </w:tcPr>
          <w:p>
            <w:pPr>
              <w:jc w:val="right"/>
              <w:spacing w:after="0"/>
              <w:rPr>
                <w:sz w:val="20"/>
                <w:szCs w:val="20"/>
                <w:color w:val="auto"/>
              </w:rPr>
            </w:pPr>
            <w:r>
              <w:rPr>
                <w:rFonts w:ascii="Arial" w:cs="Arial" w:eastAsia="Arial" w:hAnsi="Arial"/>
                <w:sz w:val="16"/>
                <w:szCs w:val="16"/>
                <w:color w:val="auto"/>
              </w:rPr>
              <w:t>1,420</w:t>
            </w:r>
          </w:p>
        </w:tc>
      </w:tr>
      <w:tr>
        <w:trPr>
          <w:trHeight w:val="208"/>
        </w:trPr>
        <w:tc>
          <w:tcPr>
            <w:tcW w:w="8440" w:type="dxa"/>
            <w:vAlign w:val="bottom"/>
          </w:tcPr>
          <w:p>
            <w:pPr>
              <w:ind w:left="20"/>
              <w:spacing w:after="0"/>
              <w:rPr>
                <w:sz w:val="20"/>
                <w:szCs w:val="20"/>
                <w:color w:val="auto"/>
              </w:rPr>
            </w:pPr>
            <w:r>
              <w:rPr>
                <w:rFonts w:ascii="Arial" w:cs="Arial" w:eastAsia="Arial" w:hAnsi="Arial"/>
                <w:sz w:val="16"/>
                <w:szCs w:val="16"/>
                <w:color w:val="auto"/>
              </w:rPr>
              <w:t>Operating expenses:</w:t>
            </w:r>
          </w:p>
        </w:tc>
        <w:tc>
          <w:tcPr>
            <w:tcW w:w="8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17"/>
        </w:trPr>
        <w:tc>
          <w:tcPr>
            <w:tcW w:w="8440" w:type="dxa"/>
            <w:vAlign w:val="bottom"/>
            <w:shd w:val="clear" w:color="auto" w:fill="D4F1F5"/>
          </w:tcPr>
          <w:p>
            <w:pPr>
              <w:ind w:left="240"/>
              <w:spacing w:after="0"/>
              <w:rPr>
                <w:sz w:val="20"/>
                <w:szCs w:val="20"/>
                <w:color w:val="auto"/>
              </w:rPr>
            </w:pPr>
            <w:r>
              <w:rPr>
                <w:rFonts w:ascii="Arial" w:cs="Arial" w:eastAsia="Arial" w:hAnsi="Arial"/>
                <w:sz w:val="16"/>
                <w:szCs w:val="16"/>
                <w:color w:val="auto"/>
              </w:rPr>
              <w:t>Cost of electric fuel and purchased power</w:t>
            </w:r>
          </w:p>
        </w:tc>
        <w:tc>
          <w:tcPr>
            <w:tcW w:w="820" w:type="dxa"/>
            <w:vAlign w:val="bottom"/>
            <w:shd w:val="clear" w:color="auto" w:fill="D4F1F5"/>
          </w:tcPr>
          <w:p>
            <w:pPr>
              <w:spacing w:after="0"/>
              <w:rPr>
                <w:sz w:val="18"/>
                <w:szCs w:val="18"/>
                <w:color w:val="auto"/>
              </w:rPr>
            </w:pPr>
          </w:p>
        </w:tc>
        <w:tc>
          <w:tcPr>
            <w:tcW w:w="580" w:type="dxa"/>
            <w:vAlign w:val="bottom"/>
            <w:shd w:val="clear" w:color="auto" w:fill="D4F1F5"/>
          </w:tcPr>
          <w:p>
            <w:pPr>
              <w:jc w:val="right"/>
              <w:ind w:right="80"/>
              <w:spacing w:after="0"/>
              <w:rPr>
                <w:sz w:val="20"/>
                <w:szCs w:val="20"/>
                <w:color w:val="auto"/>
              </w:rPr>
            </w:pPr>
            <w:r>
              <w:rPr>
                <w:rFonts w:ascii="Arial" w:cs="Arial" w:eastAsia="Arial" w:hAnsi="Arial"/>
                <w:sz w:val="16"/>
                <w:szCs w:val="16"/>
                <w:color w:val="auto"/>
              </w:rPr>
              <w:t>94</w:t>
            </w:r>
          </w:p>
        </w:tc>
        <w:tc>
          <w:tcPr>
            <w:tcW w:w="480" w:type="dxa"/>
            <w:vAlign w:val="bottom"/>
            <w:shd w:val="clear" w:color="auto" w:fill="D4F1F5"/>
          </w:tcPr>
          <w:p>
            <w:pPr>
              <w:spacing w:after="0"/>
              <w:rPr>
                <w:sz w:val="18"/>
                <w:szCs w:val="18"/>
                <w:color w:val="auto"/>
              </w:rPr>
            </w:pPr>
          </w:p>
        </w:tc>
        <w:tc>
          <w:tcPr>
            <w:tcW w:w="920" w:type="dxa"/>
            <w:vAlign w:val="bottom"/>
            <w:shd w:val="clear" w:color="auto" w:fill="D4F1F5"/>
          </w:tcPr>
          <w:p>
            <w:pPr>
              <w:jc w:val="right"/>
              <w:spacing w:after="0"/>
              <w:rPr>
                <w:sz w:val="20"/>
                <w:szCs w:val="20"/>
                <w:color w:val="auto"/>
              </w:rPr>
            </w:pPr>
            <w:r>
              <w:rPr>
                <w:rFonts w:ascii="Arial" w:cs="Arial" w:eastAsia="Arial" w:hAnsi="Arial"/>
                <w:sz w:val="16"/>
                <w:szCs w:val="16"/>
                <w:color w:val="auto"/>
              </w:rPr>
              <w:t>73</w:t>
            </w:r>
          </w:p>
        </w:tc>
      </w:tr>
      <w:tr>
        <w:trPr>
          <w:trHeight w:val="215"/>
        </w:trPr>
        <w:tc>
          <w:tcPr>
            <w:tcW w:w="8440" w:type="dxa"/>
            <w:vAlign w:val="bottom"/>
          </w:tcPr>
          <w:p>
            <w:pPr>
              <w:ind w:left="240"/>
              <w:spacing w:after="0"/>
              <w:rPr>
                <w:sz w:val="20"/>
                <w:szCs w:val="20"/>
                <w:color w:val="auto"/>
              </w:rPr>
            </w:pPr>
            <w:r>
              <w:rPr>
                <w:rFonts w:ascii="Arial" w:cs="Arial" w:eastAsia="Arial" w:hAnsi="Arial"/>
                <w:sz w:val="16"/>
                <w:szCs w:val="16"/>
                <w:color w:val="auto"/>
              </w:rPr>
              <w:t>Cost of natural gas</w:t>
            </w:r>
          </w:p>
        </w:tc>
        <w:tc>
          <w:tcPr>
            <w:tcW w:w="820" w:type="dxa"/>
            <w:vAlign w:val="bottom"/>
          </w:tcPr>
          <w:p>
            <w:pPr>
              <w:spacing w:after="0"/>
              <w:rPr>
                <w:sz w:val="18"/>
                <w:szCs w:val="18"/>
                <w:color w:val="auto"/>
              </w:rPr>
            </w:pPr>
          </w:p>
        </w:tc>
        <w:tc>
          <w:tcPr>
            <w:tcW w:w="580" w:type="dxa"/>
            <w:vAlign w:val="bottom"/>
          </w:tcPr>
          <w:p>
            <w:pPr>
              <w:jc w:val="right"/>
              <w:ind w:right="80"/>
              <w:spacing w:after="0"/>
              <w:rPr>
                <w:sz w:val="20"/>
                <w:szCs w:val="20"/>
                <w:color w:val="auto"/>
              </w:rPr>
            </w:pPr>
            <w:r>
              <w:rPr>
                <w:rFonts w:ascii="Arial" w:cs="Arial" w:eastAsia="Arial" w:hAnsi="Arial"/>
                <w:sz w:val="16"/>
                <w:szCs w:val="16"/>
                <w:color w:val="auto"/>
              </w:rPr>
              <w:t>90</w:t>
            </w:r>
          </w:p>
        </w:tc>
        <w:tc>
          <w:tcPr>
            <w:tcW w:w="4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87</w:t>
            </w:r>
          </w:p>
        </w:tc>
      </w:tr>
      <w:tr>
        <w:trPr>
          <w:trHeight w:val="217"/>
        </w:trPr>
        <w:tc>
          <w:tcPr>
            <w:tcW w:w="8440" w:type="dxa"/>
            <w:vAlign w:val="bottom"/>
            <w:shd w:val="clear" w:color="auto" w:fill="D4F1F5"/>
          </w:tcPr>
          <w:p>
            <w:pPr>
              <w:ind w:left="240"/>
              <w:spacing w:after="0"/>
              <w:rPr>
                <w:sz w:val="20"/>
                <w:szCs w:val="20"/>
                <w:color w:val="auto"/>
              </w:rPr>
            </w:pPr>
            <w:r>
              <w:rPr>
                <w:rFonts w:ascii="Arial" w:cs="Arial" w:eastAsia="Arial" w:hAnsi="Arial"/>
                <w:sz w:val="16"/>
                <w:szCs w:val="16"/>
                <w:color w:val="auto"/>
              </w:rPr>
              <w:t>Operation and maintenance</w:t>
            </w:r>
          </w:p>
        </w:tc>
        <w:tc>
          <w:tcPr>
            <w:tcW w:w="820" w:type="dxa"/>
            <w:vAlign w:val="bottom"/>
            <w:shd w:val="clear" w:color="auto" w:fill="D4F1F5"/>
          </w:tcPr>
          <w:p>
            <w:pPr>
              <w:spacing w:after="0"/>
              <w:rPr>
                <w:sz w:val="18"/>
                <w:szCs w:val="18"/>
                <w:color w:val="auto"/>
              </w:rPr>
            </w:pPr>
          </w:p>
        </w:tc>
        <w:tc>
          <w:tcPr>
            <w:tcW w:w="580" w:type="dxa"/>
            <w:vAlign w:val="bottom"/>
            <w:shd w:val="clear" w:color="auto" w:fill="D4F1F5"/>
          </w:tcPr>
          <w:p>
            <w:pPr>
              <w:jc w:val="right"/>
              <w:ind w:right="80"/>
              <w:spacing w:after="0"/>
              <w:rPr>
                <w:sz w:val="20"/>
                <w:szCs w:val="20"/>
                <w:color w:val="auto"/>
              </w:rPr>
            </w:pPr>
            <w:r>
              <w:rPr>
                <w:rFonts w:ascii="Arial" w:cs="Arial" w:eastAsia="Arial" w:hAnsi="Arial"/>
                <w:sz w:val="16"/>
                <w:szCs w:val="16"/>
                <w:color w:val="auto"/>
              </w:rPr>
              <w:t>423</w:t>
            </w:r>
          </w:p>
        </w:tc>
        <w:tc>
          <w:tcPr>
            <w:tcW w:w="480" w:type="dxa"/>
            <w:vAlign w:val="bottom"/>
            <w:shd w:val="clear" w:color="auto" w:fill="D4F1F5"/>
          </w:tcPr>
          <w:p>
            <w:pPr>
              <w:spacing w:after="0"/>
              <w:rPr>
                <w:sz w:val="18"/>
                <w:szCs w:val="18"/>
                <w:color w:val="auto"/>
              </w:rPr>
            </w:pPr>
          </w:p>
        </w:tc>
        <w:tc>
          <w:tcPr>
            <w:tcW w:w="920" w:type="dxa"/>
            <w:vAlign w:val="bottom"/>
            <w:shd w:val="clear" w:color="auto" w:fill="D4F1F5"/>
          </w:tcPr>
          <w:p>
            <w:pPr>
              <w:jc w:val="right"/>
              <w:spacing w:after="0"/>
              <w:rPr>
                <w:sz w:val="20"/>
                <w:szCs w:val="20"/>
                <w:color w:val="auto"/>
              </w:rPr>
            </w:pPr>
            <w:r>
              <w:rPr>
                <w:rFonts w:ascii="Arial" w:cs="Arial" w:eastAsia="Arial" w:hAnsi="Arial"/>
                <w:sz w:val="16"/>
                <w:szCs w:val="16"/>
                <w:color w:val="auto"/>
              </w:rPr>
              <w:t>440</w:t>
            </w:r>
          </w:p>
        </w:tc>
      </w:tr>
      <w:tr>
        <w:trPr>
          <w:trHeight w:val="215"/>
        </w:trPr>
        <w:tc>
          <w:tcPr>
            <w:tcW w:w="8440" w:type="dxa"/>
            <w:vAlign w:val="bottom"/>
          </w:tcPr>
          <w:p>
            <w:pPr>
              <w:ind w:left="240"/>
              <w:spacing w:after="0"/>
              <w:rPr>
                <w:sz w:val="20"/>
                <w:szCs w:val="20"/>
                <w:color w:val="auto"/>
              </w:rPr>
            </w:pPr>
            <w:r>
              <w:rPr>
                <w:rFonts w:ascii="Arial" w:cs="Arial" w:eastAsia="Arial" w:hAnsi="Arial"/>
                <w:sz w:val="16"/>
                <w:szCs w:val="16"/>
                <w:color w:val="auto"/>
              </w:rPr>
              <w:t>Depreciation and amortization</w:t>
            </w:r>
          </w:p>
        </w:tc>
        <w:tc>
          <w:tcPr>
            <w:tcW w:w="820" w:type="dxa"/>
            <w:vAlign w:val="bottom"/>
          </w:tcPr>
          <w:p>
            <w:pPr>
              <w:spacing w:after="0"/>
              <w:rPr>
                <w:sz w:val="18"/>
                <w:szCs w:val="18"/>
                <w:color w:val="auto"/>
              </w:rPr>
            </w:pPr>
          </w:p>
        </w:tc>
        <w:tc>
          <w:tcPr>
            <w:tcW w:w="580" w:type="dxa"/>
            <w:vAlign w:val="bottom"/>
          </w:tcPr>
          <w:p>
            <w:pPr>
              <w:jc w:val="right"/>
              <w:ind w:right="80"/>
              <w:spacing w:after="0"/>
              <w:rPr>
                <w:sz w:val="20"/>
                <w:szCs w:val="20"/>
                <w:color w:val="auto"/>
              </w:rPr>
            </w:pPr>
            <w:r>
              <w:rPr>
                <w:rFonts w:ascii="Arial" w:cs="Arial" w:eastAsia="Arial" w:hAnsi="Arial"/>
                <w:sz w:val="16"/>
                <w:szCs w:val="16"/>
                <w:color w:val="auto"/>
              </w:rPr>
              <w:t>344</w:t>
            </w:r>
          </w:p>
        </w:tc>
        <w:tc>
          <w:tcPr>
            <w:tcW w:w="4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320</w:t>
            </w:r>
          </w:p>
        </w:tc>
      </w:tr>
      <w:tr>
        <w:trPr>
          <w:trHeight w:val="217"/>
        </w:trPr>
        <w:tc>
          <w:tcPr>
            <w:tcW w:w="8440" w:type="dxa"/>
            <w:vAlign w:val="bottom"/>
            <w:shd w:val="clear" w:color="auto" w:fill="D4F1F5"/>
          </w:tcPr>
          <w:p>
            <w:pPr>
              <w:ind w:left="240"/>
              <w:spacing w:after="0"/>
              <w:rPr>
                <w:sz w:val="20"/>
                <w:szCs w:val="20"/>
                <w:color w:val="auto"/>
              </w:rPr>
            </w:pPr>
            <w:r>
              <w:rPr>
                <w:rFonts w:ascii="Arial" w:cs="Arial" w:eastAsia="Arial" w:hAnsi="Arial"/>
                <w:sz w:val="16"/>
                <w:szCs w:val="16"/>
                <w:color w:val="auto"/>
              </w:rPr>
              <w:t>Franchise fees and other taxes</w:t>
            </w:r>
          </w:p>
        </w:tc>
        <w:tc>
          <w:tcPr>
            <w:tcW w:w="820" w:type="dxa"/>
            <w:vAlign w:val="bottom"/>
            <w:tcBorders>
              <w:bottom w:val="single" w:sz="8" w:color="auto"/>
            </w:tcBorders>
            <w:shd w:val="clear" w:color="auto" w:fill="D4F1F5"/>
          </w:tcPr>
          <w:p>
            <w:pPr>
              <w:spacing w:after="0"/>
              <w:rPr>
                <w:sz w:val="18"/>
                <w:szCs w:val="18"/>
                <w:color w:val="auto"/>
              </w:rPr>
            </w:pPr>
          </w:p>
        </w:tc>
        <w:tc>
          <w:tcPr>
            <w:tcW w:w="580" w:type="dxa"/>
            <w:vAlign w:val="bottom"/>
            <w:tcBorders>
              <w:bottom w:val="single" w:sz="8" w:color="auto"/>
            </w:tcBorders>
            <w:shd w:val="clear" w:color="auto" w:fill="D4F1F5"/>
          </w:tcPr>
          <w:p>
            <w:pPr>
              <w:jc w:val="right"/>
              <w:ind w:right="80"/>
              <w:spacing w:after="0"/>
              <w:rPr>
                <w:sz w:val="20"/>
                <w:szCs w:val="20"/>
                <w:color w:val="auto"/>
              </w:rPr>
            </w:pPr>
            <w:r>
              <w:rPr>
                <w:rFonts w:ascii="Arial" w:cs="Arial" w:eastAsia="Arial" w:hAnsi="Arial"/>
                <w:sz w:val="16"/>
                <w:szCs w:val="16"/>
                <w:color w:val="auto"/>
              </w:rPr>
              <w:t>123</w:t>
            </w:r>
          </w:p>
        </w:tc>
        <w:tc>
          <w:tcPr>
            <w:tcW w:w="480" w:type="dxa"/>
            <w:vAlign w:val="bottom"/>
            <w:tcBorders>
              <w:bottom w:val="single" w:sz="8" w:color="auto"/>
            </w:tcBorders>
            <w:shd w:val="clear" w:color="auto" w:fill="D4F1F5"/>
          </w:tcPr>
          <w:p>
            <w:pPr>
              <w:spacing w:after="0"/>
              <w:rPr>
                <w:sz w:val="18"/>
                <w:szCs w:val="18"/>
                <w:color w:val="auto"/>
              </w:rPr>
            </w:pPr>
          </w:p>
        </w:tc>
        <w:tc>
          <w:tcPr>
            <w:tcW w:w="920" w:type="dxa"/>
            <w:vAlign w:val="bottom"/>
            <w:tcBorders>
              <w:bottom w:val="single" w:sz="8" w:color="auto"/>
            </w:tcBorders>
            <w:shd w:val="clear" w:color="auto" w:fill="D4F1F5"/>
          </w:tcPr>
          <w:p>
            <w:pPr>
              <w:jc w:val="right"/>
              <w:spacing w:after="0"/>
              <w:rPr>
                <w:sz w:val="20"/>
                <w:szCs w:val="20"/>
                <w:color w:val="auto"/>
              </w:rPr>
            </w:pPr>
            <w:r>
              <w:rPr>
                <w:rFonts w:ascii="Arial" w:cs="Arial" w:eastAsia="Arial" w:hAnsi="Arial"/>
                <w:sz w:val="16"/>
                <w:szCs w:val="16"/>
                <w:color w:val="auto"/>
              </w:rPr>
              <w:t>110</w:t>
            </w:r>
          </w:p>
        </w:tc>
      </w:tr>
      <w:tr>
        <w:trPr>
          <w:trHeight w:val="209"/>
        </w:trPr>
        <w:tc>
          <w:tcPr>
            <w:tcW w:w="8440" w:type="dxa"/>
            <w:vAlign w:val="bottom"/>
            <w:tcBorders>
              <w:bottom w:val="single" w:sz="8" w:color="D4F1F5"/>
            </w:tcBorders>
          </w:tcPr>
          <w:p>
            <w:pPr>
              <w:ind w:left="460"/>
              <w:spacing w:after="0"/>
              <w:rPr>
                <w:sz w:val="20"/>
                <w:szCs w:val="20"/>
                <w:color w:val="auto"/>
              </w:rPr>
            </w:pPr>
            <w:r>
              <w:rPr>
                <w:rFonts w:ascii="Arial" w:cs="Arial" w:eastAsia="Arial" w:hAnsi="Arial"/>
                <w:sz w:val="16"/>
                <w:szCs w:val="16"/>
                <w:color w:val="auto"/>
              </w:rPr>
              <w:t>Total operating expenses</w:t>
            </w:r>
          </w:p>
        </w:tc>
        <w:tc>
          <w:tcPr>
            <w:tcW w:w="8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w w:val="99"/>
              </w:rPr>
              <w:t>1,074</w:t>
            </w:r>
          </w:p>
        </w:tc>
        <w:tc>
          <w:tcPr>
            <w:tcW w:w="4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1,030</w:t>
            </w:r>
          </w:p>
        </w:tc>
      </w:tr>
      <w:tr>
        <w:trPr>
          <w:trHeight w:val="210"/>
        </w:trPr>
        <w:tc>
          <w:tcPr>
            <w:tcW w:w="8440" w:type="dxa"/>
            <w:vAlign w:val="bottom"/>
            <w:shd w:val="clear" w:color="auto" w:fill="D4F1F5"/>
          </w:tcPr>
          <w:p>
            <w:pPr>
              <w:ind w:left="240"/>
              <w:spacing w:after="0"/>
              <w:rPr>
                <w:sz w:val="20"/>
                <w:szCs w:val="20"/>
                <w:color w:val="auto"/>
              </w:rPr>
            </w:pPr>
            <w:r>
              <w:rPr>
                <w:rFonts w:ascii="Arial" w:cs="Arial" w:eastAsia="Arial" w:hAnsi="Arial"/>
                <w:sz w:val="16"/>
                <w:szCs w:val="16"/>
                <w:color w:val="auto"/>
              </w:rPr>
              <w:t>Operating income</w:t>
            </w:r>
          </w:p>
        </w:tc>
        <w:tc>
          <w:tcPr>
            <w:tcW w:w="820" w:type="dxa"/>
            <w:vAlign w:val="bottom"/>
            <w:shd w:val="clear" w:color="auto" w:fill="D4F1F5"/>
          </w:tcPr>
          <w:p>
            <w:pPr>
              <w:spacing w:after="0"/>
              <w:rPr>
                <w:sz w:val="18"/>
                <w:szCs w:val="18"/>
                <w:color w:val="auto"/>
              </w:rPr>
            </w:pPr>
          </w:p>
        </w:tc>
        <w:tc>
          <w:tcPr>
            <w:tcW w:w="580" w:type="dxa"/>
            <w:vAlign w:val="bottom"/>
            <w:shd w:val="clear" w:color="auto" w:fill="D4F1F5"/>
          </w:tcPr>
          <w:p>
            <w:pPr>
              <w:jc w:val="right"/>
              <w:ind w:right="80"/>
              <w:spacing w:after="0"/>
              <w:rPr>
                <w:sz w:val="20"/>
                <w:szCs w:val="20"/>
                <w:color w:val="auto"/>
              </w:rPr>
            </w:pPr>
            <w:r>
              <w:rPr>
                <w:rFonts w:ascii="Arial" w:cs="Arial" w:eastAsia="Arial" w:hAnsi="Arial"/>
                <w:sz w:val="16"/>
                <w:szCs w:val="16"/>
                <w:color w:val="auto"/>
              </w:rPr>
              <w:t>473</w:t>
            </w:r>
          </w:p>
        </w:tc>
        <w:tc>
          <w:tcPr>
            <w:tcW w:w="480" w:type="dxa"/>
            <w:vAlign w:val="bottom"/>
            <w:shd w:val="clear" w:color="auto" w:fill="D4F1F5"/>
          </w:tcPr>
          <w:p>
            <w:pPr>
              <w:spacing w:after="0"/>
              <w:rPr>
                <w:sz w:val="18"/>
                <w:szCs w:val="18"/>
                <w:color w:val="auto"/>
              </w:rPr>
            </w:pPr>
          </w:p>
        </w:tc>
        <w:tc>
          <w:tcPr>
            <w:tcW w:w="920" w:type="dxa"/>
            <w:vAlign w:val="bottom"/>
            <w:shd w:val="clear" w:color="auto" w:fill="D4F1F5"/>
          </w:tcPr>
          <w:p>
            <w:pPr>
              <w:jc w:val="right"/>
              <w:spacing w:after="0"/>
              <w:rPr>
                <w:sz w:val="20"/>
                <w:szCs w:val="20"/>
                <w:color w:val="auto"/>
              </w:rPr>
            </w:pPr>
            <w:r>
              <w:rPr>
                <w:rFonts w:ascii="Arial" w:cs="Arial" w:eastAsia="Arial" w:hAnsi="Arial"/>
                <w:sz w:val="16"/>
                <w:szCs w:val="16"/>
                <w:color w:val="auto"/>
              </w:rPr>
              <w:t>390</w:t>
            </w:r>
          </w:p>
        </w:tc>
      </w:tr>
      <w:tr>
        <w:trPr>
          <w:trHeight w:val="215"/>
        </w:trPr>
        <w:tc>
          <w:tcPr>
            <w:tcW w:w="8440" w:type="dxa"/>
            <w:vAlign w:val="bottom"/>
          </w:tcPr>
          <w:p>
            <w:pPr>
              <w:ind w:left="20"/>
              <w:spacing w:after="0"/>
              <w:rPr>
                <w:sz w:val="20"/>
                <w:szCs w:val="20"/>
                <w:color w:val="auto"/>
              </w:rPr>
            </w:pPr>
            <w:r>
              <w:rPr>
                <w:rFonts w:ascii="Arial" w:cs="Arial" w:eastAsia="Arial" w:hAnsi="Arial"/>
                <w:sz w:val="16"/>
                <w:szCs w:val="16"/>
                <w:color w:val="auto"/>
              </w:rPr>
              <w:t>Other income, net</w:t>
            </w:r>
          </w:p>
        </w:tc>
        <w:tc>
          <w:tcPr>
            <w:tcW w:w="820" w:type="dxa"/>
            <w:vAlign w:val="bottom"/>
          </w:tcPr>
          <w:p>
            <w:pPr>
              <w:spacing w:after="0"/>
              <w:rPr>
                <w:sz w:val="18"/>
                <w:szCs w:val="18"/>
                <w:color w:val="auto"/>
              </w:rPr>
            </w:pPr>
          </w:p>
        </w:tc>
        <w:tc>
          <w:tcPr>
            <w:tcW w:w="580" w:type="dxa"/>
            <w:vAlign w:val="bottom"/>
          </w:tcPr>
          <w:p>
            <w:pPr>
              <w:jc w:val="right"/>
              <w:ind w:right="80"/>
              <w:spacing w:after="0"/>
              <w:rPr>
                <w:sz w:val="20"/>
                <w:szCs w:val="20"/>
                <w:color w:val="auto"/>
              </w:rPr>
            </w:pPr>
            <w:r>
              <w:rPr>
                <w:rFonts w:ascii="Arial" w:cs="Arial" w:eastAsia="Arial" w:hAnsi="Arial"/>
                <w:sz w:val="16"/>
                <w:szCs w:val="16"/>
                <w:color w:val="auto"/>
              </w:rPr>
              <w:t>38</w:t>
            </w:r>
          </w:p>
        </w:tc>
        <w:tc>
          <w:tcPr>
            <w:tcW w:w="4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40</w:t>
            </w:r>
          </w:p>
        </w:tc>
      </w:tr>
      <w:tr>
        <w:trPr>
          <w:trHeight w:val="217"/>
        </w:trPr>
        <w:tc>
          <w:tcPr>
            <w:tcW w:w="8440" w:type="dxa"/>
            <w:vAlign w:val="bottom"/>
            <w:shd w:val="clear" w:color="auto" w:fill="D4F1F5"/>
          </w:tcPr>
          <w:p>
            <w:pPr>
              <w:ind w:left="20"/>
              <w:spacing w:after="0"/>
              <w:rPr>
                <w:sz w:val="20"/>
                <w:szCs w:val="20"/>
                <w:color w:val="auto"/>
              </w:rPr>
            </w:pPr>
            <w:r>
              <w:rPr>
                <w:rFonts w:ascii="Arial" w:cs="Arial" w:eastAsia="Arial" w:hAnsi="Arial"/>
                <w:sz w:val="16"/>
                <w:szCs w:val="16"/>
                <w:color w:val="auto"/>
              </w:rPr>
              <w:t>Interest income</w:t>
            </w:r>
          </w:p>
        </w:tc>
        <w:tc>
          <w:tcPr>
            <w:tcW w:w="820" w:type="dxa"/>
            <w:vAlign w:val="bottom"/>
            <w:shd w:val="clear" w:color="auto" w:fill="D4F1F5"/>
          </w:tcPr>
          <w:p>
            <w:pPr>
              <w:spacing w:after="0"/>
              <w:rPr>
                <w:sz w:val="18"/>
                <w:szCs w:val="18"/>
                <w:color w:val="auto"/>
              </w:rPr>
            </w:pPr>
          </w:p>
        </w:tc>
        <w:tc>
          <w:tcPr>
            <w:tcW w:w="580" w:type="dxa"/>
            <w:vAlign w:val="bottom"/>
            <w:shd w:val="clear" w:color="auto" w:fill="D4F1F5"/>
          </w:tcPr>
          <w:p>
            <w:pPr>
              <w:jc w:val="right"/>
              <w:ind w:right="80"/>
              <w:spacing w:after="0"/>
              <w:rPr>
                <w:sz w:val="20"/>
                <w:szCs w:val="20"/>
                <w:color w:val="auto"/>
              </w:rPr>
            </w:pPr>
            <w:r>
              <w:rPr>
                <w:rFonts w:ascii="Arial" w:cs="Arial" w:eastAsia="Arial" w:hAnsi="Arial"/>
                <w:sz w:val="16"/>
                <w:szCs w:val="16"/>
                <w:color w:val="auto"/>
              </w:rPr>
              <w:t>1</w:t>
            </w:r>
          </w:p>
        </w:tc>
        <w:tc>
          <w:tcPr>
            <w:tcW w:w="480" w:type="dxa"/>
            <w:vAlign w:val="bottom"/>
            <w:shd w:val="clear" w:color="auto" w:fill="D4F1F5"/>
          </w:tcPr>
          <w:p>
            <w:pPr>
              <w:spacing w:after="0"/>
              <w:rPr>
                <w:sz w:val="18"/>
                <w:szCs w:val="18"/>
                <w:color w:val="auto"/>
              </w:rPr>
            </w:pPr>
          </w:p>
        </w:tc>
        <w:tc>
          <w:tcPr>
            <w:tcW w:w="920" w:type="dxa"/>
            <w:vAlign w:val="bottom"/>
            <w:shd w:val="clear" w:color="auto" w:fill="D4F1F5"/>
          </w:tcPr>
          <w:p>
            <w:pPr>
              <w:jc w:val="right"/>
              <w:spacing w:after="0"/>
              <w:rPr>
                <w:sz w:val="20"/>
                <w:szCs w:val="20"/>
                <w:color w:val="auto"/>
              </w:rPr>
            </w:pPr>
            <w:r>
              <w:rPr>
                <w:rFonts w:ascii="Arial" w:cs="Arial" w:eastAsia="Arial" w:hAnsi="Arial"/>
                <w:sz w:val="16"/>
                <w:szCs w:val="16"/>
                <w:color w:val="auto"/>
              </w:rPr>
              <w:t>—</w:t>
            </w:r>
          </w:p>
        </w:tc>
      </w:tr>
      <w:tr>
        <w:trPr>
          <w:trHeight w:val="215"/>
        </w:trPr>
        <w:tc>
          <w:tcPr>
            <w:tcW w:w="8440" w:type="dxa"/>
            <w:vAlign w:val="bottom"/>
            <w:tcBorders>
              <w:bottom w:val="single" w:sz="8" w:color="D4F1F5"/>
            </w:tcBorders>
          </w:tcPr>
          <w:p>
            <w:pPr>
              <w:ind w:left="20"/>
              <w:spacing w:after="0"/>
              <w:rPr>
                <w:sz w:val="20"/>
                <w:szCs w:val="20"/>
                <w:color w:val="auto"/>
              </w:rPr>
            </w:pPr>
            <w:r>
              <w:rPr>
                <w:rFonts w:ascii="Arial" w:cs="Arial" w:eastAsia="Arial" w:hAnsi="Arial"/>
                <w:sz w:val="16"/>
                <w:szCs w:val="16"/>
                <w:color w:val="auto"/>
              </w:rPr>
              <w:t>Interest expense</w:t>
            </w:r>
          </w:p>
        </w:tc>
        <w:tc>
          <w:tcPr>
            <w:tcW w:w="8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(147)</w:t>
            </w:r>
          </w:p>
        </w:tc>
        <w:tc>
          <w:tcPr>
            <w:tcW w:w="4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(135)</w:t>
            </w:r>
          </w:p>
        </w:tc>
      </w:tr>
      <w:tr>
        <w:trPr>
          <w:trHeight w:val="210"/>
        </w:trPr>
        <w:tc>
          <w:tcPr>
            <w:tcW w:w="8440" w:type="dxa"/>
            <w:vAlign w:val="bottom"/>
            <w:shd w:val="clear" w:color="auto" w:fill="D4F1F5"/>
          </w:tcPr>
          <w:p>
            <w:pPr>
              <w:ind w:left="240"/>
              <w:spacing w:after="0"/>
              <w:rPr>
                <w:sz w:val="20"/>
                <w:szCs w:val="20"/>
                <w:color w:val="auto"/>
              </w:rPr>
            </w:pPr>
            <w:r>
              <w:rPr>
                <w:rFonts w:ascii="Arial" w:cs="Arial" w:eastAsia="Arial" w:hAnsi="Arial"/>
                <w:sz w:val="16"/>
                <w:szCs w:val="16"/>
                <w:color w:val="auto"/>
              </w:rPr>
              <w:t>Income before income taxes</w:t>
            </w:r>
          </w:p>
        </w:tc>
        <w:tc>
          <w:tcPr>
            <w:tcW w:w="820" w:type="dxa"/>
            <w:vAlign w:val="bottom"/>
            <w:shd w:val="clear" w:color="auto" w:fill="D4F1F5"/>
          </w:tcPr>
          <w:p>
            <w:pPr>
              <w:spacing w:after="0"/>
              <w:rPr>
                <w:sz w:val="18"/>
                <w:szCs w:val="18"/>
                <w:color w:val="auto"/>
              </w:rPr>
            </w:pPr>
          </w:p>
        </w:tc>
        <w:tc>
          <w:tcPr>
            <w:tcW w:w="580" w:type="dxa"/>
            <w:vAlign w:val="bottom"/>
            <w:shd w:val="clear" w:color="auto" w:fill="D4F1F5"/>
          </w:tcPr>
          <w:p>
            <w:pPr>
              <w:jc w:val="right"/>
              <w:ind w:right="80"/>
              <w:spacing w:after="0"/>
              <w:rPr>
                <w:sz w:val="20"/>
                <w:szCs w:val="20"/>
                <w:color w:val="auto"/>
              </w:rPr>
            </w:pPr>
            <w:r>
              <w:rPr>
                <w:rFonts w:ascii="Arial" w:cs="Arial" w:eastAsia="Arial" w:hAnsi="Arial"/>
                <w:sz w:val="16"/>
                <w:szCs w:val="16"/>
                <w:color w:val="auto"/>
              </w:rPr>
              <w:t>365</w:t>
            </w:r>
          </w:p>
        </w:tc>
        <w:tc>
          <w:tcPr>
            <w:tcW w:w="480" w:type="dxa"/>
            <w:vAlign w:val="bottom"/>
            <w:shd w:val="clear" w:color="auto" w:fill="D4F1F5"/>
          </w:tcPr>
          <w:p>
            <w:pPr>
              <w:spacing w:after="0"/>
              <w:rPr>
                <w:sz w:val="18"/>
                <w:szCs w:val="18"/>
                <w:color w:val="auto"/>
              </w:rPr>
            </w:pPr>
          </w:p>
        </w:tc>
        <w:tc>
          <w:tcPr>
            <w:tcW w:w="920" w:type="dxa"/>
            <w:vAlign w:val="bottom"/>
            <w:shd w:val="clear" w:color="auto" w:fill="D4F1F5"/>
          </w:tcPr>
          <w:p>
            <w:pPr>
              <w:jc w:val="right"/>
              <w:spacing w:after="0"/>
              <w:rPr>
                <w:sz w:val="20"/>
                <w:szCs w:val="20"/>
                <w:color w:val="auto"/>
              </w:rPr>
            </w:pPr>
            <w:r>
              <w:rPr>
                <w:rFonts w:ascii="Arial" w:cs="Arial" w:eastAsia="Arial" w:hAnsi="Arial"/>
                <w:sz w:val="16"/>
                <w:szCs w:val="16"/>
                <w:color w:val="auto"/>
              </w:rPr>
              <w:t>295</w:t>
            </w:r>
          </w:p>
        </w:tc>
      </w:tr>
      <w:tr>
        <w:trPr>
          <w:trHeight w:val="215"/>
        </w:trPr>
        <w:tc>
          <w:tcPr>
            <w:tcW w:w="8440" w:type="dxa"/>
            <w:vAlign w:val="bottom"/>
            <w:tcBorders>
              <w:bottom w:val="single" w:sz="8" w:color="D4F1F5"/>
            </w:tcBorders>
          </w:tcPr>
          <w:p>
            <w:pPr>
              <w:ind w:left="20"/>
              <w:spacing w:after="0"/>
              <w:rPr>
                <w:sz w:val="20"/>
                <w:szCs w:val="20"/>
                <w:color w:val="auto"/>
              </w:rPr>
            </w:pPr>
            <w:r>
              <w:rPr>
                <w:rFonts w:ascii="Arial" w:cs="Arial" w:eastAsia="Arial" w:hAnsi="Arial"/>
                <w:sz w:val="16"/>
                <w:szCs w:val="16"/>
                <w:color w:val="auto"/>
              </w:rPr>
              <w:t>Income tax expense</w:t>
            </w:r>
          </w:p>
        </w:tc>
        <w:tc>
          <w:tcPr>
            <w:tcW w:w="8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(69)</w:t>
            </w:r>
          </w:p>
        </w:tc>
        <w:tc>
          <w:tcPr>
            <w:tcW w:w="4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w:t>
            </w:r>
          </w:p>
        </w:tc>
      </w:tr>
      <w:tr>
        <w:trPr>
          <w:trHeight w:val="217"/>
        </w:trPr>
        <w:tc>
          <w:tcPr>
            <w:tcW w:w="8440" w:type="dxa"/>
            <w:vAlign w:val="bottom"/>
            <w:tcBorders>
              <w:bottom w:val="single" w:sz="8" w:color="auto"/>
            </w:tcBorders>
            <w:shd w:val="clear" w:color="auto" w:fill="D4F1F5"/>
          </w:tcPr>
          <w:p>
            <w:pPr>
              <w:ind w:left="240"/>
              <w:spacing w:after="0"/>
              <w:rPr>
                <w:sz w:val="20"/>
                <w:szCs w:val="20"/>
                <w:color w:val="auto"/>
              </w:rPr>
            </w:pPr>
            <w:r>
              <w:rPr>
                <w:rFonts w:ascii="Arial" w:cs="Arial" w:eastAsia="Arial" w:hAnsi="Arial"/>
                <w:sz w:val="16"/>
                <w:szCs w:val="16"/>
                <w:color w:val="auto"/>
              </w:rPr>
              <w:t>Net income/Earnings attributable to common shares</w:t>
            </w:r>
          </w:p>
        </w:tc>
        <w:tc>
          <w:tcPr>
            <w:tcW w:w="820" w:type="dxa"/>
            <w:vAlign w:val="bottom"/>
            <w:tcBorders>
              <w:bottom w:val="single" w:sz="8" w:color="auto"/>
            </w:tcBorders>
            <w:shd w:val="clear" w:color="auto" w:fill="D4F1F5"/>
          </w:tcPr>
          <w:p>
            <w:pPr>
              <w:jc w:val="right"/>
              <w:ind w:right="624"/>
              <w:spacing w:after="0"/>
              <w:rPr>
                <w:sz w:val="20"/>
                <w:szCs w:val="20"/>
                <w:color w:val="auto"/>
              </w:rPr>
            </w:pPr>
            <w:r>
              <w:rPr>
                <w:rFonts w:ascii="Arial" w:cs="Arial" w:eastAsia="Arial" w:hAnsi="Arial"/>
                <w:sz w:val="16"/>
                <w:szCs w:val="16"/>
                <w:color w:val="auto"/>
              </w:rPr>
              <w:t>$</w:t>
            </w:r>
          </w:p>
        </w:tc>
        <w:tc>
          <w:tcPr>
            <w:tcW w:w="580" w:type="dxa"/>
            <w:vAlign w:val="bottom"/>
            <w:tcBorders>
              <w:bottom w:val="single" w:sz="8" w:color="auto"/>
            </w:tcBorders>
            <w:shd w:val="clear" w:color="auto" w:fill="D4F1F5"/>
          </w:tcPr>
          <w:p>
            <w:pPr>
              <w:jc w:val="right"/>
              <w:ind w:right="80"/>
              <w:spacing w:after="0"/>
              <w:rPr>
                <w:sz w:val="20"/>
                <w:szCs w:val="20"/>
                <w:color w:val="auto"/>
              </w:rPr>
            </w:pPr>
            <w:r>
              <w:rPr>
                <w:rFonts w:ascii="Arial" w:cs="Arial" w:eastAsia="Arial" w:hAnsi="Arial"/>
                <w:sz w:val="16"/>
                <w:szCs w:val="16"/>
                <w:color w:val="auto"/>
              </w:rPr>
              <w:t>296</w:t>
            </w:r>
          </w:p>
        </w:tc>
        <w:tc>
          <w:tcPr>
            <w:tcW w:w="480" w:type="dxa"/>
            <w:vAlign w:val="bottom"/>
            <w:tcBorders>
              <w:bottom w:val="single" w:sz="8" w:color="auto"/>
            </w:tcBorders>
            <w:shd w:val="clear" w:color="auto" w:fill="D4F1F5"/>
          </w:tcPr>
          <w:p>
            <w:pPr>
              <w:jc w:val="right"/>
              <w:ind w:right="19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shd w:val="clear" w:color="auto" w:fill="D4F1F5"/>
          </w:tcPr>
          <w:p>
            <w:pPr>
              <w:jc w:val="right"/>
              <w:spacing w:after="0"/>
              <w:rPr>
                <w:sz w:val="20"/>
                <w:szCs w:val="20"/>
                <w:color w:val="auto"/>
              </w:rPr>
            </w:pPr>
            <w:r>
              <w:rPr>
                <w:rFonts w:ascii="Arial" w:cs="Arial" w:eastAsia="Arial" w:hAnsi="Arial"/>
                <w:sz w:val="16"/>
                <w:szCs w:val="16"/>
                <w:color w:val="auto"/>
              </w:rPr>
              <w:t>281</w:t>
            </w:r>
          </w:p>
        </w:tc>
      </w:tr>
    </w:tbl>
    <w:p>
      <w:pPr>
        <w:spacing w:after="0" w:line="141"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See Notes to Condensed Financial Statements.</w:t>
      </w: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480060</wp:posOffset>
            </wp:positionV>
            <wp:extent cx="7132320" cy="45466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4546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FFFFFF"/>
        </w:rPr>
        <w:t>SAN DIEGO GAS &amp; ELECTRIC COMPANY</w:t>
      </w:r>
    </w:p>
    <w:p>
      <w:pPr>
        <w:spacing w:after="0" w:line="59"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FFFFFF"/>
        </w:rPr>
        <w:t>CONDENSED STATEMENTS OF COMPREHENSIVE INCOME (LOSS)</w:t>
      </w:r>
    </w:p>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6360" w:type="dxa"/>
            <w:vAlign w:val="bottom"/>
          </w:tcPr>
          <w:p>
            <w:pPr>
              <w:ind w:left="20"/>
              <w:spacing w:after="0"/>
              <w:rPr>
                <w:sz w:val="20"/>
                <w:szCs w:val="20"/>
                <w:color w:val="auto"/>
              </w:rPr>
            </w:pPr>
            <w:r>
              <w:rPr>
                <w:rFonts w:ascii="Arial" w:cs="Arial" w:eastAsia="Arial" w:hAnsi="Arial"/>
                <w:sz w:val="14"/>
                <w:szCs w:val="14"/>
                <w:i w:val="1"/>
                <w:iCs w:val="1"/>
                <w:color w:val="FFFFFF"/>
              </w:rPr>
              <w:t>(Dollars in millions)</w:t>
            </w:r>
          </w:p>
        </w:tc>
        <w:tc>
          <w:tcPr>
            <w:tcW w:w="1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4"/>
        </w:trPr>
        <w:tc>
          <w:tcPr>
            <w:tcW w:w="6360" w:type="dxa"/>
            <w:vAlign w:val="bottom"/>
          </w:tcPr>
          <w:p>
            <w:pPr>
              <w:spacing w:after="0"/>
              <w:rPr>
                <w:sz w:val="15"/>
                <w:szCs w:val="15"/>
                <w:color w:val="auto"/>
              </w:rPr>
            </w:pPr>
          </w:p>
        </w:tc>
        <w:tc>
          <w:tcPr>
            <w:tcW w:w="1100" w:type="dxa"/>
            <w:vAlign w:val="bottom"/>
          </w:tcPr>
          <w:p>
            <w:pPr>
              <w:jc w:val="right"/>
              <w:ind w:right="44"/>
              <w:spacing w:after="0"/>
              <w:rPr>
                <w:sz w:val="20"/>
                <w:szCs w:val="20"/>
                <w:color w:val="auto"/>
              </w:rPr>
            </w:pPr>
            <w:r>
              <w:rPr>
                <w:rFonts w:ascii="Arial" w:cs="Arial" w:eastAsia="Arial" w:hAnsi="Arial"/>
                <w:sz w:val="14"/>
                <w:szCs w:val="14"/>
                <w:color w:val="auto"/>
              </w:rPr>
              <w:t>Pretax</w:t>
            </w:r>
          </w:p>
        </w:tc>
        <w:tc>
          <w:tcPr>
            <w:tcW w:w="4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80" w:type="dxa"/>
            <w:vAlign w:val="bottom"/>
            <w:vMerge w:val="restart"/>
          </w:tcPr>
          <w:p>
            <w:pPr>
              <w:jc w:val="center"/>
              <w:ind w:right="84"/>
              <w:spacing w:after="0"/>
              <w:rPr>
                <w:sz w:val="20"/>
                <w:szCs w:val="20"/>
                <w:color w:val="auto"/>
              </w:rPr>
            </w:pPr>
            <w:r>
              <w:rPr>
                <w:rFonts w:ascii="Arial" w:cs="Arial" w:eastAsia="Arial" w:hAnsi="Arial"/>
                <w:sz w:val="14"/>
                <w:szCs w:val="14"/>
                <w:color w:val="auto"/>
              </w:rPr>
              <w:t>Income tax expense</w:t>
            </w:r>
          </w:p>
        </w:tc>
        <w:tc>
          <w:tcPr>
            <w:tcW w:w="360" w:type="dxa"/>
            <w:vAlign w:val="bottom"/>
          </w:tcPr>
          <w:p>
            <w:pPr>
              <w:spacing w:after="0"/>
              <w:rPr>
                <w:sz w:val="15"/>
                <w:szCs w:val="15"/>
                <w:color w:val="auto"/>
              </w:rPr>
            </w:pPr>
          </w:p>
        </w:tc>
        <w:tc>
          <w:tcPr>
            <w:tcW w:w="1260" w:type="dxa"/>
            <w:vAlign w:val="bottom"/>
          </w:tcPr>
          <w:p>
            <w:pPr>
              <w:jc w:val="right"/>
              <w:ind w:right="384"/>
              <w:spacing w:after="0"/>
              <w:rPr>
                <w:sz w:val="20"/>
                <w:szCs w:val="20"/>
                <w:color w:val="auto"/>
              </w:rPr>
            </w:pPr>
            <w:r>
              <w:rPr>
                <w:rFonts w:ascii="Arial" w:cs="Arial" w:eastAsia="Arial" w:hAnsi="Arial"/>
                <w:sz w:val="14"/>
                <w:szCs w:val="14"/>
                <w:color w:val="auto"/>
              </w:rPr>
              <w:t>Net-of-tax</w:t>
            </w:r>
          </w:p>
        </w:tc>
        <w:tc>
          <w:tcPr>
            <w:tcW w:w="0" w:type="dxa"/>
            <w:vAlign w:val="bottom"/>
          </w:tcPr>
          <w:p>
            <w:pPr>
              <w:spacing w:after="0"/>
              <w:rPr>
                <w:sz w:val="1"/>
                <w:szCs w:val="1"/>
                <w:color w:val="auto"/>
              </w:rPr>
            </w:pPr>
          </w:p>
        </w:tc>
      </w:tr>
      <w:tr>
        <w:trPr>
          <w:trHeight w:val="185"/>
        </w:trPr>
        <w:tc>
          <w:tcPr>
            <w:tcW w:w="6360" w:type="dxa"/>
            <w:vAlign w:val="bottom"/>
          </w:tcPr>
          <w:p>
            <w:pPr>
              <w:spacing w:after="0"/>
              <w:rPr>
                <w:sz w:val="16"/>
                <w:szCs w:val="16"/>
                <w:color w:val="auto"/>
              </w:rPr>
            </w:pPr>
          </w:p>
        </w:tc>
        <w:tc>
          <w:tcPr>
            <w:tcW w:w="1100" w:type="dxa"/>
            <w:vAlign w:val="bottom"/>
            <w:tcBorders>
              <w:bottom w:val="single" w:sz="8" w:color="auto"/>
            </w:tcBorders>
          </w:tcPr>
          <w:p>
            <w:pPr>
              <w:jc w:val="right"/>
              <w:ind w:right="24"/>
              <w:spacing w:after="0"/>
              <w:rPr>
                <w:sz w:val="20"/>
                <w:szCs w:val="20"/>
                <w:color w:val="auto"/>
              </w:rPr>
            </w:pPr>
            <w:r>
              <w:rPr>
                <w:rFonts w:ascii="Arial" w:cs="Arial" w:eastAsia="Arial" w:hAnsi="Arial"/>
                <w:sz w:val="14"/>
                <w:szCs w:val="14"/>
                <w:color w:val="auto"/>
              </w:rPr>
              <w:t>amount</w:t>
            </w:r>
          </w:p>
        </w:tc>
        <w:tc>
          <w:tcPr>
            <w:tcW w:w="48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vMerge w:val="continue"/>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464"/>
              <w:spacing w:after="0"/>
              <w:rPr>
                <w:sz w:val="20"/>
                <w:szCs w:val="20"/>
                <w:color w:val="auto"/>
              </w:rPr>
            </w:pPr>
            <w:r>
              <w:rPr>
                <w:rFonts w:ascii="Arial" w:cs="Arial" w:eastAsia="Arial" w:hAnsi="Arial"/>
                <w:sz w:val="14"/>
                <w:szCs w:val="14"/>
                <w:color w:val="auto"/>
              </w:rPr>
              <w:t>amount</w:t>
            </w:r>
          </w:p>
        </w:tc>
        <w:tc>
          <w:tcPr>
            <w:tcW w:w="0" w:type="dxa"/>
            <w:vAlign w:val="bottom"/>
          </w:tcPr>
          <w:p>
            <w:pPr>
              <w:spacing w:after="0"/>
              <w:rPr>
                <w:sz w:val="1"/>
                <w:szCs w:val="1"/>
                <w:color w:val="auto"/>
              </w:rPr>
            </w:pPr>
          </w:p>
        </w:tc>
      </w:tr>
      <w:tr>
        <w:trPr>
          <w:trHeight w:val="192"/>
        </w:trPr>
        <w:tc>
          <w:tcPr>
            <w:tcW w:w="6360" w:type="dxa"/>
            <w:vAlign w:val="bottom"/>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center"/>
              <w:ind w:right="84"/>
              <w:spacing w:after="0"/>
              <w:rPr>
                <w:sz w:val="20"/>
                <w:szCs w:val="20"/>
                <w:color w:val="auto"/>
              </w:rPr>
            </w:pPr>
            <w:r>
              <w:rPr>
                <w:rFonts w:ascii="Arial" w:cs="Arial" w:eastAsia="Arial" w:hAnsi="Arial"/>
                <w:sz w:val="14"/>
                <w:szCs w:val="14"/>
                <w:color w:val="auto"/>
              </w:rPr>
              <w:t>(unaudited)</w:t>
            </w:r>
          </w:p>
        </w:tc>
        <w:tc>
          <w:tcPr>
            <w:tcW w:w="36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6360" w:type="dxa"/>
            <w:vAlign w:val="bottom"/>
            <w:tcBorders>
              <w:bottom w:val="single" w:sz="8" w:color="auto"/>
            </w:tcBorders>
          </w:tcPr>
          <w:p>
            <w:pPr>
              <w:spacing w:after="0"/>
              <w:rPr>
                <w:sz w:val="17"/>
                <w:szCs w:val="17"/>
                <w:color w:val="auto"/>
              </w:rPr>
            </w:pPr>
          </w:p>
        </w:tc>
        <w:tc>
          <w:tcPr>
            <w:tcW w:w="4880" w:type="dxa"/>
            <w:vAlign w:val="bottom"/>
            <w:tcBorders>
              <w:bottom w:val="single" w:sz="8" w:color="auto"/>
            </w:tcBorders>
            <w:gridSpan w:val="6"/>
          </w:tcPr>
          <w:p>
            <w:pPr>
              <w:jc w:val="center"/>
              <w:spacing w:after="0"/>
              <w:rPr>
                <w:sz w:val="20"/>
                <w:szCs w:val="20"/>
                <w:color w:val="auto"/>
              </w:rPr>
            </w:pPr>
            <w:r>
              <w:rPr>
                <w:rFonts w:ascii="Arial" w:cs="Arial" w:eastAsia="Arial" w:hAnsi="Arial"/>
                <w:sz w:val="14"/>
                <w:szCs w:val="14"/>
                <w:color w:val="auto"/>
              </w:rPr>
              <w:t>Three months ended March 31, 2026 and 2025</w:t>
            </w:r>
          </w:p>
        </w:tc>
        <w:tc>
          <w:tcPr>
            <w:tcW w:w="0" w:type="dxa"/>
            <w:vAlign w:val="bottom"/>
          </w:tcPr>
          <w:p>
            <w:pPr>
              <w:spacing w:after="0"/>
              <w:rPr>
                <w:sz w:val="1"/>
                <w:szCs w:val="1"/>
                <w:color w:val="auto"/>
              </w:rPr>
            </w:pPr>
          </w:p>
        </w:tc>
      </w:tr>
      <w:tr>
        <w:trPr>
          <w:trHeight w:val="213"/>
        </w:trPr>
        <w:tc>
          <w:tcPr>
            <w:tcW w:w="6360" w:type="dxa"/>
            <w:vAlign w:val="bottom"/>
            <w:shd w:val="clear" w:color="auto" w:fill="D4F1F5"/>
          </w:tcPr>
          <w:p>
            <w:pPr>
              <w:ind w:left="20"/>
              <w:spacing w:after="0"/>
              <w:rPr>
                <w:sz w:val="20"/>
                <w:szCs w:val="20"/>
                <w:color w:val="auto"/>
              </w:rPr>
            </w:pPr>
            <w:r>
              <w:rPr>
                <w:rFonts w:ascii="Arial" w:cs="Arial" w:eastAsia="Arial" w:hAnsi="Arial"/>
                <w:sz w:val="16"/>
                <w:szCs w:val="16"/>
                <w:b w:val="1"/>
                <w:bCs w:val="1"/>
                <w:color w:val="auto"/>
              </w:rPr>
              <w:t>2026:</w:t>
            </w:r>
          </w:p>
        </w:tc>
        <w:tc>
          <w:tcPr>
            <w:tcW w:w="1100" w:type="dxa"/>
            <w:vAlign w:val="bottom"/>
            <w:shd w:val="clear" w:color="auto" w:fill="D4F1F5"/>
          </w:tcPr>
          <w:p>
            <w:pPr>
              <w:spacing w:after="0"/>
              <w:rPr>
                <w:sz w:val="18"/>
                <w:szCs w:val="18"/>
                <w:color w:val="auto"/>
              </w:rPr>
            </w:pPr>
          </w:p>
        </w:tc>
        <w:tc>
          <w:tcPr>
            <w:tcW w:w="480" w:type="dxa"/>
            <w:vAlign w:val="bottom"/>
            <w:shd w:val="clear" w:color="auto" w:fill="D4F1F5"/>
          </w:tcPr>
          <w:p>
            <w:pPr>
              <w:spacing w:after="0"/>
              <w:rPr>
                <w:sz w:val="18"/>
                <w:szCs w:val="18"/>
                <w:color w:val="auto"/>
              </w:rPr>
            </w:pPr>
          </w:p>
        </w:tc>
        <w:tc>
          <w:tcPr>
            <w:tcW w:w="200" w:type="dxa"/>
            <w:vAlign w:val="bottom"/>
            <w:shd w:val="clear" w:color="auto" w:fill="D4F1F5"/>
          </w:tcPr>
          <w:p>
            <w:pPr>
              <w:spacing w:after="0"/>
              <w:rPr>
                <w:sz w:val="18"/>
                <w:szCs w:val="18"/>
                <w:color w:val="auto"/>
              </w:rPr>
            </w:pPr>
          </w:p>
        </w:tc>
        <w:tc>
          <w:tcPr>
            <w:tcW w:w="1480" w:type="dxa"/>
            <w:vAlign w:val="bottom"/>
            <w:shd w:val="clear" w:color="auto" w:fill="D4F1F5"/>
          </w:tcPr>
          <w:p>
            <w:pPr>
              <w:spacing w:after="0"/>
              <w:rPr>
                <w:sz w:val="18"/>
                <w:szCs w:val="18"/>
                <w:color w:val="auto"/>
              </w:rPr>
            </w:pPr>
          </w:p>
        </w:tc>
        <w:tc>
          <w:tcPr>
            <w:tcW w:w="360" w:type="dxa"/>
            <w:vAlign w:val="bottom"/>
            <w:shd w:val="clear" w:color="auto" w:fill="D4F1F5"/>
          </w:tcPr>
          <w:p>
            <w:pPr>
              <w:spacing w:after="0"/>
              <w:rPr>
                <w:sz w:val="18"/>
                <w:szCs w:val="18"/>
                <w:color w:val="auto"/>
              </w:rPr>
            </w:pPr>
          </w:p>
        </w:tc>
        <w:tc>
          <w:tcPr>
            <w:tcW w:w="1260" w:type="dxa"/>
            <w:vAlign w:val="bottom"/>
            <w:shd w:val="clear" w:color="auto" w:fill="D4F1F5"/>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360" w:type="dxa"/>
            <w:vAlign w:val="bottom"/>
            <w:tcBorders>
              <w:bottom w:val="single" w:sz="8" w:color="929292"/>
            </w:tcBorders>
          </w:tcPr>
          <w:p>
            <w:pPr>
              <w:ind w:left="20"/>
              <w:spacing w:after="0"/>
              <w:rPr>
                <w:sz w:val="20"/>
                <w:szCs w:val="20"/>
                <w:color w:val="auto"/>
              </w:rPr>
            </w:pPr>
            <w:r>
              <w:rPr>
                <w:rFonts w:ascii="Arial" w:cs="Arial" w:eastAsia="Arial" w:hAnsi="Arial"/>
                <w:sz w:val="16"/>
                <w:szCs w:val="16"/>
                <w:color w:val="auto"/>
              </w:rPr>
              <w:t>Net income/Comprehensive income</w:t>
            </w:r>
          </w:p>
        </w:tc>
        <w:tc>
          <w:tcPr>
            <w:tcW w:w="1100" w:type="dxa"/>
            <w:vAlign w:val="bottom"/>
            <w:tcBorders>
              <w:bottom w:val="single" w:sz="8" w:color="929292"/>
            </w:tcBorders>
          </w:tcPr>
          <w:p>
            <w:pPr>
              <w:jc w:val="right"/>
              <w:ind w:right="924"/>
              <w:spacing w:after="0"/>
              <w:rPr>
                <w:sz w:val="20"/>
                <w:szCs w:val="20"/>
                <w:color w:val="auto"/>
              </w:rPr>
            </w:pPr>
            <w:r>
              <w:rPr>
                <w:rFonts w:ascii="Arial" w:cs="Arial" w:eastAsia="Arial" w:hAnsi="Arial"/>
                <w:sz w:val="16"/>
                <w:szCs w:val="16"/>
                <w:color w:val="auto"/>
                <w:w w:val="89"/>
              </w:rPr>
              <w:t>$</w:t>
            </w:r>
          </w:p>
        </w:tc>
        <w:tc>
          <w:tcPr>
            <w:tcW w:w="480" w:type="dxa"/>
            <w:vAlign w:val="bottom"/>
            <w:tcBorders>
              <w:bottom w:val="single" w:sz="8" w:color="929292"/>
            </w:tcBorders>
          </w:tcPr>
          <w:p>
            <w:pPr>
              <w:jc w:val="right"/>
              <w:ind w:right="19"/>
              <w:spacing w:after="0"/>
              <w:rPr>
                <w:sz w:val="20"/>
                <w:szCs w:val="20"/>
                <w:color w:val="auto"/>
              </w:rPr>
            </w:pPr>
            <w:r>
              <w:rPr>
                <w:rFonts w:ascii="Arial" w:cs="Arial" w:eastAsia="Arial" w:hAnsi="Arial"/>
                <w:sz w:val="16"/>
                <w:szCs w:val="16"/>
                <w:color w:val="auto"/>
              </w:rPr>
              <w:t>365</w:t>
            </w:r>
          </w:p>
        </w:tc>
        <w:tc>
          <w:tcPr>
            <w:tcW w:w="200" w:type="dxa"/>
            <w:vAlign w:val="bottom"/>
            <w:tcBorders>
              <w:bottom w:val="single" w:sz="8" w:color="929292"/>
            </w:tcBorders>
          </w:tcPr>
          <w:p>
            <w:pPr>
              <w:jc w:val="right"/>
              <w:spacing w:after="0"/>
              <w:rPr>
                <w:sz w:val="20"/>
                <w:szCs w:val="20"/>
                <w:color w:val="auto"/>
              </w:rPr>
            </w:pPr>
            <w:r>
              <w:rPr>
                <w:rFonts w:ascii="Arial" w:cs="Arial" w:eastAsia="Arial" w:hAnsi="Arial"/>
                <w:sz w:val="16"/>
                <w:szCs w:val="16"/>
                <w:color w:val="auto"/>
              </w:rPr>
              <w:t>$</w:t>
            </w:r>
          </w:p>
        </w:tc>
        <w:tc>
          <w:tcPr>
            <w:tcW w:w="1480" w:type="dxa"/>
            <w:vAlign w:val="bottom"/>
            <w:tcBorders>
              <w:bottom w:val="single" w:sz="8" w:color="929292"/>
            </w:tcBorders>
          </w:tcPr>
          <w:p>
            <w:pPr>
              <w:jc w:val="right"/>
              <w:spacing w:after="0"/>
              <w:rPr>
                <w:sz w:val="20"/>
                <w:szCs w:val="20"/>
                <w:color w:val="auto"/>
              </w:rPr>
            </w:pPr>
            <w:r>
              <w:rPr>
                <w:rFonts w:ascii="Arial" w:cs="Arial" w:eastAsia="Arial" w:hAnsi="Arial"/>
                <w:sz w:val="16"/>
                <w:szCs w:val="16"/>
                <w:color w:val="auto"/>
              </w:rPr>
              <w:t>(69)</w:t>
            </w:r>
          </w:p>
        </w:tc>
        <w:tc>
          <w:tcPr>
            <w:tcW w:w="360" w:type="dxa"/>
            <w:vAlign w:val="bottom"/>
            <w:tcBorders>
              <w:bottom w:val="single" w:sz="8" w:color="929292"/>
            </w:tcBorders>
          </w:tcPr>
          <w:p>
            <w:pPr>
              <w:jc w:val="right"/>
              <w:ind w:right="99"/>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929292"/>
            </w:tcBorders>
          </w:tcPr>
          <w:p>
            <w:pPr>
              <w:jc w:val="right"/>
              <w:ind w:right="4"/>
              <w:spacing w:after="0"/>
              <w:rPr>
                <w:sz w:val="20"/>
                <w:szCs w:val="20"/>
                <w:color w:val="auto"/>
              </w:rPr>
            </w:pPr>
            <w:r>
              <w:rPr>
                <w:rFonts w:ascii="Arial" w:cs="Arial" w:eastAsia="Arial" w:hAnsi="Arial"/>
                <w:sz w:val="16"/>
                <w:szCs w:val="16"/>
                <w:color w:val="auto"/>
              </w:rPr>
              <w:t>296</w:t>
            </w:r>
          </w:p>
        </w:tc>
        <w:tc>
          <w:tcPr>
            <w:tcW w:w="0" w:type="dxa"/>
            <w:vAlign w:val="bottom"/>
          </w:tcPr>
          <w:p>
            <w:pPr>
              <w:spacing w:after="0"/>
              <w:rPr>
                <w:sz w:val="1"/>
                <w:szCs w:val="1"/>
                <w:color w:val="auto"/>
              </w:rPr>
            </w:pPr>
          </w:p>
        </w:tc>
      </w:tr>
      <w:tr>
        <w:trPr>
          <w:trHeight w:val="216"/>
        </w:trPr>
        <w:tc>
          <w:tcPr>
            <w:tcW w:w="6360" w:type="dxa"/>
            <w:vAlign w:val="bottom"/>
            <w:shd w:val="clear" w:color="auto" w:fill="D4F1F5"/>
          </w:tcPr>
          <w:p>
            <w:pPr>
              <w:ind w:left="20"/>
              <w:spacing w:after="0"/>
              <w:rPr>
                <w:sz w:val="20"/>
                <w:szCs w:val="20"/>
                <w:color w:val="auto"/>
              </w:rPr>
            </w:pPr>
            <w:r>
              <w:rPr>
                <w:rFonts w:ascii="Arial" w:cs="Arial" w:eastAsia="Arial" w:hAnsi="Arial"/>
                <w:sz w:val="16"/>
                <w:szCs w:val="16"/>
                <w:b w:val="1"/>
                <w:bCs w:val="1"/>
                <w:color w:val="auto"/>
              </w:rPr>
              <w:t>2025:</w:t>
            </w:r>
          </w:p>
        </w:tc>
        <w:tc>
          <w:tcPr>
            <w:tcW w:w="1100" w:type="dxa"/>
            <w:vAlign w:val="bottom"/>
            <w:shd w:val="clear" w:color="auto" w:fill="D4F1F5"/>
          </w:tcPr>
          <w:p>
            <w:pPr>
              <w:spacing w:after="0"/>
              <w:rPr>
                <w:sz w:val="18"/>
                <w:szCs w:val="18"/>
                <w:color w:val="auto"/>
              </w:rPr>
            </w:pPr>
          </w:p>
        </w:tc>
        <w:tc>
          <w:tcPr>
            <w:tcW w:w="480" w:type="dxa"/>
            <w:vAlign w:val="bottom"/>
            <w:shd w:val="clear" w:color="auto" w:fill="D4F1F5"/>
          </w:tcPr>
          <w:p>
            <w:pPr>
              <w:spacing w:after="0"/>
              <w:rPr>
                <w:sz w:val="18"/>
                <w:szCs w:val="18"/>
                <w:color w:val="auto"/>
              </w:rPr>
            </w:pPr>
          </w:p>
        </w:tc>
        <w:tc>
          <w:tcPr>
            <w:tcW w:w="200" w:type="dxa"/>
            <w:vAlign w:val="bottom"/>
            <w:shd w:val="clear" w:color="auto" w:fill="D4F1F5"/>
          </w:tcPr>
          <w:p>
            <w:pPr>
              <w:spacing w:after="0"/>
              <w:rPr>
                <w:sz w:val="18"/>
                <w:szCs w:val="18"/>
                <w:color w:val="auto"/>
              </w:rPr>
            </w:pPr>
          </w:p>
        </w:tc>
        <w:tc>
          <w:tcPr>
            <w:tcW w:w="1480" w:type="dxa"/>
            <w:vAlign w:val="bottom"/>
            <w:shd w:val="clear" w:color="auto" w:fill="D4F1F5"/>
          </w:tcPr>
          <w:p>
            <w:pPr>
              <w:spacing w:after="0"/>
              <w:rPr>
                <w:sz w:val="18"/>
                <w:szCs w:val="18"/>
                <w:color w:val="auto"/>
              </w:rPr>
            </w:pPr>
          </w:p>
        </w:tc>
        <w:tc>
          <w:tcPr>
            <w:tcW w:w="360" w:type="dxa"/>
            <w:vAlign w:val="bottom"/>
            <w:shd w:val="clear" w:color="auto" w:fill="D4F1F5"/>
          </w:tcPr>
          <w:p>
            <w:pPr>
              <w:spacing w:after="0"/>
              <w:rPr>
                <w:sz w:val="18"/>
                <w:szCs w:val="18"/>
                <w:color w:val="auto"/>
              </w:rPr>
            </w:pPr>
          </w:p>
        </w:tc>
        <w:tc>
          <w:tcPr>
            <w:tcW w:w="1260" w:type="dxa"/>
            <w:vAlign w:val="bottom"/>
            <w:shd w:val="clear" w:color="auto" w:fill="D4F1F5"/>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360" w:type="dxa"/>
            <w:vAlign w:val="bottom"/>
            <w:tcBorders>
              <w:bottom w:val="single" w:sz="8" w:color="929292"/>
            </w:tcBorders>
          </w:tcPr>
          <w:p>
            <w:pPr>
              <w:ind w:left="20"/>
              <w:spacing w:after="0"/>
              <w:rPr>
                <w:sz w:val="20"/>
                <w:szCs w:val="20"/>
                <w:color w:val="auto"/>
              </w:rPr>
            </w:pPr>
            <w:r>
              <w:rPr>
                <w:rFonts w:ascii="Arial" w:cs="Arial" w:eastAsia="Arial" w:hAnsi="Arial"/>
                <w:sz w:val="16"/>
                <w:szCs w:val="16"/>
                <w:color w:val="auto"/>
              </w:rPr>
              <w:t>Net income/Comprehensive income</w:t>
            </w:r>
          </w:p>
        </w:tc>
        <w:tc>
          <w:tcPr>
            <w:tcW w:w="1100" w:type="dxa"/>
            <w:vAlign w:val="bottom"/>
            <w:tcBorders>
              <w:bottom w:val="single" w:sz="8" w:color="929292"/>
            </w:tcBorders>
          </w:tcPr>
          <w:p>
            <w:pPr>
              <w:jc w:val="right"/>
              <w:ind w:right="924"/>
              <w:spacing w:after="0"/>
              <w:rPr>
                <w:sz w:val="20"/>
                <w:szCs w:val="20"/>
                <w:color w:val="auto"/>
              </w:rPr>
            </w:pPr>
            <w:r>
              <w:rPr>
                <w:rFonts w:ascii="Arial" w:cs="Arial" w:eastAsia="Arial" w:hAnsi="Arial"/>
                <w:sz w:val="16"/>
                <w:szCs w:val="16"/>
                <w:color w:val="auto"/>
                <w:w w:val="89"/>
              </w:rPr>
              <w:t>$</w:t>
            </w:r>
          </w:p>
        </w:tc>
        <w:tc>
          <w:tcPr>
            <w:tcW w:w="480" w:type="dxa"/>
            <w:vAlign w:val="bottom"/>
            <w:tcBorders>
              <w:bottom w:val="single" w:sz="8" w:color="929292"/>
            </w:tcBorders>
          </w:tcPr>
          <w:p>
            <w:pPr>
              <w:jc w:val="right"/>
              <w:ind w:right="19"/>
              <w:spacing w:after="0"/>
              <w:rPr>
                <w:sz w:val="20"/>
                <w:szCs w:val="20"/>
                <w:color w:val="auto"/>
              </w:rPr>
            </w:pPr>
            <w:r>
              <w:rPr>
                <w:rFonts w:ascii="Arial" w:cs="Arial" w:eastAsia="Arial" w:hAnsi="Arial"/>
                <w:sz w:val="16"/>
                <w:szCs w:val="16"/>
                <w:color w:val="auto"/>
              </w:rPr>
              <w:t>295</w:t>
            </w:r>
          </w:p>
        </w:tc>
        <w:tc>
          <w:tcPr>
            <w:tcW w:w="200" w:type="dxa"/>
            <w:vAlign w:val="bottom"/>
            <w:tcBorders>
              <w:bottom w:val="single" w:sz="8" w:color="929292"/>
            </w:tcBorders>
          </w:tcPr>
          <w:p>
            <w:pPr>
              <w:jc w:val="right"/>
              <w:spacing w:after="0"/>
              <w:rPr>
                <w:sz w:val="20"/>
                <w:szCs w:val="20"/>
                <w:color w:val="auto"/>
              </w:rPr>
            </w:pPr>
            <w:r>
              <w:rPr>
                <w:rFonts w:ascii="Arial" w:cs="Arial" w:eastAsia="Arial" w:hAnsi="Arial"/>
                <w:sz w:val="16"/>
                <w:szCs w:val="16"/>
                <w:color w:val="auto"/>
              </w:rPr>
              <w:t>$</w:t>
            </w:r>
          </w:p>
        </w:tc>
        <w:tc>
          <w:tcPr>
            <w:tcW w:w="1480" w:type="dxa"/>
            <w:vAlign w:val="bottom"/>
            <w:tcBorders>
              <w:bottom w:val="single" w:sz="8" w:color="929292"/>
            </w:tcBorders>
          </w:tcPr>
          <w:p>
            <w:pPr>
              <w:jc w:val="right"/>
              <w:spacing w:after="0"/>
              <w:rPr>
                <w:sz w:val="20"/>
                <w:szCs w:val="20"/>
                <w:color w:val="auto"/>
              </w:rPr>
            </w:pPr>
            <w:r>
              <w:rPr>
                <w:rFonts w:ascii="Arial" w:cs="Arial" w:eastAsia="Arial" w:hAnsi="Arial"/>
                <w:sz w:val="16"/>
                <w:szCs w:val="16"/>
                <w:color w:val="auto"/>
              </w:rPr>
              <w:t>(14)</w:t>
            </w:r>
          </w:p>
        </w:tc>
        <w:tc>
          <w:tcPr>
            <w:tcW w:w="360" w:type="dxa"/>
            <w:vAlign w:val="bottom"/>
            <w:tcBorders>
              <w:bottom w:val="single" w:sz="8" w:color="929292"/>
            </w:tcBorders>
          </w:tcPr>
          <w:p>
            <w:pPr>
              <w:jc w:val="right"/>
              <w:ind w:right="99"/>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929292"/>
            </w:tcBorders>
          </w:tcPr>
          <w:p>
            <w:pPr>
              <w:jc w:val="right"/>
              <w:ind w:right="4"/>
              <w:spacing w:after="0"/>
              <w:rPr>
                <w:sz w:val="20"/>
                <w:szCs w:val="20"/>
                <w:color w:val="auto"/>
              </w:rPr>
            </w:pPr>
            <w:r>
              <w:rPr>
                <w:rFonts w:ascii="Arial" w:cs="Arial" w:eastAsia="Arial" w:hAnsi="Arial"/>
                <w:sz w:val="16"/>
                <w:szCs w:val="16"/>
                <w:color w:val="auto"/>
              </w:rPr>
              <w:t>281</w:t>
            </w:r>
          </w:p>
        </w:tc>
        <w:tc>
          <w:tcPr>
            <w:tcW w:w="0" w:type="dxa"/>
            <w:vAlign w:val="bottom"/>
          </w:tcPr>
          <w:p>
            <w:pPr>
              <w:spacing w:after="0"/>
              <w:rPr>
                <w:sz w:val="1"/>
                <w:szCs w:val="1"/>
                <w:color w:val="auto"/>
              </w:rPr>
            </w:pPr>
          </w:p>
        </w:tc>
      </w:tr>
    </w:tbl>
    <w:p>
      <w:pPr>
        <w:spacing w:after="0" w:line="141"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See Notes to Condensed Financial Statements.</w:t>
      </w: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480060</wp:posOffset>
            </wp:positionV>
            <wp:extent cx="7132320" cy="45402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4540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FFFFFF"/>
        </w:rPr>
        <w:t>SAN DIEGO GAS &amp; ELECTRIC COMPANY</w:t>
      </w:r>
    </w:p>
    <w:p>
      <w:pPr>
        <w:spacing w:after="0" w:line="59"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FFFFFF"/>
        </w:rPr>
        <w:t>CONDENSED BALANCE SHEETS</w:t>
      </w:r>
    </w:p>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8300" w:type="dxa"/>
            <w:vAlign w:val="bottom"/>
          </w:tcPr>
          <w:p>
            <w:pPr>
              <w:ind w:left="20"/>
              <w:spacing w:after="0"/>
              <w:rPr>
                <w:sz w:val="20"/>
                <w:szCs w:val="20"/>
                <w:color w:val="auto"/>
              </w:rPr>
            </w:pPr>
            <w:r>
              <w:rPr>
                <w:rFonts w:ascii="Arial" w:cs="Arial" w:eastAsia="Arial" w:hAnsi="Arial"/>
                <w:sz w:val="14"/>
                <w:szCs w:val="14"/>
                <w:i w:val="1"/>
                <w:iCs w:val="1"/>
                <w:color w:val="FFFFFF"/>
              </w:rPr>
              <w:t>(Dollars in millions)</w:t>
            </w:r>
          </w:p>
        </w:tc>
        <w:tc>
          <w:tcPr>
            <w:tcW w:w="2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40" w:type="dxa"/>
            <w:vAlign w:val="bottom"/>
          </w:tcPr>
          <w:p>
            <w:pPr>
              <w:spacing w:after="0"/>
              <w:rPr>
                <w:sz w:val="16"/>
                <w:szCs w:val="16"/>
                <w:color w:val="auto"/>
              </w:rPr>
            </w:pPr>
          </w:p>
        </w:tc>
      </w:tr>
      <w:tr>
        <w:trPr>
          <w:trHeight w:val="229"/>
        </w:trPr>
        <w:tc>
          <w:tcPr>
            <w:tcW w:w="8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jc w:val="center"/>
              <w:ind w:right="200"/>
              <w:spacing w:after="0"/>
              <w:rPr>
                <w:sz w:val="20"/>
                <w:szCs w:val="20"/>
                <w:color w:val="auto"/>
              </w:rPr>
            </w:pPr>
            <w:r>
              <w:rPr>
                <w:rFonts w:ascii="Arial" w:cs="Arial" w:eastAsia="Arial" w:hAnsi="Arial"/>
                <w:sz w:val="14"/>
                <w:szCs w:val="14"/>
                <w:color w:val="auto"/>
              </w:rPr>
              <w:t>March 31,</w:t>
            </w:r>
          </w:p>
        </w:tc>
        <w:tc>
          <w:tcPr>
            <w:tcW w:w="240" w:type="dxa"/>
            <w:vAlign w:val="bottom"/>
          </w:tcPr>
          <w:p>
            <w:pPr>
              <w:spacing w:after="0"/>
              <w:rPr>
                <w:sz w:val="19"/>
                <w:szCs w:val="19"/>
                <w:color w:val="auto"/>
              </w:rPr>
            </w:pPr>
          </w:p>
        </w:tc>
        <w:tc>
          <w:tcPr>
            <w:tcW w:w="1240" w:type="dxa"/>
            <w:vAlign w:val="bottom"/>
          </w:tcPr>
          <w:p>
            <w:pPr>
              <w:jc w:val="right"/>
              <w:ind w:right="180"/>
              <w:spacing w:after="0"/>
              <w:rPr>
                <w:sz w:val="20"/>
                <w:szCs w:val="20"/>
                <w:color w:val="auto"/>
              </w:rPr>
            </w:pPr>
            <w:r>
              <w:rPr>
                <w:rFonts w:ascii="Arial" w:cs="Arial" w:eastAsia="Arial" w:hAnsi="Arial"/>
                <w:sz w:val="14"/>
                <w:szCs w:val="14"/>
                <w:color w:val="auto"/>
              </w:rPr>
              <w:t>December 31,</w:t>
            </w:r>
          </w:p>
        </w:tc>
      </w:tr>
      <w:tr>
        <w:trPr>
          <w:trHeight w:val="224"/>
        </w:trPr>
        <w:tc>
          <w:tcPr>
            <w:tcW w:w="83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center"/>
              <w:ind w:right="200"/>
              <w:spacing w:after="0"/>
              <w:rPr>
                <w:sz w:val="20"/>
                <w:szCs w:val="20"/>
                <w:color w:val="auto"/>
              </w:rPr>
            </w:pPr>
            <w:r>
              <w:rPr>
                <w:rFonts w:ascii="Arial" w:cs="Arial" w:eastAsia="Arial" w:hAnsi="Arial"/>
                <w:sz w:val="14"/>
                <w:szCs w:val="14"/>
                <w:color w:val="auto"/>
              </w:rPr>
              <w:t>2026</w:t>
            </w:r>
          </w:p>
        </w:tc>
        <w:tc>
          <w:tcPr>
            <w:tcW w:w="2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420"/>
              <w:spacing w:after="0"/>
              <w:rPr>
                <w:sz w:val="20"/>
                <w:szCs w:val="20"/>
                <w:color w:val="auto"/>
              </w:rPr>
            </w:pPr>
            <w:r>
              <w:rPr>
                <w:rFonts w:ascii="Arial" w:cs="Arial" w:eastAsia="Arial" w:hAnsi="Arial"/>
                <w:sz w:val="14"/>
                <w:szCs w:val="14"/>
                <w:color w:val="auto"/>
              </w:rPr>
              <w:t>2025</w:t>
            </w:r>
            <w:r>
              <w:rPr>
                <w:rFonts w:ascii="Arial" w:cs="Arial" w:eastAsia="Arial" w:hAnsi="Arial"/>
                <w:sz w:val="18"/>
                <w:szCs w:val="18"/>
                <w:color w:val="auto"/>
                <w:vertAlign w:val="superscript"/>
              </w:rPr>
              <w:t>(1)</w:t>
            </w:r>
          </w:p>
        </w:tc>
      </w:tr>
      <w:tr>
        <w:trPr>
          <w:trHeight w:val="210"/>
        </w:trPr>
        <w:tc>
          <w:tcPr>
            <w:tcW w:w="8300" w:type="dxa"/>
            <w:vAlign w:val="bottom"/>
            <w:shd w:val="clear" w:color="auto" w:fill="D4F1F5"/>
          </w:tcPr>
          <w:p>
            <w:pPr>
              <w:spacing w:after="0"/>
              <w:rPr>
                <w:sz w:val="18"/>
                <w:szCs w:val="18"/>
                <w:color w:val="auto"/>
              </w:rPr>
            </w:pPr>
          </w:p>
        </w:tc>
        <w:tc>
          <w:tcPr>
            <w:tcW w:w="220" w:type="dxa"/>
            <w:vAlign w:val="bottom"/>
            <w:shd w:val="clear" w:color="auto" w:fill="D4F1F5"/>
          </w:tcPr>
          <w:p>
            <w:pPr>
              <w:spacing w:after="0"/>
              <w:rPr>
                <w:sz w:val="18"/>
                <w:szCs w:val="18"/>
                <w:color w:val="auto"/>
              </w:rPr>
            </w:pPr>
          </w:p>
        </w:tc>
        <w:tc>
          <w:tcPr>
            <w:tcW w:w="1240" w:type="dxa"/>
            <w:vAlign w:val="bottom"/>
            <w:shd w:val="clear" w:color="auto" w:fill="D4F1F5"/>
          </w:tcPr>
          <w:p>
            <w:pPr>
              <w:jc w:val="center"/>
              <w:ind w:right="200"/>
              <w:spacing w:after="0"/>
              <w:rPr>
                <w:sz w:val="20"/>
                <w:szCs w:val="20"/>
                <w:color w:val="auto"/>
              </w:rPr>
            </w:pPr>
            <w:r>
              <w:rPr>
                <w:rFonts w:ascii="Arial" w:cs="Arial" w:eastAsia="Arial" w:hAnsi="Arial"/>
                <w:sz w:val="14"/>
                <w:szCs w:val="14"/>
                <w:color w:val="auto"/>
              </w:rPr>
              <w:t>(unaudited)</w:t>
            </w:r>
          </w:p>
        </w:tc>
        <w:tc>
          <w:tcPr>
            <w:tcW w:w="240" w:type="dxa"/>
            <w:vAlign w:val="bottom"/>
            <w:shd w:val="clear" w:color="auto" w:fill="D4F1F5"/>
          </w:tcPr>
          <w:p>
            <w:pPr>
              <w:spacing w:after="0"/>
              <w:rPr>
                <w:sz w:val="18"/>
                <w:szCs w:val="18"/>
                <w:color w:val="auto"/>
              </w:rPr>
            </w:pPr>
          </w:p>
        </w:tc>
        <w:tc>
          <w:tcPr>
            <w:tcW w:w="1240" w:type="dxa"/>
            <w:vAlign w:val="bottom"/>
            <w:shd w:val="clear" w:color="auto" w:fill="D4F1F5"/>
          </w:tcPr>
          <w:p>
            <w:pPr>
              <w:spacing w:after="0"/>
              <w:rPr>
                <w:sz w:val="18"/>
                <w:szCs w:val="18"/>
                <w:color w:val="auto"/>
              </w:rPr>
            </w:pPr>
          </w:p>
        </w:tc>
      </w:tr>
      <w:tr>
        <w:trPr>
          <w:trHeight w:val="215"/>
        </w:trPr>
        <w:tc>
          <w:tcPr>
            <w:tcW w:w="8300" w:type="dxa"/>
            <w:vAlign w:val="bottom"/>
          </w:tcPr>
          <w:p>
            <w:pPr>
              <w:ind w:left="20"/>
              <w:spacing w:after="0"/>
              <w:rPr>
                <w:sz w:val="20"/>
                <w:szCs w:val="20"/>
                <w:color w:val="auto"/>
              </w:rPr>
            </w:pPr>
            <w:r>
              <w:rPr>
                <w:rFonts w:ascii="Arial" w:cs="Arial" w:eastAsia="Arial" w:hAnsi="Arial"/>
                <w:sz w:val="16"/>
                <w:szCs w:val="16"/>
                <w:color w:val="auto"/>
              </w:rPr>
              <w:t>ASSETS</w:t>
            </w: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17"/>
        </w:trPr>
        <w:tc>
          <w:tcPr>
            <w:tcW w:w="8300" w:type="dxa"/>
            <w:vAlign w:val="bottom"/>
            <w:shd w:val="clear" w:color="auto" w:fill="D4F1F5"/>
          </w:tcPr>
          <w:p>
            <w:pPr>
              <w:ind w:left="20"/>
              <w:spacing w:after="0"/>
              <w:rPr>
                <w:sz w:val="20"/>
                <w:szCs w:val="20"/>
                <w:color w:val="auto"/>
              </w:rPr>
            </w:pPr>
            <w:r>
              <w:rPr>
                <w:rFonts w:ascii="Arial" w:cs="Arial" w:eastAsia="Arial" w:hAnsi="Arial"/>
                <w:sz w:val="16"/>
                <w:szCs w:val="16"/>
                <w:color w:val="auto"/>
              </w:rPr>
              <w:t>Current assets:</w:t>
            </w:r>
          </w:p>
        </w:tc>
        <w:tc>
          <w:tcPr>
            <w:tcW w:w="220" w:type="dxa"/>
            <w:vAlign w:val="bottom"/>
            <w:shd w:val="clear" w:color="auto" w:fill="D4F1F5"/>
          </w:tcPr>
          <w:p>
            <w:pPr>
              <w:spacing w:after="0"/>
              <w:rPr>
                <w:sz w:val="18"/>
                <w:szCs w:val="18"/>
                <w:color w:val="auto"/>
              </w:rPr>
            </w:pPr>
          </w:p>
        </w:tc>
        <w:tc>
          <w:tcPr>
            <w:tcW w:w="1240" w:type="dxa"/>
            <w:vAlign w:val="bottom"/>
            <w:shd w:val="clear" w:color="auto" w:fill="D4F1F5"/>
          </w:tcPr>
          <w:p>
            <w:pPr>
              <w:spacing w:after="0"/>
              <w:rPr>
                <w:sz w:val="18"/>
                <w:szCs w:val="18"/>
                <w:color w:val="auto"/>
              </w:rPr>
            </w:pPr>
          </w:p>
        </w:tc>
        <w:tc>
          <w:tcPr>
            <w:tcW w:w="240" w:type="dxa"/>
            <w:vAlign w:val="bottom"/>
            <w:shd w:val="clear" w:color="auto" w:fill="D4F1F5"/>
          </w:tcPr>
          <w:p>
            <w:pPr>
              <w:spacing w:after="0"/>
              <w:rPr>
                <w:sz w:val="18"/>
                <w:szCs w:val="18"/>
                <w:color w:val="auto"/>
              </w:rPr>
            </w:pPr>
          </w:p>
        </w:tc>
        <w:tc>
          <w:tcPr>
            <w:tcW w:w="1240" w:type="dxa"/>
            <w:vAlign w:val="bottom"/>
            <w:shd w:val="clear" w:color="auto" w:fill="D4F1F5"/>
          </w:tcPr>
          <w:p>
            <w:pPr>
              <w:spacing w:after="0"/>
              <w:rPr>
                <w:sz w:val="18"/>
                <w:szCs w:val="18"/>
                <w:color w:val="auto"/>
              </w:rPr>
            </w:pPr>
          </w:p>
        </w:tc>
      </w:tr>
      <w:tr>
        <w:trPr>
          <w:trHeight w:val="215"/>
        </w:trPr>
        <w:tc>
          <w:tcPr>
            <w:tcW w:w="8300" w:type="dxa"/>
            <w:vAlign w:val="bottom"/>
          </w:tcPr>
          <w:p>
            <w:pPr>
              <w:ind w:left="240"/>
              <w:spacing w:after="0"/>
              <w:rPr>
                <w:sz w:val="20"/>
                <w:szCs w:val="20"/>
                <w:color w:val="auto"/>
              </w:rPr>
            </w:pPr>
            <w:r>
              <w:rPr>
                <w:rFonts w:ascii="Arial" w:cs="Arial" w:eastAsia="Arial" w:hAnsi="Arial"/>
                <w:sz w:val="16"/>
                <w:szCs w:val="16"/>
                <w:color w:val="auto"/>
              </w:rPr>
              <w:t>Cash and cash equivalents</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240" w:type="dxa"/>
            <w:vAlign w:val="bottom"/>
          </w:tcPr>
          <w:p>
            <w:pPr>
              <w:jc w:val="right"/>
              <w:ind w:right="40"/>
              <w:spacing w:after="0"/>
              <w:rPr>
                <w:sz w:val="20"/>
                <w:szCs w:val="20"/>
                <w:color w:val="auto"/>
              </w:rPr>
            </w:pPr>
            <w:r>
              <w:rPr>
                <w:rFonts w:ascii="Arial" w:cs="Arial" w:eastAsia="Arial" w:hAnsi="Arial"/>
                <w:sz w:val="16"/>
                <w:szCs w:val="16"/>
                <w:color w:val="auto"/>
              </w:rPr>
              <w:t>747</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7</w:t>
            </w:r>
          </w:p>
        </w:tc>
      </w:tr>
      <w:tr>
        <w:trPr>
          <w:trHeight w:val="217"/>
        </w:trPr>
        <w:tc>
          <w:tcPr>
            <w:tcW w:w="8300" w:type="dxa"/>
            <w:vAlign w:val="bottom"/>
            <w:shd w:val="clear" w:color="auto" w:fill="D4F1F5"/>
          </w:tcPr>
          <w:p>
            <w:pPr>
              <w:ind w:left="240"/>
              <w:spacing w:after="0"/>
              <w:rPr>
                <w:sz w:val="20"/>
                <w:szCs w:val="20"/>
                <w:color w:val="auto"/>
              </w:rPr>
            </w:pPr>
            <w:r>
              <w:rPr>
                <w:rFonts w:ascii="Arial" w:cs="Arial" w:eastAsia="Arial" w:hAnsi="Arial"/>
                <w:sz w:val="16"/>
                <w:szCs w:val="16"/>
                <w:color w:val="auto"/>
              </w:rPr>
              <w:t>Accounts receivable – trade, net</w:t>
            </w:r>
          </w:p>
        </w:tc>
        <w:tc>
          <w:tcPr>
            <w:tcW w:w="220" w:type="dxa"/>
            <w:vAlign w:val="bottom"/>
            <w:shd w:val="clear" w:color="auto" w:fill="D4F1F5"/>
          </w:tcPr>
          <w:p>
            <w:pPr>
              <w:spacing w:after="0"/>
              <w:rPr>
                <w:sz w:val="18"/>
                <w:szCs w:val="18"/>
                <w:color w:val="auto"/>
              </w:rPr>
            </w:pPr>
          </w:p>
        </w:tc>
        <w:tc>
          <w:tcPr>
            <w:tcW w:w="1240" w:type="dxa"/>
            <w:vAlign w:val="bottom"/>
            <w:shd w:val="clear" w:color="auto" w:fill="D4F1F5"/>
          </w:tcPr>
          <w:p>
            <w:pPr>
              <w:jc w:val="right"/>
              <w:ind w:right="40"/>
              <w:spacing w:after="0"/>
              <w:rPr>
                <w:sz w:val="20"/>
                <w:szCs w:val="20"/>
                <w:color w:val="auto"/>
              </w:rPr>
            </w:pPr>
            <w:r>
              <w:rPr>
                <w:rFonts w:ascii="Arial" w:cs="Arial" w:eastAsia="Arial" w:hAnsi="Arial"/>
                <w:sz w:val="16"/>
                <w:szCs w:val="16"/>
                <w:color w:val="auto"/>
              </w:rPr>
              <w:t>897</w:t>
            </w:r>
          </w:p>
        </w:tc>
        <w:tc>
          <w:tcPr>
            <w:tcW w:w="240" w:type="dxa"/>
            <w:vAlign w:val="bottom"/>
            <w:shd w:val="clear" w:color="auto" w:fill="D4F1F5"/>
          </w:tcPr>
          <w:p>
            <w:pPr>
              <w:spacing w:after="0"/>
              <w:rPr>
                <w:sz w:val="18"/>
                <w:szCs w:val="18"/>
                <w:color w:val="auto"/>
              </w:rPr>
            </w:pPr>
          </w:p>
        </w:tc>
        <w:tc>
          <w:tcPr>
            <w:tcW w:w="1240" w:type="dxa"/>
            <w:vAlign w:val="bottom"/>
            <w:shd w:val="clear" w:color="auto" w:fill="D4F1F5"/>
          </w:tcPr>
          <w:p>
            <w:pPr>
              <w:jc w:val="right"/>
              <w:spacing w:after="0"/>
              <w:rPr>
                <w:sz w:val="20"/>
                <w:szCs w:val="20"/>
                <w:color w:val="auto"/>
              </w:rPr>
            </w:pPr>
            <w:r>
              <w:rPr>
                <w:rFonts w:ascii="Arial" w:cs="Arial" w:eastAsia="Arial" w:hAnsi="Arial"/>
                <w:sz w:val="16"/>
                <w:szCs w:val="16"/>
                <w:color w:val="auto"/>
              </w:rPr>
              <w:t>809</w:t>
            </w:r>
          </w:p>
        </w:tc>
      </w:tr>
      <w:tr>
        <w:trPr>
          <w:trHeight w:val="215"/>
        </w:trPr>
        <w:tc>
          <w:tcPr>
            <w:tcW w:w="8300" w:type="dxa"/>
            <w:vAlign w:val="bottom"/>
          </w:tcPr>
          <w:p>
            <w:pPr>
              <w:ind w:left="240"/>
              <w:spacing w:after="0"/>
              <w:rPr>
                <w:sz w:val="20"/>
                <w:szCs w:val="20"/>
                <w:color w:val="auto"/>
              </w:rPr>
            </w:pPr>
            <w:r>
              <w:rPr>
                <w:rFonts w:ascii="Arial" w:cs="Arial" w:eastAsia="Arial" w:hAnsi="Arial"/>
                <w:sz w:val="16"/>
                <w:szCs w:val="16"/>
                <w:color w:val="auto"/>
              </w:rPr>
              <w:t>Accounts receivable – other, net</w:t>
            </w:r>
          </w:p>
        </w:tc>
        <w:tc>
          <w:tcPr>
            <w:tcW w:w="220" w:type="dxa"/>
            <w:vAlign w:val="bottom"/>
          </w:tcPr>
          <w:p>
            <w:pPr>
              <w:spacing w:after="0"/>
              <w:rPr>
                <w:sz w:val="18"/>
                <w:szCs w:val="18"/>
                <w:color w:val="auto"/>
              </w:rPr>
            </w:pPr>
          </w:p>
        </w:tc>
        <w:tc>
          <w:tcPr>
            <w:tcW w:w="1240" w:type="dxa"/>
            <w:vAlign w:val="bottom"/>
          </w:tcPr>
          <w:p>
            <w:pPr>
              <w:jc w:val="right"/>
              <w:ind w:right="40"/>
              <w:spacing w:after="0"/>
              <w:rPr>
                <w:sz w:val="20"/>
                <w:szCs w:val="20"/>
                <w:color w:val="auto"/>
              </w:rPr>
            </w:pPr>
            <w:r>
              <w:rPr>
                <w:rFonts w:ascii="Arial" w:cs="Arial" w:eastAsia="Arial" w:hAnsi="Arial"/>
                <w:sz w:val="16"/>
                <w:szCs w:val="16"/>
                <w:color w:val="auto"/>
              </w:rPr>
              <w:t>105</w:t>
            </w:r>
          </w:p>
        </w:tc>
        <w:tc>
          <w:tcPr>
            <w:tcW w:w="2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92</w:t>
            </w:r>
          </w:p>
        </w:tc>
      </w:tr>
      <w:tr>
        <w:trPr>
          <w:trHeight w:val="217"/>
        </w:trPr>
        <w:tc>
          <w:tcPr>
            <w:tcW w:w="8300" w:type="dxa"/>
            <w:vAlign w:val="bottom"/>
            <w:shd w:val="clear" w:color="auto" w:fill="D4F1F5"/>
          </w:tcPr>
          <w:p>
            <w:pPr>
              <w:ind w:left="220"/>
              <w:spacing w:after="0"/>
              <w:rPr>
                <w:sz w:val="20"/>
                <w:szCs w:val="20"/>
                <w:color w:val="auto"/>
              </w:rPr>
            </w:pPr>
            <w:r>
              <w:rPr>
                <w:rFonts w:ascii="Arial" w:cs="Arial" w:eastAsia="Arial" w:hAnsi="Arial"/>
                <w:sz w:val="16"/>
                <w:szCs w:val="16"/>
                <w:color w:val="auto"/>
              </w:rPr>
              <w:t>Due from unconsolidated affiliates</w:t>
            </w:r>
          </w:p>
        </w:tc>
        <w:tc>
          <w:tcPr>
            <w:tcW w:w="220" w:type="dxa"/>
            <w:vAlign w:val="bottom"/>
            <w:shd w:val="clear" w:color="auto" w:fill="D4F1F5"/>
          </w:tcPr>
          <w:p>
            <w:pPr>
              <w:spacing w:after="0"/>
              <w:rPr>
                <w:sz w:val="18"/>
                <w:szCs w:val="18"/>
                <w:color w:val="auto"/>
              </w:rPr>
            </w:pPr>
          </w:p>
        </w:tc>
        <w:tc>
          <w:tcPr>
            <w:tcW w:w="1240" w:type="dxa"/>
            <w:vAlign w:val="bottom"/>
            <w:shd w:val="clear" w:color="auto" w:fill="D4F1F5"/>
          </w:tcPr>
          <w:p>
            <w:pPr>
              <w:jc w:val="right"/>
              <w:ind w:right="40"/>
              <w:spacing w:after="0"/>
              <w:rPr>
                <w:sz w:val="20"/>
                <w:szCs w:val="20"/>
                <w:color w:val="auto"/>
              </w:rPr>
            </w:pPr>
            <w:r>
              <w:rPr>
                <w:rFonts w:ascii="Arial" w:cs="Arial" w:eastAsia="Arial" w:hAnsi="Arial"/>
                <w:sz w:val="16"/>
                <w:szCs w:val="16"/>
                <w:color w:val="auto"/>
              </w:rPr>
              <w:t>1</w:t>
            </w:r>
          </w:p>
        </w:tc>
        <w:tc>
          <w:tcPr>
            <w:tcW w:w="240" w:type="dxa"/>
            <w:vAlign w:val="bottom"/>
            <w:shd w:val="clear" w:color="auto" w:fill="D4F1F5"/>
          </w:tcPr>
          <w:p>
            <w:pPr>
              <w:spacing w:after="0"/>
              <w:rPr>
                <w:sz w:val="18"/>
                <w:szCs w:val="18"/>
                <w:color w:val="auto"/>
              </w:rPr>
            </w:pPr>
          </w:p>
        </w:tc>
        <w:tc>
          <w:tcPr>
            <w:tcW w:w="1240" w:type="dxa"/>
            <w:vAlign w:val="bottom"/>
            <w:shd w:val="clear" w:color="auto" w:fill="D4F1F5"/>
          </w:tcPr>
          <w:p>
            <w:pPr>
              <w:jc w:val="right"/>
              <w:spacing w:after="0"/>
              <w:rPr>
                <w:sz w:val="20"/>
                <w:szCs w:val="20"/>
                <w:color w:val="auto"/>
              </w:rPr>
            </w:pPr>
            <w:r>
              <w:rPr>
                <w:rFonts w:ascii="Arial" w:cs="Arial" w:eastAsia="Arial" w:hAnsi="Arial"/>
                <w:sz w:val="16"/>
                <w:szCs w:val="16"/>
                <w:color w:val="auto"/>
              </w:rPr>
              <w:t>1</w:t>
            </w:r>
          </w:p>
        </w:tc>
      </w:tr>
      <w:tr>
        <w:trPr>
          <w:trHeight w:val="215"/>
        </w:trPr>
        <w:tc>
          <w:tcPr>
            <w:tcW w:w="8300" w:type="dxa"/>
            <w:vAlign w:val="bottom"/>
          </w:tcPr>
          <w:p>
            <w:pPr>
              <w:ind w:left="240"/>
              <w:spacing w:after="0"/>
              <w:rPr>
                <w:sz w:val="20"/>
                <w:szCs w:val="20"/>
                <w:color w:val="auto"/>
              </w:rPr>
            </w:pPr>
            <w:r>
              <w:rPr>
                <w:rFonts w:ascii="Arial" w:cs="Arial" w:eastAsia="Arial" w:hAnsi="Arial"/>
                <w:sz w:val="16"/>
                <w:szCs w:val="16"/>
                <w:color w:val="auto"/>
              </w:rPr>
              <w:t>Income taxes receivable, net</w:t>
            </w:r>
          </w:p>
        </w:tc>
        <w:tc>
          <w:tcPr>
            <w:tcW w:w="220" w:type="dxa"/>
            <w:vAlign w:val="bottom"/>
          </w:tcPr>
          <w:p>
            <w:pPr>
              <w:spacing w:after="0"/>
              <w:rPr>
                <w:sz w:val="18"/>
                <w:szCs w:val="18"/>
                <w:color w:val="auto"/>
              </w:rPr>
            </w:pPr>
          </w:p>
        </w:tc>
        <w:tc>
          <w:tcPr>
            <w:tcW w:w="1240" w:type="dxa"/>
            <w:vAlign w:val="bottom"/>
          </w:tcPr>
          <w:p>
            <w:pPr>
              <w:jc w:val="right"/>
              <w:ind w:right="40"/>
              <w:spacing w:after="0"/>
              <w:rPr>
                <w:sz w:val="20"/>
                <w:szCs w:val="20"/>
                <w:color w:val="auto"/>
              </w:rPr>
            </w:pPr>
            <w:r>
              <w:rPr>
                <w:rFonts w:ascii="Arial" w:cs="Arial" w:eastAsia="Arial" w:hAnsi="Arial"/>
                <w:sz w:val="16"/>
                <w:szCs w:val="16"/>
                <w:color w:val="auto"/>
              </w:rPr>
              <w:t>2</w:t>
            </w:r>
          </w:p>
        </w:tc>
        <w:tc>
          <w:tcPr>
            <w:tcW w:w="2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30</w:t>
            </w:r>
          </w:p>
        </w:tc>
      </w:tr>
      <w:tr>
        <w:trPr>
          <w:trHeight w:val="217"/>
        </w:trPr>
        <w:tc>
          <w:tcPr>
            <w:tcW w:w="8300" w:type="dxa"/>
            <w:vAlign w:val="bottom"/>
            <w:shd w:val="clear" w:color="auto" w:fill="D4F1F5"/>
          </w:tcPr>
          <w:p>
            <w:pPr>
              <w:ind w:left="240"/>
              <w:spacing w:after="0"/>
              <w:rPr>
                <w:sz w:val="20"/>
                <w:szCs w:val="20"/>
                <w:color w:val="auto"/>
              </w:rPr>
            </w:pPr>
            <w:r>
              <w:rPr>
                <w:rFonts w:ascii="Arial" w:cs="Arial" w:eastAsia="Arial" w:hAnsi="Arial"/>
                <w:sz w:val="16"/>
                <w:szCs w:val="16"/>
                <w:color w:val="auto"/>
              </w:rPr>
              <w:t>Inventories</w:t>
            </w:r>
          </w:p>
        </w:tc>
        <w:tc>
          <w:tcPr>
            <w:tcW w:w="220" w:type="dxa"/>
            <w:vAlign w:val="bottom"/>
            <w:shd w:val="clear" w:color="auto" w:fill="D4F1F5"/>
          </w:tcPr>
          <w:p>
            <w:pPr>
              <w:spacing w:after="0"/>
              <w:rPr>
                <w:sz w:val="18"/>
                <w:szCs w:val="18"/>
                <w:color w:val="auto"/>
              </w:rPr>
            </w:pPr>
          </w:p>
        </w:tc>
        <w:tc>
          <w:tcPr>
            <w:tcW w:w="1240" w:type="dxa"/>
            <w:vAlign w:val="bottom"/>
            <w:shd w:val="clear" w:color="auto" w:fill="D4F1F5"/>
          </w:tcPr>
          <w:p>
            <w:pPr>
              <w:jc w:val="right"/>
              <w:ind w:right="40"/>
              <w:spacing w:after="0"/>
              <w:rPr>
                <w:sz w:val="20"/>
                <w:szCs w:val="20"/>
                <w:color w:val="auto"/>
              </w:rPr>
            </w:pPr>
            <w:r>
              <w:rPr>
                <w:rFonts w:ascii="Arial" w:cs="Arial" w:eastAsia="Arial" w:hAnsi="Arial"/>
                <w:sz w:val="16"/>
                <w:szCs w:val="16"/>
                <w:color w:val="auto"/>
              </w:rPr>
              <w:t>263</w:t>
            </w:r>
          </w:p>
        </w:tc>
        <w:tc>
          <w:tcPr>
            <w:tcW w:w="240" w:type="dxa"/>
            <w:vAlign w:val="bottom"/>
            <w:shd w:val="clear" w:color="auto" w:fill="D4F1F5"/>
          </w:tcPr>
          <w:p>
            <w:pPr>
              <w:spacing w:after="0"/>
              <w:rPr>
                <w:sz w:val="18"/>
                <w:szCs w:val="18"/>
                <w:color w:val="auto"/>
              </w:rPr>
            </w:pPr>
          </w:p>
        </w:tc>
        <w:tc>
          <w:tcPr>
            <w:tcW w:w="1240" w:type="dxa"/>
            <w:vAlign w:val="bottom"/>
            <w:shd w:val="clear" w:color="auto" w:fill="D4F1F5"/>
          </w:tcPr>
          <w:p>
            <w:pPr>
              <w:jc w:val="right"/>
              <w:spacing w:after="0"/>
              <w:rPr>
                <w:sz w:val="20"/>
                <w:szCs w:val="20"/>
                <w:color w:val="auto"/>
              </w:rPr>
            </w:pPr>
            <w:r>
              <w:rPr>
                <w:rFonts w:ascii="Arial" w:cs="Arial" w:eastAsia="Arial" w:hAnsi="Arial"/>
                <w:sz w:val="16"/>
                <w:szCs w:val="16"/>
                <w:color w:val="auto"/>
              </w:rPr>
              <w:t>267</w:t>
            </w:r>
          </w:p>
        </w:tc>
      </w:tr>
      <w:tr>
        <w:trPr>
          <w:trHeight w:val="215"/>
        </w:trPr>
        <w:tc>
          <w:tcPr>
            <w:tcW w:w="8300" w:type="dxa"/>
            <w:vAlign w:val="bottom"/>
          </w:tcPr>
          <w:p>
            <w:pPr>
              <w:ind w:left="240"/>
              <w:spacing w:after="0"/>
              <w:rPr>
                <w:sz w:val="20"/>
                <w:szCs w:val="20"/>
                <w:color w:val="auto"/>
              </w:rPr>
            </w:pPr>
            <w:r>
              <w:rPr>
                <w:rFonts w:ascii="Arial" w:cs="Arial" w:eastAsia="Arial" w:hAnsi="Arial"/>
                <w:sz w:val="16"/>
                <w:szCs w:val="16"/>
                <w:color w:val="auto"/>
              </w:rPr>
              <w:t>Prepaid expenses</w:t>
            </w:r>
          </w:p>
        </w:tc>
        <w:tc>
          <w:tcPr>
            <w:tcW w:w="220" w:type="dxa"/>
            <w:vAlign w:val="bottom"/>
          </w:tcPr>
          <w:p>
            <w:pPr>
              <w:spacing w:after="0"/>
              <w:rPr>
                <w:sz w:val="18"/>
                <w:szCs w:val="18"/>
                <w:color w:val="auto"/>
              </w:rPr>
            </w:pPr>
          </w:p>
        </w:tc>
        <w:tc>
          <w:tcPr>
            <w:tcW w:w="1240" w:type="dxa"/>
            <w:vAlign w:val="bottom"/>
          </w:tcPr>
          <w:p>
            <w:pPr>
              <w:jc w:val="right"/>
              <w:ind w:right="40"/>
              <w:spacing w:after="0"/>
              <w:rPr>
                <w:sz w:val="20"/>
                <w:szCs w:val="20"/>
                <w:color w:val="auto"/>
              </w:rPr>
            </w:pPr>
            <w:r>
              <w:rPr>
                <w:rFonts w:ascii="Arial" w:cs="Arial" w:eastAsia="Arial" w:hAnsi="Arial"/>
                <w:sz w:val="16"/>
                <w:szCs w:val="16"/>
                <w:color w:val="auto"/>
              </w:rPr>
              <w:t>104</w:t>
            </w:r>
          </w:p>
        </w:tc>
        <w:tc>
          <w:tcPr>
            <w:tcW w:w="2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121</w:t>
            </w:r>
          </w:p>
        </w:tc>
      </w:tr>
      <w:tr>
        <w:trPr>
          <w:trHeight w:val="217"/>
        </w:trPr>
        <w:tc>
          <w:tcPr>
            <w:tcW w:w="8300" w:type="dxa"/>
            <w:vAlign w:val="bottom"/>
            <w:shd w:val="clear" w:color="auto" w:fill="D4F1F5"/>
          </w:tcPr>
          <w:p>
            <w:pPr>
              <w:ind w:left="240"/>
              <w:spacing w:after="0"/>
              <w:rPr>
                <w:sz w:val="20"/>
                <w:szCs w:val="20"/>
                <w:color w:val="auto"/>
              </w:rPr>
            </w:pPr>
            <w:r>
              <w:rPr>
                <w:rFonts w:ascii="Arial" w:cs="Arial" w:eastAsia="Arial" w:hAnsi="Arial"/>
                <w:sz w:val="16"/>
                <w:szCs w:val="16"/>
                <w:color w:val="auto"/>
              </w:rPr>
              <w:t>Regulatory assets</w:t>
            </w:r>
          </w:p>
        </w:tc>
        <w:tc>
          <w:tcPr>
            <w:tcW w:w="220" w:type="dxa"/>
            <w:vAlign w:val="bottom"/>
            <w:shd w:val="clear" w:color="auto" w:fill="D4F1F5"/>
          </w:tcPr>
          <w:p>
            <w:pPr>
              <w:spacing w:after="0"/>
              <w:rPr>
                <w:sz w:val="18"/>
                <w:szCs w:val="18"/>
                <w:color w:val="auto"/>
              </w:rPr>
            </w:pPr>
          </w:p>
        </w:tc>
        <w:tc>
          <w:tcPr>
            <w:tcW w:w="1240" w:type="dxa"/>
            <w:vAlign w:val="bottom"/>
            <w:shd w:val="clear" w:color="auto" w:fill="D4F1F5"/>
          </w:tcPr>
          <w:p>
            <w:pPr>
              <w:jc w:val="right"/>
              <w:ind w:right="40"/>
              <w:spacing w:after="0"/>
              <w:rPr>
                <w:sz w:val="20"/>
                <w:szCs w:val="20"/>
                <w:color w:val="auto"/>
              </w:rPr>
            </w:pPr>
            <w:r>
              <w:rPr>
                <w:rFonts w:ascii="Arial" w:cs="Arial" w:eastAsia="Arial" w:hAnsi="Arial"/>
                <w:sz w:val="16"/>
                <w:szCs w:val="16"/>
                <w:color w:val="auto"/>
              </w:rPr>
              <w:t>361</w:t>
            </w:r>
          </w:p>
        </w:tc>
        <w:tc>
          <w:tcPr>
            <w:tcW w:w="240" w:type="dxa"/>
            <w:vAlign w:val="bottom"/>
            <w:shd w:val="clear" w:color="auto" w:fill="D4F1F5"/>
          </w:tcPr>
          <w:p>
            <w:pPr>
              <w:spacing w:after="0"/>
              <w:rPr>
                <w:sz w:val="18"/>
                <w:szCs w:val="18"/>
                <w:color w:val="auto"/>
              </w:rPr>
            </w:pPr>
          </w:p>
        </w:tc>
        <w:tc>
          <w:tcPr>
            <w:tcW w:w="1240" w:type="dxa"/>
            <w:vAlign w:val="bottom"/>
            <w:shd w:val="clear" w:color="auto" w:fill="D4F1F5"/>
          </w:tcPr>
          <w:p>
            <w:pPr>
              <w:jc w:val="right"/>
              <w:spacing w:after="0"/>
              <w:rPr>
                <w:sz w:val="20"/>
                <w:szCs w:val="20"/>
                <w:color w:val="auto"/>
              </w:rPr>
            </w:pPr>
            <w:r>
              <w:rPr>
                <w:rFonts w:ascii="Arial" w:cs="Arial" w:eastAsia="Arial" w:hAnsi="Arial"/>
                <w:sz w:val="16"/>
                <w:szCs w:val="16"/>
                <w:color w:val="auto"/>
              </w:rPr>
              <w:t>433</w:t>
            </w:r>
          </w:p>
        </w:tc>
      </w:tr>
      <w:tr>
        <w:trPr>
          <w:trHeight w:val="215"/>
        </w:trPr>
        <w:tc>
          <w:tcPr>
            <w:tcW w:w="8300" w:type="dxa"/>
            <w:vAlign w:val="bottom"/>
          </w:tcPr>
          <w:p>
            <w:pPr>
              <w:ind w:left="240"/>
              <w:spacing w:after="0"/>
              <w:rPr>
                <w:sz w:val="20"/>
                <w:szCs w:val="20"/>
                <w:color w:val="auto"/>
              </w:rPr>
            </w:pPr>
            <w:r>
              <w:rPr>
                <w:rFonts w:ascii="Arial" w:cs="Arial" w:eastAsia="Arial" w:hAnsi="Arial"/>
                <w:sz w:val="16"/>
                <w:szCs w:val="16"/>
                <w:color w:val="auto"/>
              </w:rPr>
              <w:t>Greenhouse gas allowances</w:t>
            </w:r>
          </w:p>
        </w:tc>
        <w:tc>
          <w:tcPr>
            <w:tcW w:w="220" w:type="dxa"/>
            <w:vAlign w:val="bottom"/>
          </w:tcPr>
          <w:p>
            <w:pPr>
              <w:spacing w:after="0"/>
              <w:rPr>
                <w:sz w:val="18"/>
                <w:szCs w:val="18"/>
                <w:color w:val="auto"/>
              </w:rPr>
            </w:pPr>
          </w:p>
        </w:tc>
        <w:tc>
          <w:tcPr>
            <w:tcW w:w="1240" w:type="dxa"/>
            <w:vAlign w:val="bottom"/>
          </w:tcPr>
          <w:p>
            <w:pPr>
              <w:jc w:val="right"/>
              <w:ind w:right="40"/>
              <w:spacing w:after="0"/>
              <w:rPr>
                <w:sz w:val="20"/>
                <w:szCs w:val="20"/>
                <w:color w:val="auto"/>
              </w:rPr>
            </w:pPr>
            <w:r>
              <w:rPr>
                <w:rFonts w:ascii="Arial" w:cs="Arial" w:eastAsia="Arial" w:hAnsi="Arial"/>
                <w:sz w:val="16"/>
                <w:szCs w:val="16"/>
                <w:color w:val="auto"/>
              </w:rPr>
              <w:t>24</w:t>
            </w:r>
          </w:p>
        </w:tc>
        <w:tc>
          <w:tcPr>
            <w:tcW w:w="2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28</w:t>
            </w:r>
          </w:p>
        </w:tc>
      </w:tr>
      <w:tr>
        <w:trPr>
          <w:trHeight w:val="217"/>
        </w:trPr>
        <w:tc>
          <w:tcPr>
            <w:tcW w:w="8300" w:type="dxa"/>
            <w:vAlign w:val="bottom"/>
            <w:shd w:val="clear" w:color="auto" w:fill="D4F1F5"/>
          </w:tcPr>
          <w:p>
            <w:pPr>
              <w:ind w:left="240"/>
              <w:spacing w:after="0"/>
              <w:rPr>
                <w:sz w:val="20"/>
                <w:szCs w:val="20"/>
                <w:color w:val="auto"/>
              </w:rPr>
            </w:pPr>
            <w:r>
              <w:rPr>
                <w:rFonts w:ascii="Arial" w:cs="Arial" w:eastAsia="Arial" w:hAnsi="Arial"/>
                <w:sz w:val="16"/>
                <w:szCs w:val="16"/>
                <w:color w:val="auto"/>
              </w:rPr>
              <w:t>Other current assets</w:t>
            </w:r>
          </w:p>
        </w:tc>
        <w:tc>
          <w:tcPr>
            <w:tcW w:w="220" w:type="dxa"/>
            <w:vAlign w:val="bottom"/>
            <w:tcBorders>
              <w:bottom w:val="single" w:sz="8" w:color="auto"/>
            </w:tcBorders>
            <w:shd w:val="clear" w:color="auto" w:fill="D4F1F5"/>
          </w:tcPr>
          <w:p>
            <w:pPr>
              <w:spacing w:after="0"/>
              <w:rPr>
                <w:sz w:val="18"/>
                <w:szCs w:val="18"/>
                <w:color w:val="auto"/>
              </w:rPr>
            </w:pPr>
          </w:p>
        </w:tc>
        <w:tc>
          <w:tcPr>
            <w:tcW w:w="1240" w:type="dxa"/>
            <w:vAlign w:val="bottom"/>
            <w:tcBorders>
              <w:bottom w:val="single" w:sz="8" w:color="auto"/>
            </w:tcBorders>
            <w:shd w:val="clear" w:color="auto" w:fill="D4F1F5"/>
          </w:tcPr>
          <w:p>
            <w:pPr>
              <w:jc w:val="right"/>
              <w:ind w:right="40"/>
              <w:spacing w:after="0"/>
              <w:rPr>
                <w:sz w:val="20"/>
                <w:szCs w:val="20"/>
                <w:color w:val="auto"/>
              </w:rPr>
            </w:pPr>
            <w:r>
              <w:rPr>
                <w:rFonts w:ascii="Arial" w:cs="Arial" w:eastAsia="Arial" w:hAnsi="Arial"/>
                <w:sz w:val="16"/>
                <w:szCs w:val="16"/>
                <w:color w:val="auto"/>
              </w:rPr>
              <w:t>26</w:t>
            </w:r>
          </w:p>
        </w:tc>
        <w:tc>
          <w:tcPr>
            <w:tcW w:w="240" w:type="dxa"/>
            <w:vAlign w:val="bottom"/>
            <w:tcBorders>
              <w:bottom w:val="single" w:sz="8" w:color="auto"/>
            </w:tcBorders>
            <w:shd w:val="clear" w:color="auto" w:fill="D4F1F5"/>
          </w:tcPr>
          <w:p>
            <w:pPr>
              <w:spacing w:after="0"/>
              <w:rPr>
                <w:sz w:val="18"/>
                <w:szCs w:val="18"/>
                <w:color w:val="auto"/>
              </w:rPr>
            </w:pPr>
          </w:p>
        </w:tc>
        <w:tc>
          <w:tcPr>
            <w:tcW w:w="1240" w:type="dxa"/>
            <w:vAlign w:val="bottom"/>
            <w:tcBorders>
              <w:bottom w:val="single" w:sz="8" w:color="auto"/>
            </w:tcBorders>
            <w:shd w:val="clear" w:color="auto" w:fill="D4F1F5"/>
          </w:tcPr>
          <w:p>
            <w:pPr>
              <w:jc w:val="right"/>
              <w:spacing w:after="0"/>
              <w:rPr>
                <w:sz w:val="20"/>
                <w:szCs w:val="20"/>
                <w:color w:val="auto"/>
              </w:rPr>
            </w:pPr>
            <w:r>
              <w:rPr>
                <w:rFonts w:ascii="Arial" w:cs="Arial" w:eastAsia="Arial" w:hAnsi="Arial"/>
                <w:sz w:val="16"/>
                <w:szCs w:val="16"/>
                <w:color w:val="auto"/>
              </w:rPr>
              <w:t>18</w:t>
            </w:r>
          </w:p>
        </w:tc>
      </w:tr>
      <w:tr>
        <w:trPr>
          <w:trHeight w:val="209"/>
        </w:trPr>
        <w:tc>
          <w:tcPr>
            <w:tcW w:w="8300" w:type="dxa"/>
            <w:vAlign w:val="bottom"/>
            <w:tcBorders>
              <w:bottom w:val="single" w:sz="8" w:color="D4F1F5"/>
            </w:tcBorders>
          </w:tcPr>
          <w:p>
            <w:pPr>
              <w:ind w:left="460"/>
              <w:spacing w:after="0"/>
              <w:rPr>
                <w:sz w:val="20"/>
                <w:szCs w:val="20"/>
                <w:color w:val="auto"/>
              </w:rPr>
            </w:pPr>
            <w:r>
              <w:rPr>
                <w:rFonts w:ascii="Arial" w:cs="Arial" w:eastAsia="Arial" w:hAnsi="Arial"/>
                <w:sz w:val="16"/>
                <w:szCs w:val="16"/>
                <w:color w:val="auto"/>
              </w:rPr>
              <w:t>Total current assets</w:t>
            </w:r>
          </w:p>
        </w:tc>
        <w:tc>
          <w:tcPr>
            <w:tcW w:w="2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2,530</w:t>
            </w:r>
          </w:p>
        </w:tc>
        <w:tc>
          <w:tcPr>
            <w:tcW w:w="2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1,806</w:t>
            </w:r>
          </w:p>
        </w:tc>
      </w:tr>
      <w:tr>
        <w:trPr>
          <w:trHeight w:val="197"/>
        </w:trPr>
        <w:tc>
          <w:tcPr>
            <w:tcW w:w="8300" w:type="dxa"/>
            <w:vAlign w:val="bottom"/>
            <w:shd w:val="clear" w:color="auto" w:fill="D4F1F5"/>
          </w:tcPr>
          <w:p>
            <w:pPr>
              <w:spacing w:after="0"/>
              <w:rPr>
                <w:sz w:val="17"/>
                <w:szCs w:val="17"/>
                <w:color w:val="auto"/>
              </w:rPr>
            </w:pPr>
          </w:p>
        </w:tc>
        <w:tc>
          <w:tcPr>
            <w:tcW w:w="220" w:type="dxa"/>
            <w:vAlign w:val="bottom"/>
            <w:shd w:val="clear" w:color="auto" w:fill="D4F1F5"/>
          </w:tcPr>
          <w:p>
            <w:pPr>
              <w:spacing w:after="0"/>
              <w:rPr>
                <w:sz w:val="17"/>
                <w:szCs w:val="17"/>
                <w:color w:val="auto"/>
              </w:rPr>
            </w:pPr>
          </w:p>
        </w:tc>
        <w:tc>
          <w:tcPr>
            <w:tcW w:w="1240" w:type="dxa"/>
            <w:vAlign w:val="bottom"/>
            <w:shd w:val="clear" w:color="auto" w:fill="D4F1F5"/>
          </w:tcPr>
          <w:p>
            <w:pPr>
              <w:spacing w:after="0"/>
              <w:rPr>
                <w:sz w:val="17"/>
                <w:szCs w:val="17"/>
                <w:color w:val="auto"/>
              </w:rPr>
            </w:pPr>
          </w:p>
        </w:tc>
        <w:tc>
          <w:tcPr>
            <w:tcW w:w="240" w:type="dxa"/>
            <w:vAlign w:val="bottom"/>
            <w:shd w:val="clear" w:color="auto" w:fill="D4F1F5"/>
          </w:tcPr>
          <w:p>
            <w:pPr>
              <w:spacing w:after="0"/>
              <w:rPr>
                <w:sz w:val="17"/>
                <w:szCs w:val="17"/>
                <w:color w:val="auto"/>
              </w:rPr>
            </w:pPr>
          </w:p>
        </w:tc>
        <w:tc>
          <w:tcPr>
            <w:tcW w:w="1240" w:type="dxa"/>
            <w:vAlign w:val="bottom"/>
            <w:shd w:val="clear" w:color="auto" w:fill="D4F1F5"/>
          </w:tcPr>
          <w:p>
            <w:pPr>
              <w:spacing w:after="0"/>
              <w:rPr>
                <w:sz w:val="17"/>
                <w:szCs w:val="17"/>
                <w:color w:val="auto"/>
              </w:rPr>
            </w:pPr>
          </w:p>
        </w:tc>
      </w:tr>
      <w:tr>
        <w:trPr>
          <w:trHeight w:val="215"/>
        </w:trPr>
        <w:tc>
          <w:tcPr>
            <w:tcW w:w="8300" w:type="dxa"/>
            <w:vAlign w:val="bottom"/>
          </w:tcPr>
          <w:p>
            <w:pPr>
              <w:ind w:left="20"/>
              <w:spacing w:after="0"/>
              <w:rPr>
                <w:sz w:val="20"/>
                <w:szCs w:val="20"/>
                <w:color w:val="auto"/>
              </w:rPr>
            </w:pPr>
            <w:r>
              <w:rPr>
                <w:rFonts w:ascii="Arial" w:cs="Arial" w:eastAsia="Arial" w:hAnsi="Arial"/>
                <w:sz w:val="16"/>
                <w:szCs w:val="16"/>
                <w:color w:val="auto"/>
              </w:rPr>
              <w:t>Other assets:</w:t>
            </w: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17"/>
        </w:trPr>
        <w:tc>
          <w:tcPr>
            <w:tcW w:w="8300" w:type="dxa"/>
            <w:vAlign w:val="bottom"/>
            <w:shd w:val="clear" w:color="auto" w:fill="D4F1F5"/>
          </w:tcPr>
          <w:p>
            <w:pPr>
              <w:ind w:left="240"/>
              <w:spacing w:after="0"/>
              <w:rPr>
                <w:sz w:val="20"/>
                <w:szCs w:val="20"/>
                <w:color w:val="auto"/>
              </w:rPr>
            </w:pPr>
            <w:r>
              <w:rPr>
                <w:rFonts w:ascii="Arial" w:cs="Arial" w:eastAsia="Arial" w:hAnsi="Arial"/>
                <w:sz w:val="16"/>
                <w:szCs w:val="16"/>
                <w:color w:val="auto"/>
              </w:rPr>
              <w:t>Regulatory assets</w:t>
            </w:r>
          </w:p>
        </w:tc>
        <w:tc>
          <w:tcPr>
            <w:tcW w:w="220" w:type="dxa"/>
            <w:vAlign w:val="bottom"/>
            <w:shd w:val="clear" w:color="auto" w:fill="D4F1F5"/>
          </w:tcPr>
          <w:p>
            <w:pPr>
              <w:spacing w:after="0"/>
              <w:rPr>
                <w:sz w:val="18"/>
                <w:szCs w:val="18"/>
                <w:color w:val="auto"/>
              </w:rPr>
            </w:pPr>
          </w:p>
        </w:tc>
        <w:tc>
          <w:tcPr>
            <w:tcW w:w="1240" w:type="dxa"/>
            <w:vAlign w:val="bottom"/>
            <w:shd w:val="clear" w:color="auto" w:fill="D4F1F5"/>
          </w:tcPr>
          <w:p>
            <w:pPr>
              <w:jc w:val="right"/>
              <w:ind w:right="40"/>
              <w:spacing w:after="0"/>
              <w:rPr>
                <w:sz w:val="20"/>
                <w:szCs w:val="20"/>
                <w:color w:val="auto"/>
              </w:rPr>
            </w:pPr>
            <w:r>
              <w:rPr>
                <w:rFonts w:ascii="Arial" w:cs="Arial" w:eastAsia="Arial" w:hAnsi="Arial"/>
                <w:sz w:val="16"/>
                <w:szCs w:val="16"/>
                <w:color w:val="auto"/>
              </w:rPr>
              <w:t>1,994</w:t>
            </w:r>
          </w:p>
        </w:tc>
        <w:tc>
          <w:tcPr>
            <w:tcW w:w="240" w:type="dxa"/>
            <w:vAlign w:val="bottom"/>
            <w:shd w:val="clear" w:color="auto" w:fill="D4F1F5"/>
          </w:tcPr>
          <w:p>
            <w:pPr>
              <w:spacing w:after="0"/>
              <w:rPr>
                <w:sz w:val="18"/>
                <w:szCs w:val="18"/>
                <w:color w:val="auto"/>
              </w:rPr>
            </w:pPr>
          </w:p>
        </w:tc>
        <w:tc>
          <w:tcPr>
            <w:tcW w:w="1240" w:type="dxa"/>
            <w:vAlign w:val="bottom"/>
            <w:shd w:val="clear" w:color="auto" w:fill="D4F1F5"/>
          </w:tcPr>
          <w:p>
            <w:pPr>
              <w:jc w:val="right"/>
              <w:spacing w:after="0"/>
              <w:rPr>
                <w:sz w:val="20"/>
                <w:szCs w:val="20"/>
                <w:color w:val="auto"/>
              </w:rPr>
            </w:pPr>
            <w:r>
              <w:rPr>
                <w:rFonts w:ascii="Arial" w:cs="Arial" w:eastAsia="Arial" w:hAnsi="Arial"/>
                <w:sz w:val="16"/>
                <w:szCs w:val="16"/>
                <w:color w:val="auto"/>
              </w:rPr>
              <w:t>1,953</w:t>
            </w:r>
          </w:p>
        </w:tc>
      </w:tr>
      <w:tr>
        <w:trPr>
          <w:trHeight w:val="215"/>
        </w:trPr>
        <w:tc>
          <w:tcPr>
            <w:tcW w:w="8300" w:type="dxa"/>
            <w:vAlign w:val="bottom"/>
          </w:tcPr>
          <w:p>
            <w:pPr>
              <w:ind w:left="240"/>
              <w:spacing w:after="0"/>
              <w:rPr>
                <w:sz w:val="20"/>
                <w:szCs w:val="20"/>
                <w:color w:val="auto"/>
              </w:rPr>
            </w:pPr>
            <w:r>
              <w:rPr>
                <w:rFonts w:ascii="Arial" w:cs="Arial" w:eastAsia="Arial" w:hAnsi="Arial"/>
                <w:sz w:val="16"/>
                <w:szCs w:val="16"/>
                <w:color w:val="auto"/>
              </w:rPr>
              <w:t>Greenhouse gas allowances</w:t>
            </w:r>
          </w:p>
        </w:tc>
        <w:tc>
          <w:tcPr>
            <w:tcW w:w="220" w:type="dxa"/>
            <w:vAlign w:val="bottom"/>
          </w:tcPr>
          <w:p>
            <w:pPr>
              <w:spacing w:after="0"/>
              <w:rPr>
                <w:sz w:val="18"/>
                <w:szCs w:val="18"/>
                <w:color w:val="auto"/>
              </w:rPr>
            </w:pPr>
          </w:p>
        </w:tc>
        <w:tc>
          <w:tcPr>
            <w:tcW w:w="1240" w:type="dxa"/>
            <w:vAlign w:val="bottom"/>
          </w:tcPr>
          <w:p>
            <w:pPr>
              <w:jc w:val="right"/>
              <w:ind w:right="40"/>
              <w:spacing w:after="0"/>
              <w:rPr>
                <w:sz w:val="20"/>
                <w:szCs w:val="20"/>
                <w:color w:val="auto"/>
              </w:rPr>
            </w:pPr>
            <w:r>
              <w:rPr>
                <w:rFonts w:ascii="Arial" w:cs="Arial" w:eastAsia="Arial" w:hAnsi="Arial"/>
                <w:sz w:val="16"/>
                <w:szCs w:val="16"/>
                <w:color w:val="auto"/>
              </w:rPr>
              <w:t>298</w:t>
            </w:r>
          </w:p>
        </w:tc>
        <w:tc>
          <w:tcPr>
            <w:tcW w:w="2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286</w:t>
            </w:r>
          </w:p>
        </w:tc>
      </w:tr>
      <w:tr>
        <w:trPr>
          <w:trHeight w:val="217"/>
        </w:trPr>
        <w:tc>
          <w:tcPr>
            <w:tcW w:w="8300" w:type="dxa"/>
            <w:vAlign w:val="bottom"/>
            <w:shd w:val="clear" w:color="auto" w:fill="D4F1F5"/>
          </w:tcPr>
          <w:p>
            <w:pPr>
              <w:ind w:left="240"/>
              <w:spacing w:after="0"/>
              <w:rPr>
                <w:sz w:val="20"/>
                <w:szCs w:val="20"/>
                <w:color w:val="auto"/>
              </w:rPr>
            </w:pPr>
            <w:r>
              <w:rPr>
                <w:rFonts w:ascii="Arial" w:cs="Arial" w:eastAsia="Arial" w:hAnsi="Arial"/>
                <w:sz w:val="16"/>
                <w:szCs w:val="16"/>
                <w:color w:val="auto"/>
              </w:rPr>
              <w:t>Nuclear decommissioning trusts</w:t>
            </w:r>
          </w:p>
        </w:tc>
        <w:tc>
          <w:tcPr>
            <w:tcW w:w="220" w:type="dxa"/>
            <w:vAlign w:val="bottom"/>
            <w:shd w:val="clear" w:color="auto" w:fill="D4F1F5"/>
          </w:tcPr>
          <w:p>
            <w:pPr>
              <w:spacing w:after="0"/>
              <w:rPr>
                <w:sz w:val="18"/>
                <w:szCs w:val="18"/>
                <w:color w:val="auto"/>
              </w:rPr>
            </w:pPr>
          </w:p>
        </w:tc>
        <w:tc>
          <w:tcPr>
            <w:tcW w:w="1240" w:type="dxa"/>
            <w:vAlign w:val="bottom"/>
            <w:shd w:val="clear" w:color="auto" w:fill="D4F1F5"/>
          </w:tcPr>
          <w:p>
            <w:pPr>
              <w:jc w:val="right"/>
              <w:ind w:right="40"/>
              <w:spacing w:after="0"/>
              <w:rPr>
                <w:sz w:val="20"/>
                <w:szCs w:val="20"/>
                <w:color w:val="auto"/>
              </w:rPr>
            </w:pPr>
            <w:r>
              <w:rPr>
                <w:rFonts w:ascii="Arial" w:cs="Arial" w:eastAsia="Arial" w:hAnsi="Arial"/>
                <w:sz w:val="16"/>
                <w:szCs w:val="16"/>
                <w:color w:val="auto"/>
              </w:rPr>
              <w:t>884</w:t>
            </w:r>
          </w:p>
        </w:tc>
        <w:tc>
          <w:tcPr>
            <w:tcW w:w="240" w:type="dxa"/>
            <w:vAlign w:val="bottom"/>
            <w:shd w:val="clear" w:color="auto" w:fill="D4F1F5"/>
          </w:tcPr>
          <w:p>
            <w:pPr>
              <w:spacing w:after="0"/>
              <w:rPr>
                <w:sz w:val="18"/>
                <w:szCs w:val="18"/>
                <w:color w:val="auto"/>
              </w:rPr>
            </w:pPr>
          </w:p>
        </w:tc>
        <w:tc>
          <w:tcPr>
            <w:tcW w:w="1240" w:type="dxa"/>
            <w:vAlign w:val="bottom"/>
            <w:shd w:val="clear" w:color="auto" w:fill="D4F1F5"/>
          </w:tcPr>
          <w:p>
            <w:pPr>
              <w:jc w:val="right"/>
              <w:spacing w:after="0"/>
              <w:rPr>
                <w:sz w:val="20"/>
                <w:szCs w:val="20"/>
                <w:color w:val="auto"/>
              </w:rPr>
            </w:pPr>
            <w:r>
              <w:rPr>
                <w:rFonts w:ascii="Arial" w:cs="Arial" w:eastAsia="Arial" w:hAnsi="Arial"/>
                <w:sz w:val="16"/>
                <w:szCs w:val="16"/>
                <w:color w:val="auto"/>
              </w:rPr>
              <w:t>899</w:t>
            </w:r>
          </w:p>
        </w:tc>
      </w:tr>
      <w:tr>
        <w:trPr>
          <w:trHeight w:val="215"/>
        </w:trPr>
        <w:tc>
          <w:tcPr>
            <w:tcW w:w="8300" w:type="dxa"/>
            <w:vAlign w:val="bottom"/>
          </w:tcPr>
          <w:p>
            <w:pPr>
              <w:ind w:left="240"/>
              <w:spacing w:after="0"/>
              <w:rPr>
                <w:sz w:val="20"/>
                <w:szCs w:val="20"/>
                <w:color w:val="auto"/>
              </w:rPr>
            </w:pPr>
            <w:r>
              <w:rPr>
                <w:rFonts w:ascii="Arial" w:cs="Arial" w:eastAsia="Arial" w:hAnsi="Arial"/>
                <w:sz w:val="16"/>
                <w:szCs w:val="16"/>
                <w:color w:val="auto"/>
              </w:rPr>
              <w:t>Right-of-use assets – operating leases</w:t>
            </w:r>
          </w:p>
        </w:tc>
        <w:tc>
          <w:tcPr>
            <w:tcW w:w="220" w:type="dxa"/>
            <w:vAlign w:val="bottom"/>
          </w:tcPr>
          <w:p>
            <w:pPr>
              <w:spacing w:after="0"/>
              <w:rPr>
                <w:sz w:val="18"/>
                <w:szCs w:val="18"/>
                <w:color w:val="auto"/>
              </w:rPr>
            </w:pPr>
          </w:p>
        </w:tc>
        <w:tc>
          <w:tcPr>
            <w:tcW w:w="1240" w:type="dxa"/>
            <w:vAlign w:val="bottom"/>
          </w:tcPr>
          <w:p>
            <w:pPr>
              <w:jc w:val="right"/>
              <w:ind w:right="40"/>
              <w:spacing w:after="0"/>
              <w:rPr>
                <w:sz w:val="20"/>
                <w:szCs w:val="20"/>
                <w:color w:val="auto"/>
              </w:rPr>
            </w:pPr>
            <w:r>
              <w:rPr>
                <w:rFonts w:ascii="Arial" w:cs="Arial" w:eastAsia="Arial" w:hAnsi="Arial"/>
                <w:sz w:val="16"/>
                <w:szCs w:val="16"/>
                <w:color w:val="auto"/>
              </w:rPr>
              <w:t>1,025</w:t>
            </w:r>
          </w:p>
        </w:tc>
        <w:tc>
          <w:tcPr>
            <w:tcW w:w="2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1,047</w:t>
            </w:r>
          </w:p>
        </w:tc>
      </w:tr>
      <w:tr>
        <w:trPr>
          <w:trHeight w:val="217"/>
        </w:trPr>
        <w:tc>
          <w:tcPr>
            <w:tcW w:w="8300" w:type="dxa"/>
            <w:vAlign w:val="bottom"/>
            <w:shd w:val="clear" w:color="auto" w:fill="D4F1F5"/>
          </w:tcPr>
          <w:p>
            <w:pPr>
              <w:ind w:left="240"/>
              <w:spacing w:after="0"/>
              <w:rPr>
                <w:sz w:val="20"/>
                <w:szCs w:val="20"/>
                <w:color w:val="auto"/>
              </w:rPr>
            </w:pPr>
            <w:r>
              <w:rPr>
                <w:rFonts w:ascii="Arial" w:cs="Arial" w:eastAsia="Arial" w:hAnsi="Arial"/>
                <w:sz w:val="16"/>
                <w:szCs w:val="16"/>
                <w:color w:val="auto"/>
              </w:rPr>
              <w:t>Wildfire fund</w:t>
            </w:r>
          </w:p>
        </w:tc>
        <w:tc>
          <w:tcPr>
            <w:tcW w:w="220" w:type="dxa"/>
            <w:vAlign w:val="bottom"/>
            <w:shd w:val="clear" w:color="auto" w:fill="D4F1F5"/>
          </w:tcPr>
          <w:p>
            <w:pPr>
              <w:spacing w:after="0"/>
              <w:rPr>
                <w:sz w:val="18"/>
                <w:szCs w:val="18"/>
                <w:color w:val="auto"/>
              </w:rPr>
            </w:pPr>
          </w:p>
        </w:tc>
        <w:tc>
          <w:tcPr>
            <w:tcW w:w="1240" w:type="dxa"/>
            <w:vAlign w:val="bottom"/>
            <w:shd w:val="clear" w:color="auto" w:fill="D4F1F5"/>
          </w:tcPr>
          <w:p>
            <w:pPr>
              <w:jc w:val="right"/>
              <w:ind w:right="40"/>
              <w:spacing w:after="0"/>
              <w:rPr>
                <w:sz w:val="20"/>
                <w:szCs w:val="20"/>
                <w:color w:val="auto"/>
              </w:rPr>
            </w:pPr>
            <w:r>
              <w:rPr>
                <w:rFonts w:ascii="Arial" w:cs="Arial" w:eastAsia="Arial" w:hAnsi="Arial"/>
                <w:sz w:val="16"/>
                <w:szCs w:val="16"/>
                <w:color w:val="auto"/>
              </w:rPr>
              <w:t>240</w:t>
            </w:r>
          </w:p>
        </w:tc>
        <w:tc>
          <w:tcPr>
            <w:tcW w:w="240" w:type="dxa"/>
            <w:vAlign w:val="bottom"/>
            <w:shd w:val="clear" w:color="auto" w:fill="D4F1F5"/>
          </w:tcPr>
          <w:p>
            <w:pPr>
              <w:spacing w:after="0"/>
              <w:rPr>
                <w:sz w:val="18"/>
                <w:szCs w:val="18"/>
                <w:color w:val="auto"/>
              </w:rPr>
            </w:pPr>
          </w:p>
        </w:tc>
        <w:tc>
          <w:tcPr>
            <w:tcW w:w="1240" w:type="dxa"/>
            <w:vAlign w:val="bottom"/>
            <w:shd w:val="clear" w:color="auto" w:fill="D4F1F5"/>
          </w:tcPr>
          <w:p>
            <w:pPr>
              <w:jc w:val="right"/>
              <w:spacing w:after="0"/>
              <w:rPr>
                <w:sz w:val="20"/>
                <w:szCs w:val="20"/>
                <w:color w:val="auto"/>
              </w:rPr>
            </w:pPr>
            <w:r>
              <w:rPr>
                <w:rFonts w:ascii="Arial" w:cs="Arial" w:eastAsia="Arial" w:hAnsi="Arial"/>
                <w:sz w:val="16"/>
                <w:szCs w:val="16"/>
                <w:color w:val="auto"/>
              </w:rPr>
              <w:t>246</w:t>
            </w:r>
          </w:p>
        </w:tc>
      </w:tr>
      <w:tr>
        <w:trPr>
          <w:trHeight w:val="215"/>
        </w:trPr>
        <w:tc>
          <w:tcPr>
            <w:tcW w:w="8300" w:type="dxa"/>
            <w:vAlign w:val="bottom"/>
            <w:tcBorders>
              <w:bottom w:val="single" w:sz="8" w:color="D4F1F5"/>
            </w:tcBorders>
          </w:tcPr>
          <w:p>
            <w:pPr>
              <w:ind w:left="240"/>
              <w:spacing w:after="0"/>
              <w:rPr>
                <w:sz w:val="20"/>
                <w:szCs w:val="20"/>
                <w:color w:val="auto"/>
              </w:rPr>
            </w:pPr>
            <w:r>
              <w:rPr>
                <w:rFonts w:ascii="Arial" w:cs="Arial" w:eastAsia="Arial" w:hAnsi="Arial"/>
                <w:sz w:val="16"/>
                <w:szCs w:val="16"/>
                <w:color w:val="auto"/>
              </w:rPr>
              <w:t>Other long-term assets</w:t>
            </w:r>
          </w:p>
        </w:tc>
        <w:tc>
          <w:tcPr>
            <w:tcW w:w="2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135</w:t>
            </w:r>
          </w:p>
        </w:tc>
        <w:tc>
          <w:tcPr>
            <w:tcW w:w="2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141</w:t>
            </w:r>
          </w:p>
        </w:tc>
      </w:tr>
      <w:tr>
        <w:trPr>
          <w:trHeight w:val="210"/>
        </w:trPr>
        <w:tc>
          <w:tcPr>
            <w:tcW w:w="8300" w:type="dxa"/>
            <w:vAlign w:val="bottom"/>
            <w:shd w:val="clear" w:color="auto" w:fill="D4F1F5"/>
          </w:tcPr>
          <w:p>
            <w:pPr>
              <w:ind w:left="460"/>
              <w:spacing w:after="0"/>
              <w:rPr>
                <w:sz w:val="20"/>
                <w:szCs w:val="20"/>
                <w:color w:val="auto"/>
              </w:rPr>
            </w:pPr>
            <w:r>
              <w:rPr>
                <w:rFonts w:ascii="Arial" w:cs="Arial" w:eastAsia="Arial" w:hAnsi="Arial"/>
                <w:sz w:val="16"/>
                <w:szCs w:val="16"/>
                <w:color w:val="auto"/>
              </w:rPr>
              <w:t>Total other assets</w:t>
            </w:r>
          </w:p>
        </w:tc>
        <w:tc>
          <w:tcPr>
            <w:tcW w:w="220" w:type="dxa"/>
            <w:vAlign w:val="bottom"/>
            <w:tcBorders>
              <w:bottom w:val="single" w:sz="8" w:color="auto"/>
            </w:tcBorders>
            <w:shd w:val="clear" w:color="auto" w:fill="D4F1F5"/>
          </w:tcPr>
          <w:p>
            <w:pPr>
              <w:spacing w:after="0"/>
              <w:rPr>
                <w:sz w:val="18"/>
                <w:szCs w:val="18"/>
                <w:color w:val="auto"/>
              </w:rPr>
            </w:pPr>
          </w:p>
        </w:tc>
        <w:tc>
          <w:tcPr>
            <w:tcW w:w="1240" w:type="dxa"/>
            <w:vAlign w:val="bottom"/>
            <w:tcBorders>
              <w:bottom w:val="single" w:sz="8" w:color="auto"/>
            </w:tcBorders>
            <w:shd w:val="clear" w:color="auto" w:fill="D4F1F5"/>
          </w:tcPr>
          <w:p>
            <w:pPr>
              <w:jc w:val="right"/>
              <w:ind w:right="40"/>
              <w:spacing w:after="0"/>
              <w:rPr>
                <w:sz w:val="20"/>
                <w:szCs w:val="20"/>
                <w:color w:val="auto"/>
              </w:rPr>
            </w:pPr>
            <w:r>
              <w:rPr>
                <w:rFonts w:ascii="Arial" w:cs="Arial" w:eastAsia="Arial" w:hAnsi="Arial"/>
                <w:sz w:val="16"/>
                <w:szCs w:val="16"/>
                <w:color w:val="auto"/>
              </w:rPr>
              <w:t>4,576</w:t>
            </w:r>
          </w:p>
        </w:tc>
        <w:tc>
          <w:tcPr>
            <w:tcW w:w="240" w:type="dxa"/>
            <w:vAlign w:val="bottom"/>
            <w:tcBorders>
              <w:bottom w:val="single" w:sz="8" w:color="auto"/>
            </w:tcBorders>
            <w:shd w:val="clear" w:color="auto" w:fill="D4F1F5"/>
          </w:tcPr>
          <w:p>
            <w:pPr>
              <w:spacing w:after="0"/>
              <w:rPr>
                <w:sz w:val="18"/>
                <w:szCs w:val="18"/>
                <w:color w:val="auto"/>
              </w:rPr>
            </w:pPr>
          </w:p>
        </w:tc>
        <w:tc>
          <w:tcPr>
            <w:tcW w:w="1240" w:type="dxa"/>
            <w:vAlign w:val="bottom"/>
            <w:tcBorders>
              <w:bottom w:val="single" w:sz="8" w:color="auto"/>
            </w:tcBorders>
            <w:shd w:val="clear" w:color="auto" w:fill="D4F1F5"/>
          </w:tcPr>
          <w:p>
            <w:pPr>
              <w:jc w:val="right"/>
              <w:spacing w:after="0"/>
              <w:rPr>
                <w:sz w:val="20"/>
                <w:szCs w:val="20"/>
                <w:color w:val="auto"/>
              </w:rPr>
            </w:pPr>
            <w:r>
              <w:rPr>
                <w:rFonts w:ascii="Arial" w:cs="Arial" w:eastAsia="Arial" w:hAnsi="Arial"/>
                <w:sz w:val="16"/>
                <w:szCs w:val="16"/>
                <w:color w:val="auto"/>
              </w:rPr>
              <w:t>4,572</w:t>
            </w:r>
          </w:p>
        </w:tc>
      </w:tr>
      <w:tr>
        <w:trPr>
          <w:trHeight w:val="197"/>
        </w:trPr>
        <w:tc>
          <w:tcPr>
            <w:tcW w:w="8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216"/>
        </w:trPr>
        <w:tc>
          <w:tcPr>
            <w:tcW w:w="8300" w:type="dxa"/>
            <w:vAlign w:val="bottom"/>
            <w:shd w:val="clear" w:color="auto" w:fill="D4F1F5"/>
          </w:tcPr>
          <w:p>
            <w:pPr>
              <w:ind w:left="20"/>
              <w:spacing w:after="0"/>
              <w:rPr>
                <w:sz w:val="20"/>
                <w:szCs w:val="20"/>
                <w:color w:val="auto"/>
              </w:rPr>
            </w:pPr>
            <w:r>
              <w:rPr>
                <w:rFonts w:ascii="Arial" w:cs="Arial" w:eastAsia="Arial" w:hAnsi="Arial"/>
                <w:sz w:val="16"/>
                <w:szCs w:val="16"/>
                <w:color w:val="auto"/>
              </w:rPr>
              <w:t>Property, plant and equipment:</w:t>
            </w:r>
          </w:p>
        </w:tc>
        <w:tc>
          <w:tcPr>
            <w:tcW w:w="220" w:type="dxa"/>
            <w:vAlign w:val="bottom"/>
            <w:shd w:val="clear" w:color="auto" w:fill="D4F1F5"/>
          </w:tcPr>
          <w:p>
            <w:pPr>
              <w:spacing w:after="0"/>
              <w:rPr>
                <w:sz w:val="18"/>
                <w:szCs w:val="18"/>
                <w:color w:val="auto"/>
              </w:rPr>
            </w:pPr>
          </w:p>
        </w:tc>
        <w:tc>
          <w:tcPr>
            <w:tcW w:w="1240" w:type="dxa"/>
            <w:vAlign w:val="bottom"/>
            <w:shd w:val="clear" w:color="auto" w:fill="D4F1F5"/>
          </w:tcPr>
          <w:p>
            <w:pPr>
              <w:spacing w:after="0"/>
              <w:rPr>
                <w:sz w:val="18"/>
                <w:szCs w:val="18"/>
                <w:color w:val="auto"/>
              </w:rPr>
            </w:pPr>
          </w:p>
        </w:tc>
        <w:tc>
          <w:tcPr>
            <w:tcW w:w="240" w:type="dxa"/>
            <w:vAlign w:val="bottom"/>
            <w:shd w:val="clear" w:color="auto" w:fill="D4F1F5"/>
          </w:tcPr>
          <w:p>
            <w:pPr>
              <w:spacing w:after="0"/>
              <w:rPr>
                <w:sz w:val="18"/>
                <w:szCs w:val="18"/>
                <w:color w:val="auto"/>
              </w:rPr>
            </w:pPr>
          </w:p>
        </w:tc>
        <w:tc>
          <w:tcPr>
            <w:tcW w:w="1240" w:type="dxa"/>
            <w:vAlign w:val="bottom"/>
            <w:shd w:val="clear" w:color="auto" w:fill="D4F1F5"/>
          </w:tcPr>
          <w:p>
            <w:pPr>
              <w:spacing w:after="0"/>
              <w:rPr>
                <w:sz w:val="18"/>
                <w:szCs w:val="18"/>
                <w:color w:val="auto"/>
              </w:rPr>
            </w:pPr>
          </w:p>
        </w:tc>
      </w:tr>
      <w:tr>
        <w:trPr>
          <w:trHeight w:val="215"/>
        </w:trPr>
        <w:tc>
          <w:tcPr>
            <w:tcW w:w="8300" w:type="dxa"/>
            <w:vAlign w:val="bottom"/>
          </w:tcPr>
          <w:p>
            <w:pPr>
              <w:ind w:left="240"/>
              <w:spacing w:after="0"/>
              <w:rPr>
                <w:sz w:val="20"/>
                <w:szCs w:val="20"/>
                <w:color w:val="auto"/>
              </w:rPr>
            </w:pPr>
            <w:r>
              <w:rPr>
                <w:rFonts w:ascii="Arial" w:cs="Arial" w:eastAsia="Arial" w:hAnsi="Arial"/>
                <w:sz w:val="16"/>
                <w:szCs w:val="16"/>
                <w:color w:val="auto"/>
              </w:rPr>
              <w:t>Property, plant and equipment</w:t>
            </w:r>
          </w:p>
        </w:tc>
        <w:tc>
          <w:tcPr>
            <w:tcW w:w="220" w:type="dxa"/>
            <w:vAlign w:val="bottom"/>
          </w:tcPr>
          <w:p>
            <w:pPr>
              <w:spacing w:after="0"/>
              <w:rPr>
                <w:sz w:val="18"/>
                <w:szCs w:val="18"/>
                <w:color w:val="auto"/>
              </w:rPr>
            </w:pPr>
          </w:p>
        </w:tc>
        <w:tc>
          <w:tcPr>
            <w:tcW w:w="1240" w:type="dxa"/>
            <w:vAlign w:val="bottom"/>
          </w:tcPr>
          <w:p>
            <w:pPr>
              <w:jc w:val="right"/>
              <w:ind w:right="40"/>
              <w:spacing w:after="0"/>
              <w:rPr>
                <w:sz w:val="20"/>
                <w:szCs w:val="20"/>
                <w:color w:val="auto"/>
              </w:rPr>
            </w:pPr>
            <w:r>
              <w:rPr>
                <w:rFonts w:ascii="Arial" w:cs="Arial" w:eastAsia="Arial" w:hAnsi="Arial"/>
                <w:sz w:val="16"/>
                <w:szCs w:val="16"/>
                <w:color w:val="auto"/>
              </w:rPr>
              <w:t>35,383</w:t>
            </w:r>
          </w:p>
        </w:tc>
        <w:tc>
          <w:tcPr>
            <w:tcW w:w="2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35,033</w:t>
            </w:r>
          </w:p>
        </w:tc>
      </w:tr>
      <w:tr>
        <w:trPr>
          <w:trHeight w:val="217"/>
        </w:trPr>
        <w:tc>
          <w:tcPr>
            <w:tcW w:w="8300" w:type="dxa"/>
            <w:vAlign w:val="bottom"/>
            <w:shd w:val="clear" w:color="auto" w:fill="D4F1F5"/>
          </w:tcPr>
          <w:p>
            <w:pPr>
              <w:ind w:left="240"/>
              <w:spacing w:after="0"/>
              <w:rPr>
                <w:sz w:val="20"/>
                <w:szCs w:val="20"/>
                <w:color w:val="auto"/>
              </w:rPr>
            </w:pPr>
            <w:r>
              <w:rPr>
                <w:rFonts w:ascii="Arial" w:cs="Arial" w:eastAsia="Arial" w:hAnsi="Arial"/>
                <w:sz w:val="16"/>
                <w:szCs w:val="16"/>
                <w:color w:val="auto"/>
              </w:rPr>
              <w:t>Less accumulated depreciation and amortization</w:t>
            </w:r>
          </w:p>
        </w:tc>
        <w:tc>
          <w:tcPr>
            <w:tcW w:w="220" w:type="dxa"/>
            <w:vAlign w:val="bottom"/>
            <w:tcBorders>
              <w:bottom w:val="single" w:sz="8" w:color="auto"/>
            </w:tcBorders>
            <w:shd w:val="clear" w:color="auto" w:fill="D4F1F5"/>
          </w:tcPr>
          <w:p>
            <w:pPr>
              <w:spacing w:after="0"/>
              <w:rPr>
                <w:sz w:val="18"/>
                <w:szCs w:val="18"/>
                <w:color w:val="auto"/>
              </w:rPr>
            </w:pPr>
          </w:p>
        </w:tc>
        <w:tc>
          <w:tcPr>
            <w:tcW w:w="1240" w:type="dxa"/>
            <w:vAlign w:val="bottom"/>
            <w:tcBorders>
              <w:bottom w:val="single" w:sz="8" w:color="auto"/>
            </w:tcBorders>
            <w:shd w:val="clear" w:color="auto" w:fill="D4F1F5"/>
          </w:tcPr>
          <w:p>
            <w:pPr>
              <w:jc w:val="right"/>
              <w:spacing w:after="0"/>
              <w:rPr>
                <w:sz w:val="20"/>
                <w:szCs w:val="20"/>
                <w:color w:val="auto"/>
              </w:rPr>
            </w:pPr>
            <w:r>
              <w:rPr>
                <w:rFonts w:ascii="Arial" w:cs="Arial" w:eastAsia="Arial" w:hAnsi="Arial"/>
                <w:sz w:val="16"/>
                <w:szCs w:val="16"/>
                <w:color w:val="auto"/>
              </w:rPr>
              <w:t>(8,946)</w:t>
            </w:r>
          </w:p>
        </w:tc>
        <w:tc>
          <w:tcPr>
            <w:tcW w:w="240" w:type="dxa"/>
            <w:vAlign w:val="bottom"/>
            <w:tcBorders>
              <w:bottom w:val="single" w:sz="8" w:color="auto"/>
            </w:tcBorders>
            <w:shd w:val="clear" w:color="auto" w:fill="D4F1F5"/>
          </w:tcPr>
          <w:p>
            <w:pPr>
              <w:spacing w:after="0"/>
              <w:rPr>
                <w:sz w:val="18"/>
                <w:szCs w:val="18"/>
                <w:color w:val="auto"/>
              </w:rPr>
            </w:pPr>
          </w:p>
        </w:tc>
        <w:tc>
          <w:tcPr>
            <w:tcW w:w="1240" w:type="dxa"/>
            <w:vAlign w:val="bottom"/>
            <w:tcBorders>
              <w:bottom w:val="single" w:sz="8" w:color="auto"/>
            </w:tcBorders>
            <w:shd w:val="clear" w:color="auto" w:fill="D4F1F5"/>
          </w:tcPr>
          <w:p>
            <w:pPr>
              <w:jc w:val="right"/>
              <w:spacing w:after="0"/>
              <w:rPr>
                <w:sz w:val="20"/>
                <w:szCs w:val="20"/>
                <w:color w:val="auto"/>
              </w:rPr>
            </w:pPr>
            <w:r>
              <w:rPr>
                <w:rFonts w:ascii="Arial" w:cs="Arial" w:eastAsia="Arial" w:hAnsi="Arial"/>
                <w:sz w:val="16"/>
                <w:szCs w:val="16"/>
                <w:color w:val="auto"/>
              </w:rPr>
              <w:t>(8,729)</w:t>
            </w:r>
          </w:p>
        </w:tc>
      </w:tr>
      <w:tr>
        <w:trPr>
          <w:trHeight w:val="209"/>
        </w:trPr>
        <w:tc>
          <w:tcPr>
            <w:tcW w:w="8300" w:type="dxa"/>
            <w:vAlign w:val="bottom"/>
            <w:tcBorders>
              <w:bottom w:val="single" w:sz="8" w:color="D4F1F5"/>
            </w:tcBorders>
          </w:tcPr>
          <w:p>
            <w:pPr>
              <w:ind w:left="460"/>
              <w:spacing w:after="0"/>
              <w:rPr>
                <w:sz w:val="20"/>
                <w:szCs w:val="20"/>
                <w:color w:val="auto"/>
              </w:rPr>
            </w:pPr>
            <w:r>
              <w:rPr>
                <w:rFonts w:ascii="Arial" w:cs="Arial" w:eastAsia="Arial" w:hAnsi="Arial"/>
                <w:sz w:val="16"/>
                <w:szCs w:val="16"/>
                <w:color w:val="auto"/>
              </w:rPr>
              <w:t>Property, plant and equipment, net</w:t>
            </w:r>
          </w:p>
        </w:tc>
        <w:tc>
          <w:tcPr>
            <w:tcW w:w="2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26,437</w:t>
            </w:r>
          </w:p>
        </w:tc>
        <w:tc>
          <w:tcPr>
            <w:tcW w:w="2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26,304</w:t>
            </w:r>
          </w:p>
        </w:tc>
      </w:tr>
      <w:tr>
        <w:trPr>
          <w:trHeight w:val="217"/>
        </w:trPr>
        <w:tc>
          <w:tcPr>
            <w:tcW w:w="8300" w:type="dxa"/>
            <w:vAlign w:val="bottom"/>
            <w:tcBorders>
              <w:bottom w:val="single" w:sz="8" w:color="auto"/>
            </w:tcBorders>
            <w:shd w:val="clear" w:color="auto" w:fill="D4F1F5"/>
          </w:tcPr>
          <w:p>
            <w:pPr>
              <w:ind w:left="20"/>
              <w:spacing w:after="0"/>
              <w:rPr>
                <w:sz w:val="20"/>
                <w:szCs w:val="20"/>
                <w:color w:val="auto"/>
              </w:rPr>
            </w:pPr>
            <w:r>
              <w:rPr>
                <w:rFonts w:ascii="Arial" w:cs="Arial" w:eastAsia="Arial" w:hAnsi="Arial"/>
                <w:sz w:val="16"/>
                <w:szCs w:val="16"/>
                <w:color w:val="auto"/>
              </w:rPr>
              <w:t>Total assets</w:t>
            </w:r>
          </w:p>
        </w:tc>
        <w:tc>
          <w:tcPr>
            <w:tcW w:w="220" w:type="dxa"/>
            <w:vAlign w:val="bottom"/>
            <w:tcBorders>
              <w:bottom w:val="single" w:sz="8" w:color="auto"/>
            </w:tcBorders>
            <w:shd w:val="clear" w:color="auto" w:fill="D4F1F5"/>
          </w:tcPr>
          <w:p>
            <w:pPr>
              <w:jc w:val="right"/>
              <w:ind w:right="39"/>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shd w:val="clear" w:color="auto" w:fill="D4F1F5"/>
          </w:tcPr>
          <w:p>
            <w:pPr>
              <w:jc w:val="right"/>
              <w:ind w:right="40"/>
              <w:spacing w:after="0"/>
              <w:rPr>
                <w:sz w:val="20"/>
                <w:szCs w:val="20"/>
                <w:color w:val="auto"/>
              </w:rPr>
            </w:pPr>
            <w:r>
              <w:rPr>
                <w:rFonts w:ascii="Arial" w:cs="Arial" w:eastAsia="Arial" w:hAnsi="Arial"/>
                <w:sz w:val="16"/>
                <w:szCs w:val="16"/>
                <w:color w:val="auto"/>
              </w:rPr>
              <w:t>33,543</w:t>
            </w:r>
          </w:p>
        </w:tc>
        <w:tc>
          <w:tcPr>
            <w:tcW w:w="240" w:type="dxa"/>
            <w:vAlign w:val="bottom"/>
            <w:tcBorders>
              <w:bottom w:val="single" w:sz="8" w:color="auto"/>
            </w:tcBorders>
            <w:shd w:val="clear" w:color="auto" w:fill="D4F1F5"/>
          </w:tcPr>
          <w:p>
            <w:pPr>
              <w:jc w:val="right"/>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shd w:val="clear" w:color="auto" w:fill="D4F1F5"/>
          </w:tcPr>
          <w:p>
            <w:pPr>
              <w:jc w:val="right"/>
              <w:spacing w:after="0"/>
              <w:rPr>
                <w:sz w:val="20"/>
                <w:szCs w:val="20"/>
                <w:color w:val="auto"/>
              </w:rPr>
            </w:pPr>
            <w:r>
              <w:rPr>
                <w:rFonts w:ascii="Arial" w:cs="Arial" w:eastAsia="Arial" w:hAnsi="Arial"/>
                <w:sz w:val="16"/>
                <w:szCs w:val="16"/>
                <w:color w:val="auto"/>
              </w:rPr>
              <w:t>32,682</w:t>
            </w:r>
          </w:p>
        </w:tc>
      </w:tr>
    </w:tbl>
    <w:p>
      <w:pPr>
        <w:spacing w:after="0" w:line="59" w:lineRule="exact"/>
        <w:rPr>
          <w:sz w:val="20"/>
          <w:szCs w:val="20"/>
          <w:color w:val="auto"/>
        </w:rPr>
      </w:pPr>
    </w:p>
    <w:p>
      <w:pPr>
        <w:spacing w:after="0"/>
        <w:tabs>
          <w:tab w:leader="none" w:pos="240" w:val="left"/>
        </w:tabs>
        <w:rPr>
          <w:sz w:val="20"/>
          <w:szCs w:val="20"/>
          <w:color w:val="auto"/>
        </w:rPr>
      </w:pPr>
      <w:r>
        <w:rPr>
          <w:rFonts w:ascii="Arial" w:cs="Arial" w:eastAsia="Arial" w:hAnsi="Arial"/>
          <w:sz w:val="21"/>
          <w:szCs w:val="21"/>
          <w:i w:val="1"/>
          <w:iCs w:val="1"/>
          <w:color w:val="auto"/>
          <w:vertAlign w:val="superscript"/>
        </w:rPr>
        <w:t>(1)</w:t>
      </w:r>
      <w:r>
        <w:rPr>
          <w:sz w:val="20"/>
          <w:szCs w:val="20"/>
          <w:color w:val="auto"/>
        </w:rPr>
        <w:tab/>
      </w:r>
      <w:r>
        <w:rPr>
          <w:rFonts w:ascii="Arial" w:cs="Arial" w:eastAsia="Arial" w:hAnsi="Arial"/>
          <w:sz w:val="14"/>
          <w:szCs w:val="14"/>
          <w:i w:val="1"/>
          <w:iCs w:val="1"/>
          <w:color w:val="auto"/>
        </w:rPr>
        <w:t>Derived from audited financial statements.</w:t>
      </w:r>
    </w:p>
    <w:p>
      <w:pPr>
        <w:spacing w:after="0" w:line="55"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See Notes to Condensed Financial Statements.</w:t>
      </w: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150495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480060</wp:posOffset>
            </wp:positionV>
            <wp:extent cx="7132320" cy="45402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4540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FFFFFF"/>
        </w:rPr>
        <w:t>SAN DIEGO GAS &amp; ELECTRIC COMPANY</w:t>
      </w:r>
    </w:p>
    <w:p>
      <w:pPr>
        <w:spacing w:after="0" w:line="59"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FFFFFF"/>
        </w:rPr>
        <w:t>CONDENSED BALANCE SHEETS (CONTINUED)</w:t>
      </w:r>
    </w:p>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8300" w:type="dxa"/>
            <w:vAlign w:val="bottom"/>
          </w:tcPr>
          <w:p>
            <w:pPr>
              <w:ind w:left="20"/>
              <w:spacing w:after="0"/>
              <w:rPr>
                <w:sz w:val="20"/>
                <w:szCs w:val="20"/>
                <w:color w:val="auto"/>
              </w:rPr>
            </w:pPr>
            <w:r>
              <w:rPr>
                <w:rFonts w:ascii="Arial" w:cs="Arial" w:eastAsia="Arial" w:hAnsi="Arial"/>
                <w:sz w:val="14"/>
                <w:szCs w:val="14"/>
                <w:i w:val="1"/>
                <w:iCs w:val="1"/>
                <w:color w:val="FFFFFF"/>
              </w:rPr>
              <w:t>(Dollars in millions)</w:t>
            </w:r>
          </w:p>
        </w:tc>
        <w:tc>
          <w:tcPr>
            <w:tcW w:w="2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8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jc w:val="center"/>
              <w:ind w:right="200"/>
              <w:spacing w:after="0"/>
              <w:rPr>
                <w:sz w:val="20"/>
                <w:szCs w:val="20"/>
                <w:color w:val="auto"/>
              </w:rPr>
            </w:pPr>
            <w:r>
              <w:rPr>
                <w:rFonts w:ascii="Arial" w:cs="Arial" w:eastAsia="Arial" w:hAnsi="Arial"/>
                <w:sz w:val="14"/>
                <w:szCs w:val="14"/>
                <w:color w:val="auto"/>
              </w:rPr>
              <w:t>March 31,</w:t>
            </w:r>
          </w:p>
        </w:tc>
        <w:tc>
          <w:tcPr>
            <w:tcW w:w="240" w:type="dxa"/>
            <w:vAlign w:val="bottom"/>
          </w:tcPr>
          <w:p>
            <w:pPr>
              <w:spacing w:after="0"/>
              <w:rPr>
                <w:sz w:val="19"/>
                <w:szCs w:val="19"/>
                <w:color w:val="auto"/>
              </w:rPr>
            </w:pPr>
          </w:p>
        </w:tc>
        <w:tc>
          <w:tcPr>
            <w:tcW w:w="1240" w:type="dxa"/>
            <w:vAlign w:val="bottom"/>
          </w:tcPr>
          <w:p>
            <w:pPr>
              <w:jc w:val="right"/>
              <w:ind w:right="180"/>
              <w:spacing w:after="0"/>
              <w:rPr>
                <w:sz w:val="20"/>
                <w:szCs w:val="20"/>
                <w:color w:val="auto"/>
              </w:rPr>
            </w:pPr>
            <w:r>
              <w:rPr>
                <w:rFonts w:ascii="Arial" w:cs="Arial" w:eastAsia="Arial" w:hAnsi="Arial"/>
                <w:sz w:val="14"/>
                <w:szCs w:val="14"/>
                <w:color w:val="auto"/>
              </w:rPr>
              <w:t>December 31,</w:t>
            </w:r>
          </w:p>
        </w:tc>
        <w:tc>
          <w:tcPr>
            <w:tcW w:w="0" w:type="dxa"/>
            <w:vAlign w:val="bottom"/>
          </w:tcPr>
          <w:p>
            <w:pPr>
              <w:spacing w:after="0"/>
              <w:rPr>
                <w:sz w:val="1"/>
                <w:szCs w:val="1"/>
                <w:color w:val="auto"/>
              </w:rPr>
            </w:pPr>
          </w:p>
        </w:tc>
      </w:tr>
      <w:tr>
        <w:trPr>
          <w:trHeight w:val="224"/>
        </w:trPr>
        <w:tc>
          <w:tcPr>
            <w:tcW w:w="83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center"/>
              <w:ind w:right="200"/>
              <w:spacing w:after="0"/>
              <w:rPr>
                <w:sz w:val="20"/>
                <w:szCs w:val="20"/>
                <w:color w:val="auto"/>
              </w:rPr>
            </w:pPr>
            <w:r>
              <w:rPr>
                <w:rFonts w:ascii="Arial" w:cs="Arial" w:eastAsia="Arial" w:hAnsi="Arial"/>
                <w:sz w:val="14"/>
                <w:szCs w:val="14"/>
                <w:color w:val="auto"/>
              </w:rPr>
              <w:t>2026</w:t>
            </w:r>
          </w:p>
        </w:tc>
        <w:tc>
          <w:tcPr>
            <w:tcW w:w="2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420"/>
              <w:spacing w:after="0"/>
              <w:rPr>
                <w:sz w:val="20"/>
                <w:szCs w:val="20"/>
                <w:color w:val="auto"/>
              </w:rPr>
            </w:pPr>
            <w:r>
              <w:rPr>
                <w:rFonts w:ascii="Arial" w:cs="Arial" w:eastAsia="Arial" w:hAnsi="Arial"/>
                <w:sz w:val="14"/>
                <w:szCs w:val="14"/>
                <w:color w:val="auto"/>
              </w:rPr>
              <w:t>2025</w:t>
            </w:r>
            <w:r>
              <w:rPr>
                <w:rFonts w:ascii="Arial" w:cs="Arial" w:eastAsia="Arial" w:hAnsi="Arial"/>
                <w:sz w:val="18"/>
                <w:szCs w:val="18"/>
                <w:color w:val="auto"/>
                <w:vertAlign w:val="superscript"/>
              </w:rPr>
              <w:t>(1)</w:t>
            </w:r>
          </w:p>
        </w:tc>
        <w:tc>
          <w:tcPr>
            <w:tcW w:w="0" w:type="dxa"/>
            <w:vAlign w:val="bottom"/>
          </w:tcPr>
          <w:p>
            <w:pPr>
              <w:spacing w:after="0"/>
              <w:rPr>
                <w:sz w:val="1"/>
                <w:szCs w:val="1"/>
                <w:color w:val="auto"/>
              </w:rPr>
            </w:pPr>
          </w:p>
        </w:tc>
      </w:tr>
      <w:tr>
        <w:trPr>
          <w:trHeight w:val="210"/>
        </w:trPr>
        <w:tc>
          <w:tcPr>
            <w:tcW w:w="8300" w:type="dxa"/>
            <w:vAlign w:val="bottom"/>
            <w:shd w:val="clear" w:color="auto" w:fill="D4F1F5"/>
          </w:tcPr>
          <w:p>
            <w:pPr>
              <w:spacing w:after="0"/>
              <w:rPr>
                <w:sz w:val="18"/>
                <w:szCs w:val="18"/>
                <w:color w:val="auto"/>
              </w:rPr>
            </w:pPr>
          </w:p>
        </w:tc>
        <w:tc>
          <w:tcPr>
            <w:tcW w:w="220" w:type="dxa"/>
            <w:vAlign w:val="bottom"/>
            <w:shd w:val="clear" w:color="auto" w:fill="D4F1F5"/>
          </w:tcPr>
          <w:p>
            <w:pPr>
              <w:spacing w:after="0"/>
              <w:rPr>
                <w:sz w:val="18"/>
                <w:szCs w:val="18"/>
                <w:color w:val="auto"/>
              </w:rPr>
            </w:pPr>
          </w:p>
        </w:tc>
        <w:tc>
          <w:tcPr>
            <w:tcW w:w="1240" w:type="dxa"/>
            <w:vAlign w:val="bottom"/>
            <w:shd w:val="clear" w:color="auto" w:fill="D4F1F5"/>
          </w:tcPr>
          <w:p>
            <w:pPr>
              <w:jc w:val="center"/>
              <w:ind w:right="200"/>
              <w:spacing w:after="0"/>
              <w:rPr>
                <w:sz w:val="20"/>
                <w:szCs w:val="20"/>
                <w:color w:val="auto"/>
              </w:rPr>
            </w:pPr>
            <w:r>
              <w:rPr>
                <w:rFonts w:ascii="Arial" w:cs="Arial" w:eastAsia="Arial" w:hAnsi="Arial"/>
                <w:sz w:val="14"/>
                <w:szCs w:val="14"/>
                <w:color w:val="auto"/>
              </w:rPr>
              <w:t>(unaudited)</w:t>
            </w:r>
          </w:p>
        </w:tc>
        <w:tc>
          <w:tcPr>
            <w:tcW w:w="240" w:type="dxa"/>
            <w:vAlign w:val="bottom"/>
            <w:shd w:val="clear" w:color="auto" w:fill="D4F1F5"/>
          </w:tcPr>
          <w:p>
            <w:pPr>
              <w:spacing w:after="0"/>
              <w:rPr>
                <w:sz w:val="18"/>
                <w:szCs w:val="18"/>
                <w:color w:val="auto"/>
              </w:rPr>
            </w:pPr>
          </w:p>
        </w:tc>
        <w:tc>
          <w:tcPr>
            <w:tcW w:w="1240" w:type="dxa"/>
            <w:vAlign w:val="bottom"/>
            <w:shd w:val="clear" w:color="auto" w:fill="D4F1F5"/>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8300" w:type="dxa"/>
            <w:vAlign w:val="bottom"/>
          </w:tcPr>
          <w:p>
            <w:pPr>
              <w:ind w:left="20"/>
              <w:spacing w:after="0"/>
              <w:rPr>
                <w:sz w:val="20"/>
                <w:szCs w:val="20"/>
                <w:color w:val="auto"/>
              </w:rPr>
            </w:pPr>
            <w:r>
              <w:rPr>
                <w:rFonts w:ascii="Arial" w:cs="Arial" w:eastAsia="Arial" w:hAnsi="Arial"/>
                <w:sz w:val="16"/>
                <w:szCs w:val="16"/>
                <w:color w:val="auto"/>
              </w:rPr>
              <w:t>LIABILITIES AND SHAREHOLDER’S EQUITY</w:t>
            </w: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8300" w:type="dxa"/>
            <w:vAlign w:val="bottom"/>
            <w:shd w:val="clear" w:color="auto" w:fill="D4F1F5"/>
          </w:tcPr>
          <w:p>
            <w:pPr>
              <w:ind w:left="20"/>
              <w:spacing w:after="0"/>
              <w:rPr>
                <w:sz w:val="20"/>
                <w:szCs w:val="20"/>
                <w:color w:val="auto"/>
              </w:rPr>
            </w:pPr>
            <w:r>
              <w:rPr>
                <w:rFonts w:ascii="Arial" w:cs="Arial" w:eastAsia="Arial" w:hAnsi="Arial"/>
                <w:sz w:val="16"/>
                <w:szCs w:val="16"/>
                <w:color w:val="auto"/>
              </w:rPr>
              <w:t>Current liabilities:</w:t>
            </w:r>
          </w:p>
        </w:tc>
        <w:tc>
          <w:tcPr>
            <w:tcW w:w="220" w:type="dxa"/>
            <w:vAlign w:val="bottom"/>
            <w:shd w:val="clear" w:color="auto" w:fill="D4F1F5"/>
          </w:tcPr>
          <w:p>
            <w:pPr>
              <w:spacing w:after="0"/>
              <w:rPr>
                <w:sz w:val="18"/>
                <w:szCs w:val="18"/>
                <w:color w:val="auto"/>
              </w:rPr>
            </w:pPr>
          </w:p>
        </w:tc>
        <w:tc>
          <w:tcPr>
            <w:tcW w:w="1240" w:type="dxa"/>
            <w:vAlign w:val="bottom"/>
            <w:shd w:val="clear" w:color="auto" w:fill="D4F1F5"/>
          </w:tcPr>
          <w:p>
            <w:pPr>
              <w:spacing w:after="0"/>
              <w:rPr>
                <w:sz w:val="18"/>
                <w:szCs w:val="18"/>
                <w:color w:val="auto"/>
              </w:rPr>
            </w:pPr>
          </w:p>
        </w:tc>
        <w:tc>
          <w:tcPr>
            <w:tcW w:w="240" w:type="dxa"/>
            <w:vAlign w:val="bottom"/>
            <w:shd w:val="clear" w:color="auto" w:fill="D4F1F5"/>
          </w:tcPr>
          <w:p>
            <w:pPr>
              <w:spacing w:after="0"/>
              <w:rPr>
                <w:sz w:val="18"/>
                <w:szCs w:val="18"/>
                <w:color w:val="auto"/>
              </w:rPr>
            </w:pPr>
          </w:p>
        </w:tc>
        <w:tc>
          <w:tcPr>
            <w:tcW w:w="1240" w:type="dxa"/>
            <w:vAlign w:val="bottom"/>
            <w:shd w:val="clear" w:color="auto" w:fill="D4F1F5"/>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8300" w:type="dxa"/>
            <w:vAlign w:val="bottom"/>
          </w:tcPr>
          <w:p>
            <w:pPr>
              <w:ind w:left="240"/>
              <w:spacing w:after="0"/>
              <w:rPr>
                <w:sz w:val="20"/>
                <w:szCs w:val="20"/>
                <w:color w:val="auto"/>
              </w:rPr>
            </w:pPr>
            <w:r>
              <w:rPr>
                <w:rFonts w:ascii="Arial" w:cs="Arial" w:eastAsia="Arial" w:hAnsi="Arial"/>
                <w:sz w:val="16"/>
                <w:szCs w:val="16"/>
                <w:color w:val="auto"/>
              </w:rPr>
              <w:t>Short-term debt</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24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531</w:t>
            </w:r>
          </w:p>
        </w:tc>
        <w:tc>
          <w:tcPr>
            <w:tcW w:w="0" w:type="dxa"/>
            <w:vAlign w:val="bottom"/>
          </w:tcPr>
          <w:p>
            <w:pPr>
              <w:spacing w:after="0"/>
              <w:rPr>
                <w:sz w:val="1"/>
                <w:szCs w:val="1"/>
                <w:color w:val="auto"/>
              </w:rPr>
            </w:pPr>
          </w:p>
        </w:tc>
      </w:tr>
      <w:tr>
        <w:trPr>
          <w:trHeight w:val="217"/>
        </w:trPr>
        <w:tc>
          <w:tcPr>
            <w:tcW w:w="8300" w:type="dxa"/>
            <w:vAlign w:val="bottom"/>
            <w:shd w:val="clear" w:color="auto" w:fill="D4F1F5"/>
          </w:tcPr>
          <w:p>
            <w:pPr>
              <w:ind w:left="240"/>
              <w:spacing w:after="0"/>
              <w:rPr>
                <w:sz w:val="20"/>
                <w:szCs w:val="20"/>
                <w:color w:val="auto"/>
              </w:rPr>
            </w:pPr>
            <w:r>
              <w:rPr>
                <w:rFonts w:ascii="Arial" w:cs="Arial" w:eastAsia="Arial" w:hAnsi="Arial"/>
                <w:sz w:val="16"/>
                <w:szCs w:val="16"/>
                <w:color w:val="auto"/>
              </w:rPr>
              <w:t>Accounts payable – trade</w:t>
            </w:r>
          </w:p>
        </w:tc>
        <w:tc>
          <w:tcPr>
            <w:tcW w:w="220" w:type="dxa"/>
            <w:vAlign w:val="bottom"/>
            <w:shd w:val="clear" w:color="auto" w:fill="D4F1F5"/>
          </w:tcPr>
          <w:p>
            <w:pPr>
              <w:spacing w:after="0"/>
              <w:rPr>
                <w:sz w:val="18"/>
                <w:szCs w:val="18"/>
                <w:color w:val="auto"/>
              </w:rPr>
            </w:pPr>
          </w:p>
        </w:tc>
        <w:tc>
          <w:tcPr>
            <w:tcW w:w="1240" w:type="dxa"/>
            <w:vAlign w:val="bottom"/>
            <w:shd w:val="clear" w:color="auto" w:fill="D4F1F5"/>
          </w:tcPr>
          <w:p>
            <w:pPr>
              <w:jc w:val="right"/>
              <w:ind w:right="40"/>
              <w:spacing w:after="0"/>
              <w:rPr>
                <w:sz w:val="20"/>
                <w:szCs w:val="20"/>
                <w:color w:val="auto"/>
              </w:rPr>
            </w:pPr>
            <w:r>
              <w:rPr>
                <w:rFonts w:ascii="Arial" w:cs="Arial" w:eastAsia="Arial" w:hAnsi="Arial"/>
                <w:sz w:val="16"/>
                <w:szCs w:val="16"/>
                <w:color w:val="auto"/>
              </w:rPr>
              <w:t>622</w:t>
            </w:r>
          </w:p>
        </w:tc>
        <w:tc>
          <w:tcPr>
            <w:tcW w:w="240" w:type="dxa"/>
            <w:vAlign w:val="bottom"/>
            <w:shd w:val="clear" w:color="auto" w:fill="D4F1F5"/>
          </w:tcPr>
          <w:p>
            <w:pPr>
              <w:spacing w:after="0"/>
              <w:rPr>
                <w:sz w:val="18"/>
                <w:szCs w:val="18"/>
                <w:color w:val="auto"/>
              </w:rPr>
            </w:pPr>
          </w:p>
        </w:tc>
        <w:tc>
          <w:tcPr>
            <w:tcW w:w="1240" w:type="dxa"/>
            <w:vAlign w:val="bottom"/>
            <w:shd w:val="clear" w:color="auto" w:fill="D4F1F5"/>
          </w:tcPr>
          <w:p>
            <w:pPr>
              <w:jc w:val="right"/>
              <w:spacing w:after="0"/>
              <w:rPr>
                <w:sz w:val="20"/>
                <w:szCs w:val="20"/>
                <w:color w:val="auto"/>
              </w:rPr>
            </w:pPr>
            <w:r>
              <w:rPr>
                <w:rFonts w:ascii="Arial" w:cs="Arial" w:eastAsia="Arial" w:hAnsi="Arial"/>
                <w:sz w:val="16"/>
                <w:szCs w:val="16"/>
                <w:color w:val="auto"/>
              </w:rPr>
              <w:t>712</w:t>
            </w:r>
          </w:p>
        </w:tc>
        <w:tc>
          <w:tcPr>
            <w:tcW w:w="0" w:type="dxa"/>
            <w:vAlign w:val="bottom"/>
          </w:tcPr>
          <w:p>
            <w:pPr>
              <w:spacing w:after="0"/>
              <w:rPr>
                <w:sz w:val="1"/>
                <w:szCs w:val="1"/>
                <w:color w:val="auto"/>
              </w:rPr>
            </w:pPr>
          </w:p>
        </w:tc>
      </w:tr>
      <w:tr>
        <w:trPr>
          <w:trHeight w:val="215"/>
        </w:trPr>
        <w:tc>
          <w:tcPr>
            <w:tcW w:w="8300" w:type="dxa"/>
            <w:vAlign w:val="bottom"/>
          </w:tcPr>
          <w:p>
            <w:pPr>
              <w:ind w:left="240"/>
              <w:spacing w:after="0"/>
              <w:rPr>
                <w:sz w:val="20"/>
                <w:szCs w:val="20"/>
                <w:color w:val="auto"/>
              </w:rPr>
            </w:pPr>
            <w:r>
              <w:rPr>
                <w:rFonts w:ascii="Arial" w:cs="Arial" w:eastAsia="Arial" w:hAnsi="Arial"/>
                <w:sz w:val="16"/>
                <w:szCs w:val="16"/>
                <w:color w:val="auto"/>
              </w:rPr>
              <w:t>Accounts payable – other</w:t>
            </w:r>
          </w:p>
        </w:tc>
        <w:tc>
          <w:tcPr>
            <w:tcW w:w="220" w:type="dxa"/>
            <w:vAlign w:val="bottom"/>
          </w:tcPr>
          <w:p>
            <w:pPr>
              <w:spacing w:after="0"/>
              <w:rPr>
                <w:sz w:val="18"/>
                <w:szCs w:val="18"/>
                <w:color w:val="auto"/>
              </w:rPr>
            </w:pPr>
          </w:p>
        </w:tc>
        <w:tc>
          <w:tcPr>
            <w:tcW w:w="1240" w:type="dxa"/>
            <w:vAlign w:val="bottom"/>
          </w:tcPr>
          <w:p>
            <w:pPr>
              <w:jc w:val="right"/>
              <w:ind w:right="40"/>
              <w:spacing w:after="0"/>
              <w:rPr>
                <w:sz w:val="20"/>
                <w:szCs w:val="20"/>
                <w:color w:val="auto"/>
              </w:rPr>
            </w:pPr>
            <w:r>
              <w:rPr>
                <w:rFonts w:ascii="Arial" w:cs="Arial" w:eastAsia="Arial" w:hAnsi="Arial"/>
                <w:sz w:val="16"/>
                <w:szCs w:val="16"/>
                <w:color w:val="auto"/>
              </w:rPr>
              <w:t>35</w:t>
            </w:r>
          </w:p>
        </w:tc>
        <w:tc>
          <w:tcPr>
            <w:tcW w:w="2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42</w:t>
            </w:r>
          </w:p>
        </w:tc>
        <w:tc>
          <w:tcPr>
            <w:tcW w:w="0" w:type="dxa"/>
            <w:vAlign w:val="bottom"/>
          </w:tcPr>
          <w:p>
            <w:pPr>
              <w:spacing w:after="0"/>
              <w:rPr>
                <w:sz w:val="1"/>
                <w:szCs w:val="1"/>
                <w:color w:val="auto"/>
              </w:rPr>
            </w:pPr>
          </w:p>
        </w:tc>
      </w:tr>
      <w:tr>
        <w:trPr>
          <w:trHeight w:val="217"/>
        </w:trPr>
        <w:tc>
          <w:tcPr>
            <w:tcW w:w="8300" w:type="dxa"/>
            <w:vAlign w:val="bottom"/>
            <w:shd w:val="clear" w:color="auto" w:fill="D4F1F5"/>
          </w:tcPr>
          <w:p>
            <w:pPr>
              <w:ind w:left="240"/>
              <w:spacing w:after="0"/>
              <w:rPr>
                <w:sz w:val="20"/>
                <w:szCs w:val="20"/>
                <w:color w:val="auto"/>
              </w:rPr>
            </w:pPr>
            <w:r>
              <w:rPr>
                <w:rFonts w:ascii="Arial" w:cs="Arial" w:eastAsia="Arial" w:hAnsi="Arial"/>
                <w:sz w:val="16"/>
                <w:szCs w:val="16"/>
                <w:color w:val="auto"/>
              </w:rPr>
              <w:t>Due to unconsolidated affiliates</w:t>
            </w:r>
          </w:p>
        </w:tc>
        <w:tc>
          <w:tcPr>
            <w:tcW w:w="220" w:type="dxa"/>
            <w:vAlign w:val="bottom"/>
            <w:shd w:val="clear" w:color="auto" w:fill="D4F1F5"/>
          </w:tcPr>
          <w:p>
            <w:pPr>
              <w:spacing w:after="0"/>
              <w:rPr>
                <w:sz w:val="18"/>
                <w:szCs w:val="18"/>
                <w:color w:val="auto"/>
              </w:rPr>
            </w:pPr>
          </w:p>
        </w:tc>
        <w:tc>
          <w:tcPr>
            <w:tcW w:w="1240" w:type="dxa"/>
            <w:vAlign w:val="bottom"/>
            <w:shd w:val="clear" w:color="auto" w:fill="D4F1F5"/>
          </w:tcPr>
          <w:p>
            <w:pPr>
              <w:jc w:val="right"/>
              <w:ind w:right="40"/>
              <w:spacing w:after="0"/>
              <w:rPr>
                <w:sz w:val="20"/>
                <w:szCs w:val="20"/>
                <w:color w:val="auto"/>
              </w:rPr>
            </w:pPr>
            <w:r>
              <w:rPr>
                <w:rFonts w:ascii="Arial" w:cs="Arial" w:eastAsia="Arial" w:hAnsi="Arial"/>
                <w:sz w:val="16"/>
                <w:szCs w:val="16"/>
                <w:color w:val="auto"/>
              </w:rPr>
              <w:t>70</w:t>
            </w:r>
          </w:p>
        </w:tc>
        <w:tc>
          <w:tcPr>
            <w:tcW w:w="240" w:type="dxa"/>
            <w:vAlign w:val="bottom"/>
            <w:shd w:val="clear" w:color="auto" w:fill="D4F1F5"/>
          </w:tcPr>
          <w:p>
            <w:pPr>
              <w:spacing w:after="0"/>
              <w:rPr>
                <w:sz w:val="18"/>
                <w:szCs w:val="18"/>
                <w:color w:val="auto"/>
              </w:rPr>
            </w:pPr>
          </w:p>
        </w:tc>
        <w:tc>
          <w:tcPr>
            <w:tcW w:w="1240" w:type="dxa"/>
            <w:vAlign w:val="bottom"/>
            <w:shd w:val="clear" w:color="auto" w:fill="D4F1F5"/>
          </w:tcPr>
          <w:p>
            <w:pPr>
              <w:jc w:val="right"/>
              <w:spacing w:after="0"/>
              <w:rPr>
                <w:sz w:val="20"/>
                <w:szCs w:val="20"/>
                <w:color w:val="auto"/>
              </w:rPr>
            </w:pPr>
            <w:r>
              <w:rPr>
                <w:rFonts w:ascii="Arial" w:cs="Arial" w:eastAsia="Arial" w:hAnsi="Arial"/>
                <w:sz w:val="16"/>
                <w:szCs w:val="16"/>
                <w:color w:val="auto"/>
              </w:rPr>
              <w:t>59</w:t>
            </w:r>
          </w:p>
        </w:tc>
        <w:tc>
          <w:tcPr>
            <w:tcW w:w="0" w:type="dxa"/>
            <w:vAlign w:val="bottom"/>
          </w:tcPr>
          <w:p>
            <w:pPr>
              <w:spacing w:after="0"/>
              <w:rPr>
                <w:sz w:val="1"/>
                <w:szCs w:val="1"/>
                <w:color w:val="auto"/>
              </w:rPr>
            </w:pPr>
          </w:p>
        </w:tc>
      </w:tr>
      <w:tr>
        <w:trPr>
          <w:trHeight w:val="215"/>
        </w:trPr>
        <w:tc>
          <w:tcPr>
            <w:tcW w:w="8300" w:type="dxa"/>
            <w:vAlign w:val="bottom"/>
          </w:tcPr>
          <w:p>
            <w:pPr>
              <w:ind w:left="240"/>
              <w:spacing w:after="0"/>
              <w:rPr>
                <w:sz w:val="20"/>
                <w:szCs w:val="20"/>
                <w:color w:val="auto"/>
              </w:rPr>
            </w:pPr>
            <w:r>
              <w:rPr>
                <w:rFonts w:ascii="Arial" w:cs="Arial" w:eastAsia="Arial" w:hAnsi="Arial"/>
                <w:sz w:val="16"/>
                <w:szCs w:val="16"/>
                <w:color w:val="auto"/>
              </w:rPr>
              <w:t>Interest payable</w:t>
            </w:r>
          </w:p>
        </w:tc>
        <w:tc>
          <w:tcPr>
            <w:tcW w:w="220" w:type="dxa"/>
            <w:vAlign w:val="bottom"/>
          </w:tcPr>
          <w:p>
            <w:pPr>
              <w:spacing w:after="0"/>
              <w:rPr>
                <w:sz w:val="18"/>
                <w:szCs w:val="18"/>
                <w:color w:val="auto"/>
              </w:rPr>
            </w:pPr>
          </w:p>
        </w:tc>
        <w:tc>
          <w:tcPr>
            <w:tcW w:w="1240" w:type="dxa"/>
            <w:vAlign w:val="bottom"/>
          </w:tcPr>
          <w:p>
            <w:pPr>
              <w:jc w:val="right"/>
              <w:ind w:right="40"/>
              <w:spacing w:after="0"/>
              <w:rPr>
                <w:sz w:val="20"/>
                <w:szCs w:val="20"/>
                <w:color w:val="auto"/>
              </w:rPr>
            </w:pPr>
            <w:r>
              <w:rPr>
                <w:rFonts w:ascii="Arial" w:cs="Arial" w:eastAsia="Arial" w:hAnsi="Arial"/>
                <w:sz w:val="16"/>
                <w:szCs w:val="16"/>
                <w:color w:val="auto"/>
              </w:rPr>
              <w:t>137</w:t>
            </w:r>
          </w:p>
        </w:tc>
        <w:tc>
          <w:tcPr>
            <w:tcW w:w="2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94</w:t>
            </w:r>
          </w:p>
        </w:tc>
        <w:tc>
          <w:tcPr>
            <w:tcW w:w="0" w:type="dxa"/>
            <w:vAlign w:val="bottom"/>
          </w:tcPr>
          <w:p>
            <w:pPr>
              <w:spacing w:after="0"/>
              <w:rPr>
                <w:sz w:val="1"/>
                <w:szCs w:val="1"/>
                <w:color w:val="auto"/>
              </w:rPr>
            </w:pPr>
          </w:p>
        </w:tc>
      </w:tr>
      <w:tr>
        <w:trPr>
          <w:trHeight w:val="217"/>
        </w:trPr>
        <w:tc>
          <w:tcPr>
            <w:tcW w:w="8300" w:type="dxa"/>
            <w:vAlign w:val="bottom"/>
            <w:shd w:val="clear" w:color="auto" w:fill="D4F1F5"/>
          </w:tcPr>
          <w:p>
            <w:pPr>
              <w:ind w:left="240"/>
              <w:spacing w:after="0"/>
              <w:rPr>
                <w:sz w:val="20"/>
                <w:szCs w:val="20"/>
                <w:color w:val="auto"/>
              </w:rPr>
            </w:pPr>
            <w:r>
              <w:rPr>
                <w:rFonts w:ascii="Arial" w:cs="Arial" w:eastAsia="Arial" w:hAnsi="Arial"/>
                <w:sz w:val="16"/>
                <w:szCs w:val="16"/>
                <w:color w:val="auto"/>
              </w:rPr>
              <w:t>Accrued compensation and benefits</w:t>
            </w:r>
          </w:p>
        </w:tc>
        <w:tc>
          <w:tcPr>
            <w:tcW w:w="220" w:type="dxa"/>
            <w:vAlign w:val="bottom"/>
            <w:shd w:val="clear" w:color="auto" w:fill="D4F1F5"/>
          </w:tcPr>
          <w:p>
            <w:pPr>
              <w:spacing w:after="0"/>
              <w:rPr>
                <w:sz w:val="18"/>
                <w:szCs w:val="18"/>
                <w:color w:val="auto"/>
              </w:rPr>
            </w:pPr>
          </w:p>
        </w:tc>
        <w:tc>
          <w:tcPr>
            <w:tcW w:w="1240" w:type="dxa"/>
            <w:vAlign w:val="bottom"/>
            <w:shd w:val="clear" w:color="auto" w:fill="D4F1F5"/>
          </w:tcPr>
          <w:p>
            <w:pPr>
              <w:jc w:val="right"/>
              <w:ind w:right="40"/>
              <w:spacing w:after="0"/>
              <w:rPr>
                <w:sz w:val="20"/>
                <w:szCs w:val="20"/>
                <w:color w:val="auto"/>
              </w:rPr>
            </w:pPr>
            <w:r>
              <w:rPr>
                <w:rFonts w:ascii="Arial" w:cs="Arial" w:eastAsia="Arial" w:hAnsi="Arial"/>
                <w:sz w:val="16"/>
                <w:szCs w:val="16"/>
                <w:color w:val="auto"/>
              </w:rPr>
              <w:t>85</w:t>
            </w:r>
          </w:p>
        </w:tc>
        <w:tc>
          <w:tcPr>
            <w:tcW w:w="240" w:type="dxa"/>
            <w:vAlign w:val="bottom"/>
            <w:shd w:val="clear" w:color="auto" w:fill="D4F1F5"/>
          </w:tcPr>
          <w:p>
            <w:pPr>
              <w:spacing w:after="0"/>
              <w:rPr>
                <w:sz w:val="18"/>
                <w:szCs w:val="18"/>
                <w:color w:val="auto"/>
              </w:rPr>
            </w:pPr>
          </w:p>
        </w:tc>
        <w:tc>
          <w:tcPr>
            <w:tcW w:w="1240" w:type="dxa"/>
            <w:vAlign w:val="bottom"/>
            <w:shd w:val="clear" w:color="auto" w:fill="D4F1F5"/>
          </w:tcPr>
          <w:p>
            <w:pPr>
              <w:jc w:val="right"/>
              <w:spacing w:after="0"/>
              <w:rPr>
                <w:sz w:val="20"/>
                <w:szCs w:val="20"/>
                <w:color w:val="auto"/>
              </w:rPr>
            </w:pPr>
            <w:r>
              <w:rPr>
                <w:rFonts w:ascii="Arial" w:cs="Arial" w:eastAsia="Arial" w:hAnsi="Arial"/>
                <w:sz w:val="16"/>
                <w:szCs w:val="16"/>
                <w:color w:val="auto"/>
              </w:rPr>
              <w:t>174</w:t>
            </w:r>
          </w:p>
        </w:tc>
        <w:tc>
          <w:tcPr>
            <w:tcW w:w="0" w:type="dxa"/>
            <w:vAlign w:val="bottom"/>
          </w:tcPr>
          <w:p>
            <w:pPr>
              <w:spacing w:after="0"/>
              <w:rPr>
                <w:sz w:val="1"/>
                <w:szCs w:val="1"/>
                <w:color w:val="auto"/>
              </w:rPr>
            </w:pPr>
          </w:p>
        </w:tc>
      </w:tr>
      <w:tr>
        <w:trPr>
          <w:trHeight w:val="215"/>
        </w:trPr>
        <w:tc>
          <w:tcPr>
            <w:tcW w:w="8300" w:type="dxa"/>
            <w:vAlign w:val="bottom"/>
          </w:tcPr>
          <w:p>
            <w:pPr>
              <w:ind w:left="240"/>
              <w:spacing w:after="0"/>
              <w:rPr>
                <w:sz w:val="20"/>
                <w:szCs w:val="20"/>
                <w:color w:val="auto"/>
              </w:rPr>
            </w:pPr>
            <w:r>
              <w:rPr>
                <w:rFonts w:ascii="Arial" w:cs="Arial" w:eastAsia="Arial" w:hAnsi="Arial"/>
                <w:sz w:val="16"/>
                <w:szCs w:val="16"/>
                <w:color w:val="auto"/>
              </w:rPr>
              <w:t>Regulatory liabilities</w:t>
            </w:r>
          </w:p>
        </w:tc>
        <w:tc>
          <w:tcPr>
            <w:tcW w:w="220" w:type="dxa"/>
            <w:vAlign w:val="bottom"/>
          </w:tcPr>
          <w:p>
            <w:pPr>
              <w:spacing w:after="0"/>
              <w:rPr>
                <w:sz w:val="18"/>
                <w:szCs w:val="18"/>
                <w:color w:val="auto"/>
              </w:rPr>
            </w:pPr>
          </w:p>
        </w:tc>
        <w:tc>
          <w:tcPr>
            <w:tcW w:w="1240" w:type="dxa"/>
            <w:vAlign w:val="bottom"/>
          </w:tcPr>
          <w:p>
            <w:pPr>
              <w:jc w:val="right"/>
              <w:ind w:right="40"/>
              <w:spacing w:after="0"/>
              <w:rPr>
                <w:sz w:val="20"/>
                <w:szCs w:val="20"/>
                <w:color w:val="auto"/>
              </w:rPr>
            </w:pPr>
            <w:r>
              <w:rPr>
                <w:rFonts w:ascii="Arial" w:cs="Arial" w:eastAsia="Arial" w:hAnsi="Arial"/>
                <w:sz w:val="16"/>
                <w:szCs w:val="16"/>
                <w:color w:val="auto"/>
              </w:rPr>
              <w:t>3</w:t>
            </w:r>
          </w:p>
        </w:tc>
        <w:tc>
          <w:tcPr>
            <w:tcW w:w="2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17"/>
        </w:trPr>
        <w:tc>
          <w:tcPr>
            <w:tcW w:w="8300" w:type="dxa"/>
            <w:vAlign w:val="bottom"/>
            <w:shd w:val="clear" w:color="auto" w:fill="D4F1F5"/>
          </w:tcPr>
          <w:p>
            <w:pPr>
              <w:ind w:left="240"/>
              <w:spacing w:after="0"/>
              <w:rPr>
                <w:sz w:val="20"/>
                <w:szCs w:val="20"/>
                <w:color w:val="auto"/>
              </w:rPr>
            </w:pPr>
            <w:r>
              <w:rPr>
                <w:rFonts w:ascii="Arial" w:cs="Arial" w:eastAsia="Arial" w:hAnsi="Arial"/>
                <w:sz w:val="16"/>
                <w:szCs w:val="16"/>
                <w:color w:val="auto"/>
              </w:rPr>
              <w:t>Current portion of long-term debt and finance leases</w:t>
            </w:r>
          </w:p>
        </w:tc>
        <w:tc>
          <w:tcPr>
            <w:tcW w:w="220" w:type="dxa"/>
            <w:vAlign w:val="bottom"/>
            <w:shd w:val="clear" w:color="auto" w:fill="D4F1F5"/>
          </w:tcPr>
          <w:p>
            <w:pPr>
              <w:spacing w:after="0"/>
              <w:rPr>
                <w:sz w:val="18"/>
                <w:szCs w:val="18"/>
                <w:color w:val="auto"/>
              </w:rPr>
            </w:pPr>
          </w:p>
        </w:tc>
        <w:tc>
          <w:tcPr>
            <w:tcW w:w="1240" w:type="dxa"/>
            <w:vAlign w:val="bottom"/>
            <w:shd w:val="clear" w:color="auto" w:fill="D4F1F5"/>
          </w:tcPr>
          <w:p>
            <w:pPr>
              <w:jc w:val="right"/>
              <w:ind w:right="40"/>
              <w:spacing w:after="0"/>
              <w:rPr>
                <w:sz w:val="20"/>
                <w:szCs w:val="20"/>
                <w:color w:val="auto"/>
              </w:rPr>
            </w:pPr>
            <w:r>
              <w:rPr>
                <w:rFonts w:ascii="Arial" w:cs="Arial" w:eastAsia="Arial" w:hAnsi="Arial"/>
                <w:sz w:val="16"/>
                <w:szCs w:val="16"/>
                <w:color w:val="auto"/>
              </w:rPr>
              <w:t>799</w:t>
            </w:r>
          </w:p>
        </w:tc>
        <w:tc>
          <w:tcPr>
            <w:tcW w:w="240" w:type="dxa"/>
            <w:vAlign w:val="bottom"/>
            <w:shd w:val="clear" w:color="auto" w:fill="D4F1F5"/>
          </w:tcPr>
          <w:p>
            <w:pPr>
              <w:spacing w:after="0"/>
              <w:rPr>
                <w:sz w:val="18"/>
                <w:szCs w:val="18"/>
                <w:color w:val="auto"/>
              </w:rPr>
            </w:pPr>
          </w:p>
        </w:tc>
        <w:tc>
          <w:tcPr>
            <w:tcW w:w="1240" w:type="dxa"/>
            <w:vAlign w:val="bottom"/>
            <w:shd w:val="clear" w:color="auto" w:fill="D4F1F5"/>
          </w:tcPr>
          <w:p>
            <w:pPr>
              <w:jc w:val="right"/>
              <w:spacing w:after="0"/>
              <w:rPr>
                <w:sz w:val="20"/>
                <w:szCs w:val="20"/>
                <w:color w:val="auto"/>
              </w:rPr>
            </w:pPr>
            <w:r>
              <w:rPr>
                <w:rFonts w:ascii="Arial" w:cs="Arial" w:eastAsia="Arial" w:hAnsi="Arial"/>
                <w:sz w:val="16"/>
                <w:szCs w:val="16"/>
                <w:color w:val="auto"/>
              </w:rPr>
              <w:t>798</w:t>
            </w:r>
          </w:p>
        </w:tc>
        <w:tc>
          <w:tcPr>
            <w:tcW w:w="0" w:type="dxa"/>
            <w:vAlign w:val="bottom"/>
          </w:tcPr>
          <w:p>
            <w:pPr>
              <w:spacing w:after="0"/>
              <w:rPr>
                <w:sz w:val="1"/>
                <w:szCs w:val="1"/>
                <w:color w:val="auto"/>
              </w:rPr>
            </w:pPr>
          </w:p>
        </w:tc>
      </w:tr>
      <w:tr>
        <w:trPr>
          <w:trHeight w:val="215"/>
        </w:trPr>
        <w:tc>
          <w:tcPr>
            <w:tcW w:w="8300" w:type="dxa"/>
            <w:vAlign w:val="bottom"/>
          </w:tcPr>
          <w:p>
            <w:pPr>
              <w:ind w:left="240"/>
              <w:spacing w:after="0"/>
              <w:rPr>
                <w:sz w:val="20"/>
                <w:szCs w:val="20"/>
                <w:color w:val="auto"/>
              </w:rPr>
            </w:pPr>
            <w:r>
              <w:rPr>
                <w:rFonts w:ascii="Arial" w:cs="Arial" w:eastAsia="Arial" w:hAnsi="Arial"/>
                <w:sz w:val="16"/>
                <w:szCs w:val="16"/>
                <w:color w:val="auto"/>
              </w:rPr>
              <w:t>Greenhouse gas obligations</w:t>
            </w:r>
          </w:p>
        </w:tc>
        <w:tc>
          <w:tcPr>
            <w:tcW w:w="220" w:type="dxa"/>
            <w:vAlign w:val="bottom"/>
          </w:tcPr>
          <w:p>
            <w:pPr>
              <w:spacing w:after="0"/>
              <w:rPr>
                <w:sz w:val="18"/>
                <w:szCs w:val="18"/>
                <w:color w:val="auto"/>
              </w:rPr>
            </w:pPr>
          </w:p>
        </w:tc>
        <w:tc>
          <w:tcPr>
            <w:tcW w:w="1240" w:type="dxa"/>
            <w:vAlign w:val="bottom"/>
          </w:tcPr>
          <w:p>
            <w:pPr>
              <w:jc w:val="right"/>
              <w:ind w:right="40"/>
              <w:spacing w:after="0"/>
              <w:rPr>
                <w:sz w:val="20"/>
                <w:szCs w:val="20"/>
                <w:color w:val="auto"/>
              </w:rPr>
            </w:pPr>
            <w:r>
              <w:rPr>
                <w:rFonts w:ascii="Arial" w:cs="Arial" w:eastAsia="Arial" w:hAnsi="Arial"/>
                <w:sz w:val="16"/>
                <w:szCs w:val="16"/>
                <w:color w:val="auto"/>
              </w:rPr>
              <w:t>24</w:t>
            </w:r>
          </w:p>
        </w:tc>
        <w:tc>
          <w:tcPr>
            <w:tcW w:w="2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28</w:t>
            </w:r>
          </w:p>
        </w:tc>
        <w:tc>
          <w:tcPr>
            <w:tcW w:w="0" w:type="dxa"/>
            <w:vAlign w:val="bottom"/>
          </w:tcPr>
          <w:p>
            <w:pPr>
              <w:spacing w:after="0"/>
              <w:rPr>
                <w:sz w:val="1"/>
                <w:szCs w:val="1"/>
                <w:color w:val="auto"/>
              </w:rPr>
            </w:pPr>
          </w:p>
        </w:tc>
      </w:tr>
      <w:tr>
        <w:trPr>
          <w:trHeight w:val="217"/>
        </w:trPr>
        <w:tc>
          <w:tcPr>
            <w:tcW w:w="8300" w:type="dxa"/>
            <w:vAlign w:val="bottom"/>
            <w:shd w:val="clear" w:color="auto" w:fill="D4F1F5"/>
          </w:tcPr>
          <w:p>
            <w:pPr>
              <w:ind w:left="240"/>
              <w:spacing w:after="0"/>
              <w:rPr>
                <w:sz w:val="20"/>
                <w:szCs w:val="20"/>
                <w:color w:val="auto"/>
              </w:rPr>
            </w:pPr>
            <w:r>
              <w:rPr>
                <w:rFonts w:ascii="Arial" w:cs="Arial" w:eastAsia="Arial" w:hAnsi="Arial"/>
                <w:sz w:val="16"/>
                <w:szCs w:val="16"/>
                <w:color w:val="auto"/>
              </w:rPr>
              <w:t>Asset retirement obligations</w:t>
            </w:r>
          </w:p>
        </w:tc>
        <w:tc>
          <w:tcPr>
            <w:tcW w:w="220" w:type="dxa"/>
            <w:vAlign w:val="bottom"/>
            <w:shd w:val="clear" w:color="auto" w:fill="D4F1F5"/>
          </w:tcPr>
          <w:p>
            <w:pPr>
              <w:spacing w:after="0"/>
              <w:rPr>
                <w:sz w:val="18"/>
                <w:szCs w:val="18"/>
                <w:color w:val="auto"/>
              </w:rPr>
            </w:pPr>
          </w:p>
        </w:tc>
        <w:tc>
          <w:tcPr>
            <w:tcW w:w="1240" w:type="dxa"/>
            <w:vAlign w:val="bottom"/>
            <w:shd w:val="clear" w:color="auto" w:fill="D4F1F5"/>
          </w:tcPr>
          <w:p>
            <w:pPr>
              <w:jc w:val="right"/>
              <w:ind w:right="40"/>
              <w:spacing w:after="0"/>
              <w:rPr>
                <w:sz w:val="20"/>
                <w:szCs w:val="20"/>
                <w:color w:val="auto"/>
              </w:rPr>
            </w:pPr>
            <w:r>
              <w:rPr>
                <w:rFonts w:ascii="Arial" w:cs="Arial" w:eastAsia="Arial" w:hAnsi="Arial"/>
                <w:sz w:val="16"/>
                <w:szCs w:val="16"/>
                <w:color w:val="auto"/>
              </w:rPr>
              <w:t>109</w:t>
            </w:r>
          </w:p>
        </w:tc>
        <w:tc>
          <w:tcPr>
            <w:tcW w:w="240" w:type="dxa"/>
            <w:vAlign w:val="bottom"/>
            <w:shd w:val="clear" w:color="auto" w:fill="D4F1F5"/>
          </w:tcPr>
          <w:p>
            <w:pPr>
              <w:spacing w:after="0"/>
              <w:rPr>
                <w:sz w:val="18"/>
                <w:szCs w:val="18"/>
                <w:color w:val="auto"/>
              </w:rPr>
            </w:pPr>
          </w:p>
        </w:tc>
        <w:tc>
          <w:tcPr>
            <w:tcW w:w="1240" w:type="dxa"/>
            <w:vAlign w:val="bottom"/>
            <w:shd w:val="clear" w:color="auto" w:fill="D4F1F5"/>
          </w:tcPr>
          <w:p>
            <w:pPr>
              <w:jc w:val="right"/>
              <w:spacing w:after="0"/>
              <w:rPr>
                <w:sz w:val="20"/>
                <w:szCs w:val="20"/>
                <w:color w:val="auto"/>
              </w:rPr>
            </w:pPr>
            <w:r>
              <w:rPr>
                <w:rFonts w:ascii="Arial" w:cs="Arial" w:eastAsia="Arial" w:hAnsi="Arial"/>
                <w:sz w:val="16"/>
                <w:szCs w:val="16"/>
                <w:color w:val="auto"/>
              </w:rPr>
              <w:t>107</w:t>
            </w:r>
          </w:p>
        </w:tc>
        <w:tc>
          <w:tcPr>
            <w:tcW w:w="0" w:type="dxa"/>
            <w:vAlign w:val="bottom"/>
          </w:tcPr>
          <w:p>
            <w:pPr>
              <w:spacing w:after="0"/>
              <w:rPr>
                <w:sz w:val="1"/>
                <w:szCs w:val="1"/>
                <w:color w:val="auto"/>
              </w:rPr>
            </w:pPr>
          </w:p>
        </w:tc>
      </w:tr>
      <w:tr>
        <w:trPr>
          <w:trHeight w:val="215"/>
        </w:trPr>
        <w:tc>
          <w:tcPr>
            <w:tcW w:w="8300" w:type="dxa"/>
            <w:vAlign w:val="bottom"/>
            <w:tcBorders>
              <w:bottom w:val="single" w:sz="8" w:color="D4F1F5"/>
            </w:tcBorders>
          </w:tcPr>
          <w:p>
            <w:pPr>
              <w:ind w:left="240"/>
              <w:spacing w:after="0"/>
              <w:rPr>
                <w:sz w:val="20"/>
                <w:szCs w:val="20"/>
                <w:color w:val="auto"/>
              </w:rPr>
            </w:pPr>
            <w:r>
              <w:rPr>
                <w:rFonts w:ascii="Arial" w:cs="Arial" w:eastAsia="Arial" w:hAnsi="Arial"/>
                <w:sz w:val="16"/>
                <w:szCs w:val="16"/>
                <w:color w:val="auto"/>
              </w:rPr>
              <w:t>Other current liabilities</w:t>
            </w:r>
          </w:p>
        </w:tc>
        <w:tc>
          <w:tcPr>
            <w:tcW w:w="2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340</w:t>
            </w:r>
          </w:p>
        </w:tc>
        <w:tc>
          <w:tcPr>
            <w:tcW w:w="2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273</w:t>
            </w:r>
          </w:p>
        </w:tc>
        <w:tc>
          <w:tcPr>
            <w:tcW w:w="0" w:type="dxa"/>
            <w:vAlign w:val="bottom"/>
          </w:tcPr>
          <w:p>
            <w:pPr>
              <w:spacing w:after="0"/>
              <w:rPr>
                <w:sz w:val="1"/>
                <w:szCs w:val="1"/>
                <w:color w:val="auto"/>
              </w:rPr>
            </w:pPr>
          </w:p>
        </w:tc>
      </w:tr>
      <w:tr>
        <w:trPr>
          <w:trHeight w:val="210"/>
        </w:trPr>
        <w:tc>
          <w:tcPr>
            <w:tcW w:w="8300" w:type="dxa"/>
            <w:vAlign w:val="bottom"/>
            <w:shd w:val="clear" w:color="auto" w:fill="D4F1F5"/>
          </w:tcPr>
          <w:p>
            <w:pPr>
              <w:ind w:left="460"/>
              <w:spacing w:after="0"/>
              <w:rPr>
                <w:sz w:val="20"/>
                <w:szCs w:val="20"/>
                <w:color w:val="auto"/>
              </w:rPr>
            </w:pPr>
            <w:r>
              <w:rPr>
                <w:rFonts w:ascii="Arial" w:cs="Arial" w:eastAsia="Arial" w:hAnsi="Arial"/>
                <w:sz w:val="16"/>
                <w:szCs w:val="16"/>
                <w:color w:val="auto"/>
              </w:rPr>
              <w:t>Total current liabilities</w:t>
            </w:r>
          </w:p>
        </w:tc>
        <w:tc>
          <w:tcPr>
            <w:tcW w:w="220" w:type="dxa"/>
            <w:vAlign w:val="bottom"/>
            <w:tcBorders>
              <w:bottom w:val="single" w:sz="8" w:color="auto"/>
            </w:tcBorders>
            <w:shd w:val="clear" w:color="auto" w:fill="D4F1F5"/>
          </w:tcPr>
          <w:p>
            <w:pPr>
              <w:spacing w:after="0"/>
              <w:rPr>
                <w:sz w:val="18"/>
                <w:szCs w:val="18"/>
                <w:color w:val="auto"/>
              </w:rPr>
            </w:pPr>
          </w:p>
        </w:tc>
        <w:tc>
          <w:tcPr>
            <w:tcW w:w="1240" w:type="dxa"/>
            <w:vAlign w:val="bottom"/>
            <w:tcBorders>
              <w:bottom w:val="single" w:sz="8" w:color="auto"/>
            </w:tcBorders>
            <w:shd w:val="clear" w:color="auto" w:fill="D4F1F5"/>
          </w:tcPr>
          <w:p>
            <w:pPr>
              <w:jc w:val="right"/>
              <w:ind w:right="40"/>
              <w:spacing w:after="0"/>
              <w:rPr>
                <w:sz w:val="20"/>
                <w:szCs w:val="20"/>
                <w:color w:val="auto"/>
              </w:rPr>
            </w:pPr>
            <w:r>
              <w:rPr>
                <w:rFonts w:ascii="Arial" w:cs="Arial" w:eastAsia="Arial" w:hAnsi="Arial"/>
                <w:sz w:val="16"/>
                <w:szCs w:val="16"/>
                <w:color w:val="auto"/>
              </w:rPr>
              <w:t>2,224</w:t>
            </w:r>
          </w:p>
        </w:tc>
        <w:tc>
          <w:tcPr>
            <w:tcW w:w="240" w:type="dxa"/>
            <w:vAlign w:val="bottom"/>
            <w:tcBorders>
              <w:bottom w:val="single" w:sz="8" w:color="auto"/>
            </w:tcBorders>
            <w:shd w:val="clear" w:color="auto" w:fill="D4F1F5"/>
          </w:tcPr>
          <w:p>
            <w:pPr>
              <w:spacing w:after="0"/>
              <w:rPr>
                <w:sz w:val="18"/>
                <w:szCs w:val="18"/>
                <w:color w:val="auto"/>
              </w:rPr>
            </w:pPr>
          </w:p>
        </w:tc>
        <w:tc>
          <w:tcPr>
            <w:tcW w:w="1240" w:type="dxa"/>
            <w:vAlign w:val="bottom"/>
            <w:tcBorders>
              <w:bottom w:val="single" w:sz="8" w:color="auto"/>
            </w:tcBorders>
            <w:shd w:val="clear" w:color="auto" w:fill="D4F1F5"/>
          </w:tcPr>
          <w:p>
            <w:pPr>
              <w:jc w:val="right"/>
              <w:spacing w:after="0"/>
              <w:rPr>
                <w:sz w:val="20"/>
                <w:szCs w:val="20"/>
                <w:color w:val="auto"/>
              </w:rPr>
            </w:pPr>
            <w:r>
              <w:rPr>
                <w:rFonts w:ascii="Arial" w:cs="Arial" w:eastAsia="Arial" w:hAnsi="Arial"/>
                <w:sz w:val="16"/>
                <w:szCs w:val="16"/>
                <w:color w:val="auto"/>
              </w:rPr>
              <w:t>2,821</w:t>
            </w:r>
          </w:p>
        </w:tc>
        <w:tc>
          <w:tcPr>
            <w:tcW w:w="0" w:type="dxa"/>
            <w:vAlign w:val="bottom"/>
          </w:tcPr>
          <w:p>
            <w:pPr>
              <w:spacing w:after="0"/>
              <w:rPr>
                <w:sz w:val="1"/>
                <w:szCs w:val="1"/>
                <w:color w:val="auto"/>
              </w:rPr>
            </w:pPr>
          </w:p>
        </w:tc>
      </w:tr>
      <w:tr>
        <w:trPr>
          <w:trHeight w:val="197"/>
        </w:trPr>
        <w:tc>
          <w:tcPr>
            <w:tcW w:w="8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8300" w:type="dxa"/>
            <w:vAlign w:val="bottom"/>
            <w:shd w:val="clear" w:color="auto" w:fill="D4F1F5"/>
          </w:tcPr>
          <w:p>
            <w:pPr>
              <w:ind w:left="20"/>
              <w:spacing w:after="0"/>
              <w:rPr>
                <w:sz w:val="20"/>
                <w:szCs w:val="20"/>
                <w:color w:val="auto"/>
              </w:rPr>
            </w:pPr>
            <w:r>
              <w:rPr>
                <w:rFonts w:ascii="Arial" w:cs="Arial" w:eastAsia="Arial" w:hAnsi="Arial"/>
                <w:sz w:val="16"/>
                <w:szCs w:val="16"/>
                <w:color w:val="auto"/>
              </w:rPr>
              <w:t>Long-term debt and finance leases</w:t>
            </w:r>
          </w:p>
        </w:tc>
        <w:tc>
          <w:tcPr>
            <w:tcW w:w="220" w:type="dxa"/>
            <w:vAlign w:val="bottom"/>
            <w:tcBorders>
              <w:bottom w:val="single" w:sz="8" w:color="auto"/>
            </w:tcBorders>
            <w:shd w:val="clear" w:color="auto" w:fill="D4F1F5"/>
          </w:tcPr>
          <w:p>
            <w:pPr>
              <w:spacing w:after="0"/>
              <w:rPr>
                <w:sz w:val="18"/>
                <w:szCs w:val="18"/>
                <w:color w:val="auto"/>
              </w:rPr>
            </w:pPr>
          </w:p>
        </w:tc>
        <w:tc>
          <w:tcPr>
            <w:tcW w:w="1240" w:type="dxa"/>
            <w:vAlign w:val="bottom"/>
            <w:tcBorders>
              <w:bottom w:val="single" w:sz="8" w:color="auto"/>
            </w:tcBorders>
            <w:shd w:val="clear" w:color="auto" w:fill="D4F1F5"/>
          </w:tcPr>
          <w:p>
            <w:pPr>
              <w:jc w:val="right"/>
              <w:ind w:right="40"/>
              <w:spacing w:after="0"/>
              <w:rPr>
                <w:sz w:val="20"/>
                <w:szCs w:val="20"/>
                <w:color w:val="auto"/>
              </w:rPr>
            </w:pPr>
            <w:r>
              <w:rPr>
                <w:rFonts w:ascii="Arial" w:cs="Arial" w:eastAsia="Arial" w:hAnsi="Arial"/>
                <w:sz w:val="16"/>
                <w:szCs w:val="16"/>
                <w:color w:val="auto"/>
              </w:rPr>
              <w:t>11,159</w:t>
            </w:r>
          </w:p>
        </w:tc>
        <w:tc>
          <w:tcPr>
            <w:tcW w:w="240" w:type="dxa"/>
            <w:vAlign w:val="bottom"/>
            <w:tcBorders>
              <w:bottom w:val="single" w:sz="8" w:color="auto"/>
            </w:tcBorders>
            <w:shd w:val="clear" w:color="auto" w:fill="D4F1F5"/>
          </w:tcPr>
          <w:p>
            <w:pPr>
              <w:spacing w:after="0"/>
              <w:rPr>
                <w:sz w:val="18"/>
                <w:szCs w:val="18"/>
                <w:color w:val="auto"/>
              </w:rPr>
            </w:pPr>
          </w:p>
        </w:tc>
        <w:tc>
          <w:tcPr>
            <w:tcW w:w="1240" w:type="dxa"/>
            <w:vAlign w:val="bottom"/>
            <w:tcBorders>
              <w:bottom w:val="single" w:sz="8" w:color="auto"/>
            </w:tcBorders>
            <w:shd w:val="clear" w:color="auto" w:fill="D4F1F5"/>
          </w:tcPr>
          <w:p>
            <w:pPr>
              <w:jc w:val="right"/>
              <w:spacing w:after="0"/>
              <w:rPr>
                <w:sz w:val="20"/>
                <w:szCs w:val="20"/>
                <w:color w:val="auto"/>
              </w:rPr>
            </w:pPr>
            <w:r>
              <w:rPr>
                <w:rFonts w:ascii="Arial" w:cs="Arial" w:eastAsia="Arial" w:hAnsi="Arial"/>
                <w:sz w:val="16"/>
                <w:szCs w:val="16"/>
                <w:color w:val="auto"/>
              </w:rPr>
              <w:t>10,081</w:t>
            </w:r>
          </w:p>
        </w:tc>
        <w:tc>
          <w:tcPr>
            <w:tcW w:w="0" w:type="dxa"/>
            <w:vAlign w:val="bottom"/>
          </w:tcPr>
          <w:p>
            <w:pPr>
              <w:spacing w:after="0"/>
              <w:rPr>
                <w:sz w:val="1"/>
                <w:szCs w:val="1"/>
                <w:color w:val="auto"/>
              </w:rPr>
            </w:pPr>
          </w:p>
        </w:tc>
      </w:tr>
      <w:tr>
        <w:trPr>
          <w:trHeight w:val="197"/>
        </w:trPr>
        <w:tc>
          <w:tcPr>
            <w:tcW w:w="8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300" w:type="dxa"/>
            <w:vAlign w:val="bottom"/>
            <w:shd w:val="clear" w:color="auto" w:fill="D4F1F5"/>
          </w:tcPr>
          <w:p>
            <w:pPr>
              <w:ind w:left="20"/>
              <w:spacing w:after="0"/>
              <w:rPr>
                <w:sz w:val="20"/>
                <w:szCs w:val="20"/>
                <w:color w:val="auto"/>
              </w:rPr>
            </w:pPr>
            <w:r>
              <w:rPr>
                <w:rFonts w:ascii="Arial" w:cs="Arial" w:eastAsia="Arial" w:hAnsi="Arial"/>
                <w:sz w:val="16"/>
                <w:szCs w:val="16"/>
                <w:color w:val="auto"/>
              </w:rPr>
              <w:t>Deferred credits and other liabilities:</w:t>
            </w:r>
          </w:p>
        </w:tc>
        <w:tc>
          <w:tcPr>
            <w:tcW w:w="220" w:type="dxa"/>
            <w:vAlign w:val="bottom"/>
            <w:shd w:val="clear" w:color="auto" w:fill="D4F1F5"/>
          </w:tcPr>
          <w:p>
            <w:pPr>
              <w:spacing w:after="0"/>
              <w:rPr>
                <w:sz w:val="18"/>
                <w:szCs w:val="18"/>
                <w:color w:val="auto"/>
              </w:rPr>
            </w:pPr>
          </w:p>
        </w:tc>
        <w:tc>
          <w:tcPr>
            <w:tcW w:w="1240" w:type="dxa"/>
            <w:vAlign w:val="bottom"/>
            <w:shd w:val="clear" w:color="auto" w:fill="D4F1F5"/>
          </w:tcPr>
          <w:p>
            <w:pPr>
              <w:spacing w:after="0"/>
              <w:rPr>
                <w:sz w:val="18"/>
                <w:szCs w:val="18"/>
                <w:color w:val="auto"/>
              </w:rPr>
            </w:pPr>
          </w:p>
        </w:tc>
        <w:tc>
          <w:tcPr>
            <w:tcW w:w="240" w:type="dxa"/>
            <w:vAlign w:val="bottom"/>
            <w:shd w:val="clear" w:color="auto" w:fill="D4F1F5"/>
          </w:tcPr>
          <w:p>
            <w:pPr>
              <w:spacing w:after="0"/>
              <w:rPr>
                <w:sz w:val="18"/>
                <w:szCs w:val="18"/>
                <w:color w:val="auto"/>
              </w:rPr>
            </w:pPr>
          </w:p>
        </w:tc>
        <w:tc>
          <w:tcPr>
            <w:tcW w:w="1240" w:type="dxa"/>
            <w:vAlign w:val="bottom"/>
            <w:shd w:val="clear" w:color="auto" w:fill="D4F1F5"/>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8300" w:type="dxa"/>
            <w:vAlign w:val="bottom"/>
          </w:tcPr>
          <w:p>
            <w:pPr>
              <w:ind w:left="240"/>
              <w:spacing w:after="0"/>
              <w:rPr>
                <w:sz w:val="20"/>
                <w:szCs w:val="20"/>
                <w:color w:val="auto"/>
              </w:rPr>
            </w:pPr>
            <w:r>
              <w:rPr>
                <w:rFonts w:ascii="Arial" w:cs="Arial" w:eastAsia="Arial" w:hAnsi="Arial"/>
                <w:sz w:val="16"/>
                <w:szCs w:val="16"/>
                <w:color w:val="auto"/>
              </w:rPr>
              <w:t>Regulatory liabilities</w:t>
            </w:r>
          </w:p>
        </w:tc>
        <w:tc>
          <w:tcPr>
            <w:tcW w:w="220" w:type="dxa"/>
            <w:vAlign w:val="bottom"/>
          </w:tcPr>
          <w:p>
            <w:pPr>
              <w:spacing w:after="0"/>
              <w:rPr>
                <w:sz w:val="18"/>
                <w:szCs w:val="18"/>
                <w:color w:val="auto"/>
              </w:rPr>
            </w:pPr>
          </w:p>
        </w:tc>
        <w:tc>
          <w:tcPr>
            <w:tcW w:w="1240" w:type="dxa"/>
            <w:vAlign w:val="bottom"/>
          </w:tcPr>
          <w:p>
            <w:pPr>
              <w:jc w:val="right"/>
              <w:ind w:right="40"/>
              <w:spacing w:after="0"/>
              <w:rPr>
                <w:sz w:val="20"/>
                <w:szCs w:val="20"/>
                <w:color w:val="auto"/>
              </w:rPr>
            </w:pPr>
            <w:r>
              <w:rPr>
                <w:rFonts w:ascii="Arial" w:cs="Arial" w:eastAsia="Arial" w:hAnsi="Arial"/>
                <w:sz w:val="16"/>
                <w:szCs w:val="16"/>
                <w:color w:val="auto"/>
              </w:rPr>
              <w:t>3,003</w:t>
            </w:r>
          </w:p>
        </w:tc>
        <w:tc>
          <w:tcPr>
            <w:tcW w:w="2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2,960</w:t>
            </w:r>
          </w:p>
        </w:tc>
        <w:tc>
          <w:tcPr>
            <w:tcW w:w="0" w:type="dxa"/>
            <w:vAlign w:val="bottom"/>
          </w:tcPr>
          <w:p>
            <w:pPr>
              <w:spacing w:after="0"/>
              <w:rPr>
                <w:sz w:val="1"/>
                <w:szCs w:val="1"/>
                <w:color w:val="auto"/>
              </w:rPr>
            </w:pPr>
          </w:p>
        </w:tc>
      </w:tr>
      <w:tr>
        <w:trPr>
          <w:trHeight w:val="217"/>
        </w:trPr>
        <w:tc>
          <w:tcPr>
            <w:tcW w:w="8300" w:type="dxa"/>
            <w:vAlign w:val="bottom"/>
            <w:shd w:val="clear" w:color="auto" w:fill="D4F1F5"/>
          </w:tcPr>
          <w:p>
            <w:pPr>
              <w:ind w:left="240"/>
              <w:spacing w:after="0"/>
              <w:rPr>
                <w:sz w:val="20"/>
                <w:szCs w:val="20"/>
                <w:color w:val="auto"/>
              </w:rPr>
            </w:pPr>
            <w:r>
              <w:rPr>
                <w:rFonts w:ascii="Arial" w:cs="Arial" w:eastAsia="Arial" w:hAnsi="Arial"/>
                <w:sz w:val="16"/>
                <w:szCs w:val="16"/>
                <w:color w:val="auto"/>
              </w:rPr>
              <w:t>Greenhouse gas obligations</w:t>
            </w:r>
          </w:p>
        </w:tc>
        <w:tc>
          <w:tcPr>
            <w:tcW w:w="220" w:type="dxa"/>
            <w:vAlign w:val="bottom"/>
            <w:shd w:val="clear" w:color="auto" w:fill="D4F1F5"/>
          </w:tcPr>
          <w:p>
            <w:pPr>
              <w:spacing w:after="0"/>
              <w:rPr>
                <w:sz w:val="18"/>
                <w:szCs w:val="18"/>
                <w:color w:val="auto"/>
              </w:rPr>
            </w:pPr>
          </w:p>
        </w:tc>
        <w:tc>
          <w:tcPr>
            <w:tcW w:w="1240" w:type="dxa"/>
            <w:vAlign w:val="bottom"/>
            <w:shd w:val="clear" w:color="auto" w:fill="D4F1F5"/>
          </w:tcPr>
          <w:p>
            <w:pPr>
              <w:jc w:val="right"/>
              <w:ind w:right="40"/>
              <w:spacing w:after="0"/>
              <w:rPr>
                <w:sz w:val="20"/>
                <w:szCs w:val="20"/>
                <w:color w:val="auto"/>
              </w:rPr>
            </w:pPr>
            <w:r>
              <w:rPr>
                <w:rFonts w:ascii="Arial" w:cs="Arial" w:eastAsia="Arial" w:hAnsi="Arial"/>
                <w:sz w:val="16"/>
                <w:szCs w:val="16"/>
                <w:color w:val="auto"/>
              </w:rPr>
              <w:t>140</w:t>
            </w:r>
          </w:p>
        </w:tc>
        <w:tc>
          <w:tcPr>
            <w:tcW w:w="240" w:type="dxa"/>
            <w:vAlign w:val="bottom"/>
            <w:shd w:val="clear" w:color="auto" w:fill="D4F1F5"/>
          </w:tcPr>
          <w:p>
            <w:pPr>
              <w:spacing w:after="0"/>
              <w:rPr>
                <w:sz w:val="18"/>
                <w:szCs w:val="18"/>
                <w:color w:val="auto"/>
              </w:rPr>
            </w:pPr>
          </w:p>
        </w:tc>
        <w:tc>
          <w:tcPr>
            <w:tcW w:w="1240" w:type="dxa"/>
            <w:vAlign w:val="bottom"/>
            <w:shd w:val="clear" w:color="auto" w:fill="D4F1F5"/>
          </w:tcPr>
          <w:p>
            <w:pPr>
              <w:jc w:val="right"/>
              <w:spacing w:after="0"/>
              <w:rPr>
                <w:sz w:val="20"/>
                <w:szCs w:val="20"/>
                <w:color w:val="auto"/>
              </w:rPr>
            </w:pPr>
            <w:r>
              <w:rPr>
                <w:rFonts w:ascii="Arial" w:cs="Arial" w:eastAsia="Arial" w:hAnsi="Arial"/>
                <w:sz w:val="16"/>
                <w:szCs w:val="16"/>
                <w:color w:val="auto"/>
              </w:rPr>
              <w:t>137</w:t>
            </w:r>
          </w:p>
        </w:tc>
        <w:tc>
          <w:tcPr>
            <w:tcW w:w="0" w:type="dxa"/>
            <w:vAlign w:val="bottom"/>
          </w:tcPr>
          <w:p>
            <w:pPr>
              <w:spacing w:after="0"/>
              <w:rPr>
                <w:sz w:val="1"/>
                <w:szCs w:val="1"/>
                <w:color w:val="auto"/>
              </w:rPr>
            </w:pPr>
          </w:p>
        </w:tc>
      </w:tr>
      <w:tr>
        <w:trPr>
          <w:trHeight w:val="215"/>
        </w:trPr>
        <w:tc>
          <w:tcPr>
            <w:tcW w:w="8300" w:type="dxa"/>
            <w:vAlign w:val="bottom"/>
          </w:tcPr>
          <w:p>
            <w:pPr>
              <w:ind w:left="240"/>
              <w:spacing w:after="0"/>
              <w:rPr>
                <w:sz w:val="20"/>
                <w:szCs w:val="20"/>
                <w:color w:val="auto"/>
              </w:rPr>
            </w:pPr>
            <w:r>
              <w:rPr>
                <w:rFonts w:ascii="Arial" w:cs="Arial" w:eastAsia="Arial" w:hAnsi="Arial"/>
                <w:sz w:val="16"/>
                <w:szCs w:val="16"/>
                <w:color w:val="auto"/>
              </w:rPr>
              <w:t>Pension obligation, net of plan assets</w:t>
            </w:r>
          </w:p>
        </w:tc>
        <w:tc>
          <w:tcPr>
            <w:tcW w:w="220" w:type="dxa"/>
            <w:vAlign w:val="bottom"/>
          </w:tcPr>
          <w:p>
            <w:pPr>
              <w:spacing w:after="0"/>
              <w:rPr>
                <w:sz w:val="18"/>
                <w:szCs w:val="18"/>
                <w:color w:val="auto"/>
              </w:rPr>
            </w:pPr>
          </w:p>
        </w:tc>
        <w:tc>
          <w:tcPr>
            <w:tcW w:w="1240" w:type="dxa"/>
            <w:vAlign w:val="bottom"/>
          </w:tcPr>
          <w:p>
            <w:pPr>
              <w:jc w:val="right"/>
              <w:ind w:right="40"/>
              <w:spacing w:after="0"/>
              <w:rPr>
                <w:sz w:val="20"/>
                <w:szCs w:val="20"/>
                <w:color w:val="auto"/>
              </w:rPr>
            </w:pPr>
            <w:r>
              <w:rPr>
                <w:rFonts w:ascii="Arial" w:cs="Arial" w:eastAsia="Arial" w:hAnsi="Arial"/>
                <w:sz w:val="16"/>
                <w:szCs w:val="16"/>
                <w:color w:val="auto"/>
              </w:rPr>
              <w:t>30</w:t>
            </w:r>
          </w:p>
        </w:tc>
        <w:tc>
          <w:tcPr>
            <w:tcW w:w="2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19</w:t>
            </w:r>
          </w:p>
        </w:tc>
        <w:tc>
          <w:tcPr>
            <w:tcW w:w="0" w:type="dxa"/>
            <w:vAlign w:val="bottom"/>
          </w:tcPr>
          <w:p>
            <w:pPr>
              <w:spacing w:after="0"/>
              <w:rPr>
                <w:sz w:val="1"/>
                <w:szCs w:val="1"/>
                <w:color w:val="auto"/>
              </w:rPr>
            </w:pPr>
          </w:p>
        </w:tc>
      </w:tr>
      <w:tr>
        <w:trPr>
          <w:trHeight w:val="217"/>
        </w:trPr>
        <w:tc>
          <w:tcPr>
            <w:tcW w:w="8300" w:type="dxa"/>
            <w:vAlign w:val="bottom"/>
            <w:shd w:val="clear" w:color="auto" w:fill="D4F1F5"/>
          </w:tcPr>
          <w:p>
            <w:pPr>
              <w:ind w:left="240"/>
              <w:spacing w:after="0"/>
              <w:rPr>
                <w:sz w:val="20"/>
                <w:szCs w:val="20"/>
                <w:color w:val="auto"/>
              </w:rPr>
            </w:pPr>
            <w:r>
              <w:rPr>
                <w:rFonts w:ascii="Arial" w:cs="Arial" w:eastAsia="Arial" w:hAnsi="Arial"/>
                <w:sz w:val="16"/>
                <w:szCs w:val="16"/>
                <w:color w:val="auto"/>
              </w:rPr>
              <w:t>Deferred income taxes</w:t>
            </w:r>
          </w:p>
        </w:tc>
        <w:tc>
          <w:tcPr>
            <w:tcW w:w="220" w:type="dxa"/>
            <w:vAlign w:val="bottom"/>
            <w:shd w:val="clear" w:color="auto" w:fill="D4F1F5"/>
          </w:tcPr>
          <w:p>
            <w:pPr>
              <w:spacing w:after="0"/>
              <w:rPr>
                <w:sz w:val="18"/>
                <w:szCs w:val="18"/>
                <w:color w:val="auto"/>
              </w:rPr>
            </w:pPr>
          </w:p>
        </w:tc>
        <w:tc>
          <w:tcPr>
            <w:tcW w:w="1240" w:type="dxa"/>
            <w:vAlign w:val="bottom"/>
            <w:shd w:val="clear" w:color="auto" w:fill="D4F1F5"/>
          </w:tcPr>
          <w:p>
            <w:pPr>
              <w:jc w:val="right"/>
              <w:ind w:right="40"/>
              <w:spacing w:after="0"/>
              <w:rPr>
                <w:sz w:val="20"/>
                <w:szCs w:val="20"/>
                <w:color w:val="auto"/>
              </w:rPr>
            </w:pPr>
            <w:r>
              <w:rPr>
                <w:rFonts w:ascii="Arial" w:cs="Arial" w:eastAsia="Arial" w:hAnsi="Arial"/>
                <w:sz w:val="16"/>
                <w:szCs w:val="16"/>
                <w:color w:val="auto"/>
              </w:rPr>
              <w:t>3,343</w:t>
            </w:r>
          </w:p>
        </w:tc>
        <w:tc>
          <w:tcPr>
            <w:tcW w:w="240" w:type="dxa"/>
            <w:vAlign w:val="bottom"/>
            <w:shd w:val="clear" w:color="auto" w:fill="D4F1F5"/>
          </w:tcPr>
          <w:p>
            <w:pPr>
              <w:spacing w:after="0"/>
              <w:rPr>
                <w:sz w:val="18"/>
                <w:szCs w:val="18"/>
                <w:color w:val="auto"/>
              </w:rPr>
            </w:pPr>
          </w:p>
        </w:tc>
        <w:tc>
          <w:tcPr>
            <w:tcW w:w="1240" w:type="dxa"/>
            <w:vAlign w:val="bottom"/>
            <w:shd w:val="clear" w:color="auto" w:fill="D4F1F5"/>
          </w:tcPr>
          <w:p>
            <w:pPr>
              <w:jc w:val="right"/>
              <w:spacing w:after="0"/>
              <w:rPr>
                <w:sz w:val="20"/>
                <w:szCs w:val="20"/>
                <w:color w:val="auto"/>
              </w:rPr>
            </w:pPr>
            <w:r>
              <w:rPr>
                <w:rFonts w:ascii="Arial" w:cs="Arial" w:eastAsia="Arial" w:hAnsi="Arial"/>
                <w:sz w:val="16"/>
                <w:szCs w:val="16"/>
                <w:color w:val="auto"/>
              </w:rPr>
              <w:t>3,286</w:t>
            </w:r>
          </w:p>
        </w:tc>
        <w:tc>
          <w:tcPr>
            <w:tcW w:w="0" w:type="dxa"/>
            <w:vAlign w:val="bottom"/>
          </w:tcPr>
          <w:p>
            <w:pPr>
              <w:spacing w:after="0"/>
              <w:rPr>
                <w:sz w:val="1"/>
                <w:szCs w:val="1"/>
                <w:color w:val="auto"/>
              </w:rPr>
            </w:pPr>
          </w:p>
        </w:tc>
      </w:tr>
      <w:tr>
        <w:trPr>
          <w:trHeight w:val="215"/>
        </w:trPr>
        <w:tc>
          <w:tcPr>
            <w:tcW w:w="8300" w:type="dxa"/>
            <w:vAlign w:val="bottom"/>
          </w:tcPr>
          <w:p>
            <w:pPr>
              <w:ind w:left="240"/>
              <w:spacing w:after="0"/>
              <w:rPr>
                <w:sz w:val="20"/>
                <w:szCs w:val="20"/>
                <w:color w:val="auto"/>
              </w:rPr>
            </w:pPr>
            <w:r>
              <w:rPr>
                <w:rFonts w:ascii="Arial" w:cs="Arial" w:eastAsia="Arial" w:hAnsi="Arial"/>
                <w:sz w:val="16"/>
                <w:szCs w:val="16"/>
                <w:color w:val="auto"/>
              </w:rPr>
              <w:t>Asset retirement obligations</w:t>
            </w:r>
          </w:p>
        </w:tc>
        <w:tc>
          <w:tcPr>
            <w:tcW w:w="220" w:type="dxa"/>
            <w:vAlign w:val="bottom"/>
          </w:tcPr>
          <w:p>
            <w:pPr>
              <w:spacing w:after="0"/>
              <w:rPr>
                <w:sz w:val="18"/>
                <w:szCs w:val="18"/>
                <w:color w:val="auto"/>
              </w:rPr>
            </w:pPr>
          </w:p>
        </w:tc>
        <w:tc>
          <w:tcPr>
            <w:tcW w:w="1240" w:type="dxa"/>
            <w:vAlign w:val="bottom"/>
          </w:tcPr>
          <w:p>
            <w:pPr>
              <w:jc w:val="right"/>
              <w:ind w:right="40"/>
              <w:spacing w:after="0"/>
              <w:rPr>
                <w:sz w:val="20"/>
                <w:szCs w:val="20"/>
                <w:color w:val="auto"/>
              </w:rPr>
            </w:pPr>
            <w:r>
              <w:rPr>
                <w:rFonts w:ascii="Arial" w:cs="Arial" w:eastAsia="Arial" w:hAnsi="Arial"/>
                <w:sz w:val="16"/>
                <w:szCs w:val="16"/>
                <w:color w:val="auto"/>
              </w:rPr>
              <w:t>747</w:t>
            </w:r>
          </w:p>
        </w:tc>
        <w:tc>
          <w:tcPr>
            <w:tcW w:w="2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746</w:t>
            </w:r>
          </w:p>
        </w:tc>
        <w:tc>
          <w:tcPr>
            <w:tcW w:w="0" w:type="dxa"/>
            <w:vAlign w:val="bottom"/>
          </w:tcPr>
          <w:p>
            <w:pPr>
              <w:spacing w:after="0"/>
              <w:rPr>
                <w:sz w:val="1"/>
                <w:szCs w:val="1"/>
                <w:color w:val="auto"/>
              </w:rPr>
            </w:pPr>
          </w:p>
        </w:tc>
      </w:tr>
      <w:tr>
        <w:trPr>
          <w:trHeight w:val="217"/>
        </w:trPr>
        <w:tc>
          <w:tcPr>
            <w:tcW w:w="8300" w:type="dxa"/>
            <w:vAlign w:val="bottom"/>
            <w:shd w:val="clear" w:color="auto" w:fill="D4F1F5"/>
          </w:tcPr>
          <w:p>
            <w:pPr>
              <w:ind w:left="240"/>
              <w:spacing w:after="0"/>
              <w:rPr>
                <w:sz w:val="20"/>
                <w:szCs w:val="20"/>
                <w:color w:val="auto"/>
              </w:rPr>
            </w:pPr>
            <w:r>
              <w:rPr>
                <w:rFonts w:ascii="Arial" w:cs="Arial" w:eastAsia="Arial" w:hAnsi="Arial"/>
                <w:sz w:val="16"/>
                <w:szCs w:val="16"/>
                <w:color w:val="auto"/>
              </w:rPr>
              <w:t>Deferred credits and other</w:t>
            </w:r>
          </w:p>
        </w:tc>
        <w:tc>
          <w:tcPr>
            <w:tcW w:w="220" w:type="dxa"/>
            <w:vAlign w:val="bottom"/>
            <w:tcBorders>
              <w:bottom w:val="single" w:sz="8" w:color="auto"/>
            </w:tcBorders>
            <w:shd w:val="clear" w:color="auto" w:fill="D4F1F5"/>
          </w:tcPr>
          <w:p>
            <w:pPr>
              <w:spacing w:after="0"/>
              <w:rPr>
                <w:sz w:val="18"/>
                <w:szCs w:val="18"/>
                <w:color w:val="auto"/>
              </w:rPr>
            </w:pPr>
          </w:p>
        </w:tc>
        <w:tc>
          <w:tcPr>
            <w:tcW w:w="1240" w:type="dxa"/>
            <w:vAlign w:val="bottom"/>
            <w:tcBorders>
              <w:bottom w:val="single" w:sz="8" w:color="auto"/>
            </w:tcBorders>
            <w:shd w:val="clear" w:color="auto" w:fill="D4F1F5"/>
          </w:tcPr>
          <w:p>
            <w:pPr>
              <w:jc w:val="right"/>
              <w:ind w:right="40"/>
              <w:spacing w:after="0"/>
              <w:rPr>
                <w:sz w:val="20"/>
                <w:szCs w:val="20"/>
                <w:color w:val="auto"/>
              </w:rPr>
            </w:pPr>
            <w:r>
              <w:rPr>
                <w:rFonts w:ascii="Arial" w:cs="Arial" w:eastAsia="Arial" w:hAnsi="Arial"/>
                <w:sz w:val="16"/>
                <w:szCs w:val="16"/>
                <w:color w:val="auto"/>
              </w:rPr>
              <w:t>1,668</w:t>
            </w:r>
          </w:p>
        </w:tc>
        <w:tc>
          <w:tcPr>
            <w:tcW w:w="240" w:type="dxa"/>
            <w:vAlign w:val="bottom"/>
            <w:tcBorders>
              <w:bottom w:val="single" w:sz="8" w:color="auto"/>
            </w:tcBorders>
            <w:shd w:val="clear" w:color="auto" w:fill="D4F1F5"/>
          </w:tcPr>
          <w:p>
            <w:pPr>
              <w:spacing w:after="0"/>
              <w:rPr>
                <w:sz w:val="18"/>
                <w:szCs w:val="18"/>
                <w:color w:val="auto"/>
              </w:rPr>
            </w:pPr>
          </w:p>
        </w:tc>
        <w:tc>
          <w:tcPr>
            <w:tcW w:w="1240" w:type="dxa"/>
            <w:vAlign w:val="bottom"/>
            <w:tcBorders>
              <w:bottom w:val="single" w:sz="8" w:color="auto"/>
            </w:tcBorders>
            <w:shd w:val="clear" w:color="auto" w:fill="D4F1F5"/>
          </w:tcPr>
          <w:p>
            <w:pPr>
              <w:jc w:val="right"/>
              <w:spacing w:after="0"/>
              <w:rPr>
                <w:sz w:val="20"/>
                <w:szCs w:val="20"/>
                <w:color w:val="auto"/>
              </w:rPr>
            </w:pPr>
            <w:r>
              <w:rPr>
                <w:rFonts w:ascii="Arial" w:cs="Arial" w:eastAsia="Arial" w:hAnsi="Arial"/>
                <w:sz w:val="16"/>
                <w:szCs w:val="16"/>
                <w:color w:val="auto"/>
              </w:rPr>
              <w:t>1,699</w:t>
            </w:r>
          </w:p>
        </w:tc>
        <w:tc>
          <w:tcPr>
            <w:tcW w:w="0" w:type="dxa"/>
            <w:vAlign w:val="bottom"/>
          </w:tcPr>
          <w:p>
            <w:pPr>
              <w:spacing w:after="0"/>
              <w:rPr>
                <w:sz w:val="1"/>
                <w:szCs w:val="1"/>
                <w:color w:val="auto"/>
              </w:rPr>
            </w:pPr>
          </w:p>
        </w:tc>
      </w:tr>
      <w:tr>
        <w:trPr>
          <w:trHeight w:val="209"/>
        </w:trPr>
        <w:tc>
          <w:tcPr>
            <w:tcW w:w="8300" w:type="dxa"/>
            <w:vAlign w:val="bottom"/>
            <w:tcBorders>
              <w:bottom w:val="single" w:sz="8" w:color="D4F1F5"/>
            </w:tcBorders>
          </w:tcPr>
          <w:p>
            <w:pPr>
              <w:ind w:left="460"/>
              <w:spacing w:after="0"/>
              <w:rPr>
                <w:sz w:val="20"/>
                <w:szCs w:val="20"/>
                <w:color w:val="auto"/>
              </w:rPr>
            </w:pPr>
            <w:r>
              <w:rPr>
                <w:rFonts w:ascii="Arial" w:cs="Arial" w:eastAsia="Arial" w:hAnsi="Arial"/>
                <w:sz w:val="16"/>
                <w:szCs w:val="16"/>
                <w:color w:val="auto"/>
              </w:rPr>
              <w:t>Total deferred credits and other liabilities</w:t>
            </w:r>
          </w:p>
        </w:tc>
        <w:tc>
          <w:tcPr>
            <w:tcW w:w="2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8,931</w:t>
            </w:r>
          </w:p>
        </w:tc>
        <w:tc>
          <w:tcPr>
            <w:tcW w:w="2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8,847</w:t>
            </w:r>
          </w:p>
        </w:tc>
        <w:tc>
          <w:tcPr>
            <w:tcW w:w="0" w:type="dxa"/>
            <w:vAlign w:val="bottom"/>
          </w:tcPr>
          <w:p>
            <w:pPr>
              <w:spacing w:after="0"/>
              <w:rPr>
                <w:sz w:val="1"/>
                <w:szCs w:val="1"/>
                <w:color w:val="auto"/>
              </w:rPr>
            </w:pPr>
          </w:p>
        </w:tc>
      </w:tr>
      <w:tr>
        <w:trPr>
          <w:trHeight w:val="197"/>
        </w:trPr>
        <w:tc>
          <w:tcPr>
            <w:tcW w:w="8300" w:type="dxa"/>
            <w:vAlign w:val="bottom"/>
            <w:shd w:val="clear" w:color="auto" w:fill="D4F1F5"/>
          </w:tcPr>
          <w:p>
            <w:pPr>
              <w:spacing w:after="0"/>
              <w:rPr>
                <w:sz w:val="17"/>
                <w:szCs w:val="17"/>
                <w:color w:val="auto"/>
              </w:rPr>
            </w:pPr>
          </w:p>
        </w:tc>
        <w:tc>
          <w:tcPr>
            <w:tcW w:w="220" w:type="dxa"/>
            <w:vAlign w:val="bottom"/>
            <w:shd w:val="clear" w:color="auto" w:fill="D4F1F5"/>
          </w:tcPr>
          <w:p>
            <w:pPr>
              <w:spacing w:after="0"/>
              <w:rPr>
                <w:sz w:val="17"/>
                <w:szCs w:val="17"/>
                <w:color w:val="auto"/>
              </w:rPr>
            </w:pPr>
          </w:p>
        </w:tc>
        <w:tc>
          <w:tcPr>
            <w:tcW w:w="1240" w:type="dxa"/>
            <w:vAlign w:val="bottom"/>
            <w:shd w:val="clear" w:color="auto" w:fill="D4F1F5"/>
          </w:tcPr>
          <w:p>
            <w:pPr>
              <w:spacing w:after="0"/>
              <w:rPr>
                <w:sz w:val="17"/>
                <w:szCs w:val="17"/>
                <w:color w:val="auto"/>
              </w:rPr>
            </w:pPr>
          </w:p>
        </w:tc>
        <w:tc>
          <w:tcPr>
            <w:tcW w:w="240" w:type="dxa"/>
            <w:vAlign w:val="bottom"/>
            <w:shd w:val="clear" w:color="auto" w:fill="D4F1F5"/>
          </w:tcPr>
          <w:p>
            <w:pPr>
              <w:spacing w:after="0"/>
              <w:rPr>
                <w:sz w:val="17"/>
                <w:szCs w:val="17"/>
                <w:color w:val="auto"/>
              </w:rPr>
            </w:pPr>
          </w:p>
        </w:tc>
        <w:tc>
          <w:tcPr>
            <w:tcW w:w="1240" w:type="dxa"/>
            <w:vAlign w:val="bottom"/>
            <w:shd w:val="clear" w:color="auto" w:fill="D4F1F5"/>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8300" w:type="dxa"/>
            <w:vAlign w:val="bottom"/>
          </w:tcPr>
          <w:p>
            <w:pPr>
              <w:ind w:left="20"/>
              <w:spacing w:after="0"/>
              <w:rPr>
                <w:sz w:val="20"/>
                <w:szCs w:val="20"/>
                <w:color w:val="auto"/>
              </w:rPr>
            </w:pPr>
            <w:r>
              <w:rPr>
                <w:rFonts w:ascii="Arial" w:cs="Arial" w:eastAsia="Arial" w:hAnsi="Arial"/>
                <w:sz w:val="16"/>
                <w:szCs w:val="16"/>
                <w:color w:val="auto"/>
              </w:rPr>
              <w:t>Commitments and contingencies (Note 13)</w:t>
            </w: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8300" w:type="dxa"/>
            <w:vAlign w:val="bottom"/>
            <w:shd w:val="clear" w:color="auto" w:fill="D4F1F5"/>
          </w:tcPr>
          <w:p>
            <w:pPr>
              <w:spacing w:after="0"/>
              <w:rPr>
                <w:sz w:val="18"/>
                <w:szCs w:val="18"/>
                <w:color w:val="auto"/>
              </w:rPr>
            </w:pPr>
          </w:p>
        </w:tc>
        <w:tc>
          <w:tcPr>
            <w:tcW w:w="220" w:type="dxa"/>
            <w:vAlign w:val="bottom"/>
            <w:shd w:val="clear" w:color="auto" w:fill="D4F1F5"/>
          </w:tcPr>
          <w:p>
            <w:pPr>
              <w:spacing w:after="0"/>
              <w:rPr>
                <w:sz w:val="18"/>
                <w:szCs w:val="18"/>
                <w:color w:val="auto"/>
              </w:rPr>
            </w:pPr>
          </w:p>
        </w:tc>
        <w:tc>
          <w:tcPr>
            <w:tcW w:w="1240" w:type="dxa"/>
            <w:vAlign w:val="bottom"/>
            <w:shd w:val="clear" w:color="auto" w:fill="D4F1F5"/>
          </w:tcPr>
          <w:p>
            <w:pPr>
              <w:spacing w:after="0"/>
              <w:rPr>
                <w:sz w:val="18"/>
                <w:szCs w:val="18"/>
                <w:color w:val="auto"/>
              </w:rPr>
            </w:pPr>
          </w:p>
        </w:tc>
        <w:tc>
          <w:tcPr>
            <w:tcW w:w="240" w:type="dxa"/>
            <w:vAlign w:val="bottom"/>
            <w:shd w:val="clear" w:color="auto" w:fill="D4F1F5"/>
          </w:tcPr>
          <w:p>
            <w:pPr>
              <w:spacing w:after="0"/>
              <w:rPr>
                <w:sz w:val="18"/>
                <w:szCs w:val="18"/>
                <w:color w:val="auto"/>
              </w:rPr>
            </w:pPr>
          </w:p>
        </w:tc>
        <w:tc>
          <w:tcPr>
            <w:tcW w:w="1240" w:type="dxa"/>
            <w:vAlign w:val="bottom"/>
            <w:shd w:val="clear" w:color="auto" w:fill="D4F1F5"/>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8300" w:type="dxa"/>
            <w:vAlign w:val="bottom"/>
          </w:tcPr>
          <w:p>
            <w:pPr>
              <w:ind w:left="20"/>
              <w:spacing w:after="0"/>
              <w:rPr>
                <w:sz w:val="20"/>
                <w:szCs w:val="20"/>
                <w:color w:val="auto"/>
              </w:rPr>
            </w:pPr>
            <w:r>
              <w:rPr>
                <w:rFonts w:ascii="Arial" w:cs="Arial" w:eastAsia="Arial" w:hAnsi="Arial"/>
                <w:sz w:val="16"/>
                <w:szCs w:val="16"/>
                <w:color w:val="auto"/>
              </w:rPr>
              <w:t>Shareholder’s equity:</w:t>
            </w: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8300" w:type="dxa"/>
            <w:vAlign w:val="bottom"/>
            <w:shd w:val="clear" w:color="auto" w:fill="D4F1F5"/>
          </w:tcPr>
          <w:p>
            <w:pPr>
              <w:ind w:left="240"/>
              <w:spacing w:after="0"/>
              <w:rPr>
                <w:sz w:val="20"/>
                <w:szCs w:val="20"/>
                <w:color w:val="auto"/>
              </w:rPr>
            </w:pPr>
            <w:r>
              <w:rPr>
                <w:rFonts w:ascii="Arial" w:cs="Arial" w:eastAsia="Arial" w:hAnsi="Arial"/>
                <w:sz w:val="16"/>
                <w:szCs w:val="16"/>
                <w:color w:val="auto"/>
              </w:rPr>
              <w:t>Preferred stock (45,000,000 shares authorized; none issued)</w:t>
            </w:r>
          </w:p>
        </w:tc>
        <w:tc>
          <w:tcPr>
            <w:tcW w:w="220" w:type="dxa"/>
            <w:vAlign w:val="bottom"/>
            <w:shd w:val="clear" w:color="auto" w:fill="D4F1F5"/>
          </w:tcPr>
          <w:p>
            <w:pPr>
              <w:spacing w:after="0"/>
              <w:rPr>
                <w:sz w:val="18"/>
                <w:szCs w:val="18"/>
                <w:color w:val="auto"/>
              </w:rPr>
            </w:pPr>
          </w:p>
        </w:tc>
        <w:tc>
          <w:tcPr>
            <w:tcW w:w="1240" w:type="dxa"/>
            <w:vAlign w:val="bottom"/>
            <w:shd w:val="clear" w:color="auto" w:fill="D4F1F5"/>
          </w:tcPr>
          <w:p>
            <w:pPr>
              <w:jc w:val="right"/>
              <w:ind w:right="40"/>
              <w:spacing w:after="0"/>
              <w:rPr>
                <w:sz w:val="20"/>
                <w:szCs w:val="20"/>
                <w:color w:val="auto"/>
              </w:rPr>
            </w:pPr>
            <w:r>
              <w:rPr>
                <w:rFonts w:ascii="Arial" w:cs="Arial" w:eastAsia="Arial" w:hAnsi="Arial"/>
                <w:sz w:val="16"/>
                <w:szCs w:val="16"/>
                <w:color w:val="auto"/>
              </w:rPr>
              <w:t>—</w:t>
            </w:r>
          </w:p>
        </w:tc>
        <w:tc>
          <w:tcPr>
            <w:tcW w:w="240" w:type="dxa"/>
            <w:vAlign w:val="bottom"/>
            <w:shd w:val="clear" w:color="auto" w:fill="D4F1F5"/>
          </w:tcPr>
          <w:p>
            <w:pPr>
              <w:spacing w:after="0"/>
              <w:rPr>
                <w:sz w:val="18"/>
                <w:szCs w:val="18"/>
                <w:color w:val="auto"/>
              </w:rPr>
            </w:pPr>
          </w:p>
        </w:tc>
        <w:tc>
          <w:tcPr>
            <w:tcW w:w="1240" w:type="dxa"/>
            <w:vAlign w:val="bottom"/>
            <w:shd w:val="clear" w:color="auto" w:fill="D4F1F5"/>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62"/>
        </w:trPr>
        <w:tc>
          <w:tcPr>
            <w:tcW w:w="8300" w:type="dxa"/>
            <w:vAlign w:val="bottom"/>
          </w:tcPr>
          <w:p>
            <w:pPr>
              <w:ind w:left="240"/>
              <w:spacing w:after="0" w:line="162" w:lineRule="exact"/>
              <w:rPr>
                <w:sz w:val="20"/>
                <w:szCs w:val="20"/>
                <w:color w:val="auto"/>
              </w:rPr>
            </w:pPr>
            <w:r>
              <w:rPr>
                <w:rFonts w:ascii="Arial" w:cs="Arial" w:eastAsia="Arial" w:hAnsi="Arial"/>
                <w:sz w:val="16"/>
                <w:szCs w:val="16"/>
                <w:color w:val="auto"/>
              </w:rPr>
              <w:t>Common stock (255,000,000 shares authorized; 116,583,358 shares outstanding;</w:t>
            </w:r>
          </w:p>
        </w:tc>
        <w:tc>
          <w:tcPr>
            <w:tcW w:w="220" w:type="dxa"/>
            <w:vAlign w:val="bottom"/>
          </w:tcPr>
          <w:p>
            <w:pPr>
              <w:spacing w:after="0"/>
              <w:rPr>
                <w:sz w:val="14"/>
                <w:szCs w:val="14"/>
                <w:color w:val="auto"/>
              </w:rPr>
            </w:pPr>
          </w:p>
        </w:tc>
        <w:tc>
          <w:tcPr>
            <w:tcW w:w="1240" w:type="dxa"/>
            <w:vAlign w:val="bottom"/>
            <w:vMerge w:val="restart"/>
          </w:tcPr>
          <w:p>
            <w:pPr>
              <w:jc w:val="right"/>
              <w:ind w:right="40"/>
              <w:spacing w:after="0"/>
              <w:rPr>
                <w:sz w:val="20"/>
                <w:szCs w:val="20"/>
                <w:color w:val="auto"/>
              </w:rPr>
            </w:pPr>
            <w:r>
              <w:rPr>
                <w:rFonts w:ascii="Arial" w:cs="Arial" w:eastAsia="Arial" w:hAnsi="Arial"/>
                <w:sz w:val="16"/>
                <w:szCs w:val="16"/>
                <w:color w:val="auto"/>
              </w:rPr>
              <w:t>1,660</w:t>
            </w:r>
          </w:p>
        </w:tc>
        <w:tc>
          <w:tcPr>
            <w:tcW w:w="240" w:type="dxa"/>
            <w:vAlign w:val="bottom"/>
          </w:tcPr>
          <w:p>
            <w:pPr>
              <w:spacing w:after="0"/>
              <w:rPr>
                <w:sz w:val="14"/>
                <w:szCs w:val="14"/>
                <w:color w:val="auto"/>
              </w:rPr>
            </w:pPr>
          </w:p>
        </w:tc>
        <w:tc>
          <w:tcPr>
            <w:tcW w:w="1240" w:type="dxa"/>
            <w:vAlign w:val="bottom"/>
            <w:vMerge w:val="restart"/>
          </w:tcPr>
          <w:p>
            <w:pPr>
              <w:jc w:val="right"/>
              <w:spacing w:after="0"/>
              <w:rPr>
                <w:sz w:val="20"/>
                <w:szCs w:val="20"/>
                <w:color w:val="auto"/>
              </w:rPr>
            </w:pPr>
            <w:r>
              <w:rPr>
                <w:rFonts w:ascii="Arial" w:cs="Arial" w:eastAsia="Arial" w:hAnsi="Arial"/>
                <w:sz w:val="16"/>
                <w:szCs w:val="16"/>
                <w:color w:val="auto"/>
              </w:rPr>
              <w:t>1,660</w:t>
            </w:r>
          </w:p>
        </w:tc>
        <w:tc>
          <w:tcPr>
            <w:tcW w:w="0" w:type="dxa"/>
            <w:vAlign w:val="bottom"/>
          </w:tcPr>
          <w:p>
            <w:pPr>
              <w:spacing w:after="0"/>
              <w:rPr>
                <w:sz w:val="1"/>
                <w:szCs w:val="1"/>
                <w:color w:val="auto"/>
              </w:rPr>
            </w:pPr>
          </w:p>
        </w:tc>
      </w:tr>
      <w:tr>
        <w:trPr>
          <w:trHeight w:val="215"/>
        </w:trPr>
        <w:tc>
          <w:tcPr>
            <w:tcW w:w="8300" w:type="dxa"/>
            <w:vAlign w:val="bottom"/>
          </w:tcPr>
          <w:p>
            <w:pPr>
              <w:ind w:left="360"/>
              <w:spacing w:after="0"/>
              <w:rPr>
                <w:sz w:val="20"/>
                <w:szCs w:val="20"/>
                <w:color w:val="auto"/>
              </w:rPr>
            </w:pPr>
            <w:r>
              <w:rPr>
                <w:rFonts w:ascii="Arial" w:cs="Arial" w:eastAsia="Arial" w:hAnsi="Arial"/>
                <w:sz w:val="16"/>
                <w:szCs w:val="16"/>
                <w:color w:val="auto"/>
              </w:rPr>
              <w:t>no par value)</w:t>
            </w:r>
          </w:p>
        </w:tc>
        <w:tc>
          <w:tcPr>
            <w:tcW w:w="220" w:type="dxa"/>
            <w:vAlign w:val="bottom"/>
          </w:tcPr>
          <w:p>
            <w:pPr>
              <w:spacing w:after="0"/>
              <w:rPr>
                <w:sz w:val="18"/>
                <w:szCs w:val="18"/>
                <w:color w:val="auto"/>
              </w:rPr>
            </w:pPr>
          </w:p>
        </w:tc>
        <w:tc>
          <w:tcPr>
            <w:tcW w:w="124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8300" w:type="dxa"/>
            <w:vAlign w:val="bottom"/>
            <w:shd w:val="clear" w:color="auto" w:fill="D4F1F5"/>
          </w:tcPr>
          <w:p>
            <w:pPr>
              <w:ind w:left="240"/>
              <w:spacing w:after="0"/>
              <w:rPr>
                <w:sz w:val="20"/>
                <w:szCs w:val="20"/>
                <w:color w:val="auto"/>
              </w:rPr>
            </w:pPr>
            <w:r>
              <w:rPr>
                <w:rFonts w:ascii="Arial" w:cs="Arial" w:eastAsia="Arial" w:hAnsi="Arial"/>
                <w:sz w:val="16"/>
                <w:szCs w:val="16"/>
                <w:color w:val="auto"/>
              </w:rPr>
              <w:t>Retained earnings</w:t>
            </w:r>
          </w:p>
        </w:tc>
        <w:tc>
          <w:tcPr>
            <w:tcW w:w="220" w:type="dxa"/>
            <w:vAlign w:val="bottom"/>
            <w:shd w:val="clear" w:color="auto" w:fill="D4F1F5"/>
          </w:tcPr>
          <w:p>
            <w:pPr>
              <w:spacing w:after="0"/>
              <w:rPr>
                <w:sz w:val="18"/>
                <w:szCs w:val="18"/>
                <w:color w:val="auto"/>
              </w:rPr>
            </w:pPr>
          </w:p>
        </w:tc>
        <w:tc>
          <w:tcPr>
            <w:tcW w:w="1240" w:type="dxa"/>
            <w:vAlign w:val="bottom"/>
            <w:shd w:val="clear" w:color="auto" w:fill="D4F1F5"/>
          </w:tcPr>
          <w:p>
            <w:pPr>
              <w:jc w:val="right"/>
              <w:ind w:right="40"/>
              <w:spacing w:after="0"/>
              <w:rPr>
                <w:sz w:val="20"/>
                <w:szCs w:val="20"/>
                <w:color w:val="auto"/>
              </w:rPr>
            </w:pPr>
            <w:r>
              <w:rPr>
                <w:rFonts w:ascii="Arial" w:cs="Arial" w:eastAsia="Arial" w:hAnsi="Arial"/>
                <w:sz w:val="16"/>
                <w:szCs w:val="16"/>
                <w:color w:val="auto"/>
              </w:rPr>
              <w:t>9,575</w:t>
            </w:r>
          </w:p>
        </w:tc>
        <w:tc>
          <w:tcPr>
            <w:tcW w:w="240" w:type="dxa"/>
            <w:vAlign w:val="bottom"/>
            <w:shd w:val="clear" w:color="auto" w:fill="D4F1F5"/>
          </w:tcPr>
          <w:p>
            <w:pPr>
              <w:spacing w:after="0"/>
              <w:rPr>
                <w:sz w:val="18"/>
                <w:szCs w:val="18"/>
                <w:color w:val="auto"/>
              </w:rPr>
            </w:pPr>
          </w:p>
        </w:tc>
        <w:tc>
          <w:tcPr>
            <w:tcW w:w="1240" w:type="dxa"/>
            <w:vAlign w:val="bottom"/>
            <w:shd w:val="clear" w:color="auto" w:fill="D4F1F5"/>
          </w:tcPr>
          <w:p>
            <w:pPr>
              <w:jc w:val="right"/>
              <w:spacing w:after="0"/>
              <w:rPr>
                <w:sz w:val="20"/>
                <w:szCs w:val="20"/>
                <w:color w:val="auto"/>
              </w:rPr>
            </w:pPr>
            <w:r>
              <w:rPr>
                <w:rFonts w:ascii="Arial" w:cs="Arial" w:eastAsia="Arial" w:hAnsi="Arial"/>
                <w:sz w:val="16"/>
                <w:szCs w:val="16"/>
                <w:color w:val="auto"/>
              </w:rPr>
              <w:t>9,279</w:t>
            </w:r>
          </w:p>
        </w:tc>
        <w:tc>
          <w:tcPr>
            <w:tcW w:w="0" w:type="dxa"/>
            <w:vAlign w:val="bottom"/>
          </w:tcPr>
          <w:p>
            <w:pPr>
              <w:spacing w:after="0"/>
              <w:rPr>
                <w:sz w:val="1"/>
                <w:szCs w:val="1"/>
                <w:color w:val="auto"/>
              </w:rPr>
            </w:pPr>
          </w:p>
        </w:tc>
      </w:tr>
      <w:tr>
        <w:trPr>
          <w:trHeight w:val="215"/>
        </w:trPr>
        <w:tc>
          <w:tcPr>
            <w:tcW w:w="8300" w:type="dxa"/>
            <w:vAlign w:val="bottom"/>
            <w:tcBorders>
              <w:bottom w:val="single" w:sz="8" w:color="D4F1F5"/>
            </w:tcBorders>
          </w:tcPr>
          <w:p>
            <w:pPr>
              <w:ind w:left="240"/>
              <w:spacing w:after="0"/>
              <w:rPr>
                <w:sz w:val="20"/>
                <w:szCs w:val="20"/>
                <w:color w:val="auto"/>
              </w:rPr>
            </w:pPr>
            <w:r>
              <w:rPr>
                <w:rFonts w:ascii="Arial" w:cs="Arial" w:eastAsia="Arial" w:hAnsi="Arial"/>
                <w:sz w:val="16"/>
                <w:szCs w:val="16"/>
                <w:color w:val="auto"/>
              </w:rPr>
              <w:t>Accumulated other comprehensive income (loss)</w:t>
            </w:r>
          </w:p>
        </w:tc>
        <w:tc>
          <w:tcPr>
            <w:tcW w:w="2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w:t>
            </w:r>
          </w:p>
        </w:tc>
        <w:tc>
          <w:tcPr>
            <w:tcW w:w="2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210"/>
        </w:trPr>
        <w:tc>
          <w:tcPr>
            <w:tcW w:w="8300" w:type="dxa"/>
            <w:vAlign w:val="bottom"/>
            <w:shd w:val="clear" w:color="auto" w:fill="D4F1F5"/>
          </w:tcPr>
          <w:p>
            <w:pPr>
              <w:ind w:left="460"/>
              <w:spacing w:after="0"/>
              <w:rPr>
                <w:sz w:val="20"/>
                <w:szCs w:val="20"/>
                <w:color w:val="auto"/>
              </w:rPr>
            </w:pPr>
            <w:r>
              <w:rPr>
                <w:rFonts w:ascii="Arial" w:cs="Arial" w:eastAsia="Arial" w:hAnsi="Arial"/>
                <w:sz w:val="16"/>
                <w:szCs w:val="16"/>
                <w:color w:val="auto"/>
              </w:rPr>
              <w:t>Total shareholder’s equity</w:t>
            </w:r>
          </w:p>
        </w:tc>
        <w:tc>
          <w:tcPr>
            <w:tcW w:w="220" w:type="dxa"/>
            <w:vAlign w:val="bottom"/>
            <w:tcBorders>
              <w:bottom w:val="single" w:sz="8" w:color="auto"/>
            </w:tcBorders>
            <w:shd w:val="clear" w:color="auto" w:fill="D4F1F5"/>
          </w:tcPr>
          <w:p>
            <w:pPr>
              <w:spacing w:after="0"/>
              <w:rPr>
                <w:sz w:val="18"/>
                <w:szCs w:val="18"/>
                <w:color w:val="auto"/>
              </w:rPr>
            </w:pPr>
          </w:p>
        </w:tc>
        <w:tc>
          <w:tcPr>
            <w:tcW w:w="1240" w:type="dxa"/>
            <w:vAlign w:val="bottom"/>
            <w:tcBorders>
              <w:bottom w:val="single" w:sz="8" w:color="auto"/>
            </w:tcBorders>
            <w:shd w:val="clear" w:color="auto" w:fill="D4F1F5"/>
          </w:tcPr>
          <w:p>
            <w:pPr>
              <w:jc w:val="right"/>
              <w:ind w:right="40"/>
              <w:spacing w:after="0"/>
              <w:rPr>
                <w:sz w:val="20"/>
                <w:szCs w:val="20"/>
                <w:color w:val="auto"/>
              </w:rPr>
            </w:pPr>
            <w:r>
              <w:rPr>
                <w:rFonts w:ascii="Arial" w:cs="Arial" w:eastAsia="Arial" w:hAnsi="Arial"/>
                <w:sz w:val="16"/>
                <w:szCs w:val="16"/>
                <w:color w:val="auto"/>
              </w:rPr>
              <w:t>11,229</w:t>
            </w:r>
          </w:p>
        </w:tc>
        <w:tc>
          <w:tcPr>
            <w:tcW w:w="240" w:type="dxa"/>
            <w:vAlign w:val="bottom"/>
            <w:tcBorders>
              <w:bottom w:val="single" w:sz="8" w:color="auto"/>
            </w:tcBorders>
            <w:shd w:val="clear" w:color="auto" w:fill="D4F1F5"/>
          </w:tcPr>
          <w:p>
            <w:pPr>
              <w:spacing w:after="0"/>
              <w:rPr>
                <w:sz w:val="18"/>
                <w:szCs w:val="18"/>
                <w:color w:val="auto"/>
              </w:rPr>
            </w:pPr>
          </w:p>
        </w:tc>
        <w:tc>
          <w:tcPr>
            <w:tcW w:w="1240" w:type="dxa"/>
            <w:vAlign w:val="bottom"/>
            <w:tcBorders>
              <w:bottom w:val="single" w:sz="8" w:color="auto"/>
            </w:tcBorders>
            <w:shd w:val="clear" w:color="auto" w:fill="D4F1F5"/>
          </w:tcPr>
          <w:p>
            <w:pPr>
              <w:jc w:val="right"/>
              <w:spacing w:after="0"/>
              <w:rPr>
                <w:sz w:val="20"/>
                <w:szCs w:val="20"/>
                <w:color w:val="auto"/>
              </w:rPr>
            </w:pPr>
            <w:r>
              <w:rPr>
                <w:rFonts w:ascii="Arial" w:cs="Arial" w:eastAsia="Arial" w:hAnsi="Arial"/>
                <w:sz w:val="16"/>
                <w:szCs w:val="16"/>
                <w:color w:val="auto"/>
              </w:rPr>
              <w:t>10,933</w:t>
            </w:r>
          </w:p>
        </w:tc>
        <w:tc>
          <w:tcPr>
            <w:tcW w:w="0" w:type="dxa"/>
            <w:vAlign w:val="bottom"/>
          </w:tcPr>
          <w:p>
            <w:pPr>
              <w:spacing w:after="0"/>
              <w:rPr>
                <w:sz w:val="1"/>
                <w:szCs w:val="1"/>
                <w:color w:val="auto"/>
              </w:rPr>
            </w:pPr>
          </w:p>
        </w:tc>
      </w:tr>
      <w:tr>
        <w:trPr>
          <w:trHeight w:val="216"/>
        </w:trPr>
        <w:tc>
          <w:tcPr>
            <w:tcW w:w="83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Total liabilities and shareholder’s equity</w:t>
            </w: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33,543</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32,682</w:t>
            </w:r>
          </w:p>
        </w:tc>
        <w:tc>
          <w:tcPr>
            <w:tcW w:w="0" w:type="dxa"/>
            <w:vAlign w:val="bottom"/>
          </w:tcPr>
          <w:p>
            <w:pPr>
              <w:spacing w:after="0"/>
              <w:rPr>
                <w:sz w:val="1"/>
                <w:szCs w:val="1"/>
                <w:color w:val="auto"/>
              </w:rPr>
            </w:pPr>
          </w:p>
        </w:tc>
      </w:tr>
    </w:tbl>
    <w:p>
      <w:pPr>
        <w:spacing w:after="0" w:line="59" w:lineRule="exact"/>
        <w:rPr>
          <w:sz w:val="20"/>
          <w:szCs w:val="20"/>
          <w:color w:val="auto"/>
        </w:rPr>
      </w:pPr>
    </w:p>
    <w:p>
      <w:pPr>
        <w:spacing w:after="0"/>
        <w:tabs>
          <w:tab w:leader="none" w:pos="240" w:val="left"/>
        </w:tabs>
        <w:rPr>
          <w:sz w:val="20"/>
          <w:szCs w:val="20"/>
          <w:color w:val="auto"/>
        </w:rPr>
      </w:pPr>
      <w:r>
        <w:rPr>
          <w:rFonts w:ascii="Arial" w:cs="Arial" w:eastAsia="Arial" w:hAnsi="Arial"/>
          <w:sz w:val="21"/>
          <w:szCs w:val="21"/>
          <w:i w:val="1"/>
          <w:iCs w:val="1"/>
          <w:color w:val="auto"/>
          <w:vertAlign w:val="superscript"/>
        </w:rPr>
        <w:t>(1)</w:t>
      </w:r>
      <w:r>
        <w:rPr>
          <w:sz w:val="20"/>
          <w:szCs w:val="20"/>
          <w:color w:val="auto"/>
        </w:rPr>
        <w:tab/>
      </w:r>
      <w:r>
        <w:rPr>
          <w:rFonts w:ascii="Arial" w:cs="Arial" w:eastAsia="Arial" w:hAnsi="Arial"/>
          <w:sz w:val="14"/>
          <w:szCs w:val="14"/>
          <w:i w:val="1"/>
          <w:iCs w:val="1"/>
          <w:color w:val="auto"/>
        </w:rPr>
        <w:t>Derived from audited financial statements.</w:t>
      </w:r>
    </w:p>
    <w:p>
      <w:pPr>
        <w:spacing w:after="0" w:line="55"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See Notes to Condensed Financial Statements.</w:t>
      </w: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150495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480060</wp:posOffset>
            </wp:positionV>
            <wp:extent cx="7132320" cy="45402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4540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FFFFFF"/>
        </w:rPr>
        <w:t>SAN DIEGO GAS &amp; ELECTRIC COMPANY</w:t>
      </w:r>
    </w:p>
    <w:p>
      <w:pPr>
        <w:spacing w:after="0" w:line="59"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FFFFFF"/>
        </w:rPr>
        <w:t>CONDENSED STATEMENTS OF CASH FLOWS</w:t>
      </w:r>
    </w:p>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8220" w:type="dxa"/>
            <w:vAlign w:val="bottom"/>
          </w:tcPr>
          <w:p>
            <w:pPr>
              <w:ind w:left="20"/>
              <w:spacing w:after="0"/>
              <w:rPr>
                <w:sz w:val="20"/>
                <w:szCs w:val="20"/>
                <w:color w:val="auto"/>
              </w:rPr>
            </w:pPr>
            <w:r>
              <w:rPr>
                <w:rFonts w:ascii="Arial" w:cs="Arial" w:eastAsia="Arial" w:hAnsi="Arial"/>
                <w:sz w:val="14"/>
                <w:szCs w:val="14"/>
                <w:i w:val="1"/>
                <w:iCs w:val="1"/>
                <w:color w:val="FFFFFF"/>
              </w:rPr>
              <w:t>(Dollars in millions)</w:t>
            </w:r>
          </w:p>
        </w:tc>
        <w:tc>
          <w:tcPr>
            <w:tcW w:w="9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460" w:type="dxa"/>
            <w:vAlign w:val="bottom"/>
          </w:tcPr>
          <w:p>
            <w:pPr>
              <w:spacing w:after="0"/>
              <w:rPr>
                <w:sz w:val="16"/>
                <w:szCs w:val="16"/>
                <w:color w:val="auto"/>
              </w:rPr>
            </w:pPr>
          </w:p>
        </w:tc>
      </w:tr>
      <w:tr>
        <w:trPr>
          <w:trHeight w:val="233"/>
        </w:trPr>
        <w:tc>
          <w:tcPr>
            <w:tcW w:w="8220" w:type="dxa"/>
            <w:vAlign w:val="bottom"/>
          </w:tcPr>
          <w:p>
            <w:pPr>
              <w:spacing w:after="0"/>
              <w:rPr>
                <w:sz w:val="20"/>
                <w:szCs w:val="20"/>
                <w:color w:val="auto"/>
              </w:rPr>
            </w:pPr>
          </w:p>
        </w:tc>
        <w:tc>
          <w:tcPr>
            <w:tcW w:w="2560" w:type="dxa"/>
            <w:vAlign w:val="bottom"/>
            <w:tcBorders>
              <w:bottom w:val="single" w:sz="8" w:color="auto"/>
            </w:tcBorders>
            <w:gridSpan w:val="3"/>
          </w:tcPr>
          <w:p>
            <w:pPr>
              <w:jc w:val="center"/>
              <w:ind w:left="385"/>
              <w:spacing w:after="0"/>
              <w:rPr>
                <w:sz w:val="20"/>
                <w:szCs w:val="20"/>
                <w:color w:val="auto"/>
              </w:rPr>
            </w:pPr>
            <w:r>
              <w:rPr>
                <w:rFonts w:ascii="Arial" w:cs="Arial" w:eastAsia="Arial" w:hAnsi="Arial"/>
                <w:sz w:val="14"/>
                <w:szCs w:val="14"/>
                <w:color w:val="auto"/>
              </w:rPr>
              <w:t>Three months ended March 31,</w:t>
            </w:r>
          </w:p>
        </w:tc>
        <w:tc>
          <w:tcPr>
            <w:tcW w:w="460" w:type="dxa"/>
            <w:vAlign w:val="bottom"/>
            <w:tcBorders>
              <w:bottom w:val="single" w:sz="8" w:color="auto"/>
            </w:tcBorders>
          </w:tcPr>
          <w:p>
            <w:pPr>
              <w:spacing w:after="0"/>
              <w:rPr>
                <w:sz w:val="20"/>
                <w:szCs w:val="20"/>
                <w:color w:val="auto"/>
              </w:rPr>
            </w:pPr>
          </w:p>
        </w:tc>
      </w:tr>
      <w:tr>
        <w:trPr>
          <w:trHeight w:val="210"/>
        </w:trPr>
        <w:tc>
          <w:tcPr>
            <w:tcW w:w="82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2026</w:t>
            </w:r>
          </w:p>
        </w:tc>
        <w:tc>
          <w:tcPr>
            <w:tcW w:w="5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24"/>
              <w:spacing w:after="0"/>
              <w:rPr>
                <w:sz w:val="20"/>
                <w:szCs w:val="20"/>
                <w:color w:val="auto"/>
              </w:rPr>
            </w:pPr>
            <w:r>
              <w:rPr>
                <w:rFonts w:ascii="Arial" w:cs="Arial" w:eastAsia="Arial" w:hAnsi="Arial"/>
                <w:sz w:val="14"/>
                <w:szCs w:val="14"/>
                <w:color w:val="auto"/>
              </w:rPr>
              <w:t>2025</w:t>
            </w:r>
          </w:p>
        </w:tc>
        <w:tc>
          <w:tcPr>
            <w:tcW w:w="460" w:type="dxa"/>
            <w:vAlign w:val="bottom"/>
            <w:tcBorders>
              <w:bottom w:val="single" w:sz="8" w:color="auto"/>
            </w:tcBorders>
          </w:tcPr>
          <w:p>
            <w:pPr>
              <w:spacing w:after="0"/>
              <w:rPr>
                <w:sz w:val="18"/>
                <w:szCs w:val="18"/>
                <w:color w:val="auto"/>
              </w:rPr>
            </w:pPr>
          </w:p>
        </w:tc>
      </w:tr>
      <w:tr>
        <w:trPr>
          <w:trHeight w:val="213"/>
        </w:trPr>
        <w:tc>
          <w:tcPr>
            <w:tcW w:w="8220" w:type="dxa"/>
            <w:vAlign w:val="bottom"/>
            <w:shd w:val="clear" w:color="auto" w:fill="D4F1F5"/>
          </w:tcPr>
          <w:p>
            <w:pPr>
              <w:spacing w:after="0"/>
              <w:rPr>
                <w:sz w:val="18"/>
                <w:szCs w:val="18"/>
                <w:color w:val="auto"/>
              </w:rPr>
            </w:pPr>
          </w:p>
        </w:tc>
        <w:tc>
          <w:tcPr>
            <w:tcW w:w="940" w:type="dxa"/>
            <w:vAlign w:val="bottom"/>
            <w:shd w:val="clear" w:color="auto" w:fill="D4F1F5"/>
          </w:tcPr>
          <w:p>
            <w:pPr>
              <w:spacing w:after="0"/>
              <w:rPr>
                <w:sz w:val="18"/>
                <w:szCs w:val="18"/>
                <w:color w:val="auto"/>
              </w:rPr>
            </w:pPr>
          </w:p>
        </w:tc>
        <w:tc>
          <w:tcPr>
            <w:tcW w:w="1620" w:type="dxa"/>
            <w:vAlign w:val="bottom"/>
            <w:gridSpan w:val="2"/>
            <w:shd w:val="clear" w:color="auto" w:fill="D4F1F5"/>
          </w:tcPr>
          <w:p>
            <w:pPr>
              <w:jc w:val="center"/>
              <w:ind w:right="404"/>
              <w:spacing w:after="0"/>
              <w:rPr>
                <w:sz w:val="20"/>
                <w:szCs w:val="20"/>
                <w:color w:val="auto"/>
              </w:rPr>
            </w:pPr>
            <w:r>
              <w:rPr>
                <w:rFonts w:ascii="Arial" w:cs="Arial" w:eastAsia="Arial" w:hAnsi="Arial"/>
                <w:sz w:val="14"/>
                <w:szCs w:val="14"/>
                <w:color w:val="auto"/>
              </w:rPr>
              <w:t>(unaudited)</w:t>
            </w:r>
          </w:p>
        </w:tc>
        <w:tc>
          <w:tcPr>
            <w:tcW w:w="460" w:type="dxa"/>
            <w:vAlign w:val="bottom"/>
            <w:shd w:val="clear" w:color="auto" w:fill="D4F1F5"/>
          </w:tcPr>
          <w:p>
            <w:pPr>
              <w:spacing w:after="0"/>
              <w:rPr>
                <w:sz w:val="18"/>
                <w:szCs w:val="18"/>
                <w:color w:val="auto"/>
              </w:rPr>
            </w:pPr>
          </w:p>
        </w:tc>
      </w:tr>
      <w:tr>
        <w:trPr>
          <w:trHeight w:val="215"/>
        </w:trPr>
        <w:tc>
          <w:tcPr>
            <w:tcW w:w="8220" w:type="dxa"/>
            <w:vAlign w:val="bottom"/>
          </w:tcPr>
          <w:p>
            <w:pPr>
              <w:ind w:left="20"/>
              <w:spacing w:after="0"/>
              <w:rPr>
                <w:sz w:val="20"/>
                <w:szCs w:val="20"/>
                <w:color w:val="auto"/>
              </w:rPr>
            </w:pPr>
            <w:r>
              <w:rPr>
                <w:rFonts w:ascii="Arial" w:cs="Arial" w:eastAsia="Arial" w:hAnsi="Arial"/>
                <w:sz w:val="16"/>
                <w:szCs w:val="16"/>
                <w:color w:val="auto"/>
              </w:rPr>
              <w:t>CASH FLOWS FROM OPERATING ACTIVITIES</w:t>
            </w:r>
          </w:p>
        </w:tc>
        <w:tc>
          <w:tcPr>
            <w:tcW w:w="9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60" w:type="dxa"/>
            <w:vAlign w:val="bottom"/>
          </w:tcPr>
          <w:p>
            <w:pPr>
              <w:spacing w:after="0"/>
              <w:rPr>
                <w:sz w:val="18"/>
                <w:szCs w:val="18"/>
                <w:color w:val="auto"/>
              </w:rPr>
            </w:pPr>
          </w:p>
        </w:tc>
      </w:tr>
      <w:tr>
        <w:trPr>
          <w:trHeight w:val="217"/>
        </w:trPr>
        <w:tc>
          <w:tcPr>
            <w:tcW w:w="8220" w:type="dxa"/>
            <w:vAlign w:val="bottom"/>
            <w:shd w:val="clear" w:color="auto" w:fill="D4F1F5"/>
          </w:tcPr>
          <w:p>
            <w:pPr>
              <w:ind w:left="240"/>
              <w:spacing w:after="0"/>
              <w:rPr>
                <w:sz w:val="20"/>
                <w:szCs w:val="20"/>
                <w:color w:val="auto"/>
              </w:rPr>
            </w:pPr>
            <w:r>
              <w:rPr>
                <w:rFonts w:ascii="Arial" w:cs="Arial" w:eastAsia="Arial" w:hAnsi="Arial"/>
                <w:sz w:val="16"/>
                <w:szCs w:val="16"/>
                <w:color w:val="auto"/>
              </w:rPr>
              <w:t>Net income</w:t>
            </w:r>
          </w:p>
        </w:tc>
        <w:tc>
          <w:tcPr>
            <w:tcW w:w="940" w:type="dxa"/>
            <w:vAlign w:val="bottom"/>
            <w:shd w:val="clear" w:color="auto" w:fill="D4F1F5"/>
          </w:tcPr>
          <w:p>
            <w:pPr>
              <w:jc w:val="right"/>
              <w:ind w:right="765"/>
              <w:spacing w:after="0"/>
              <w:rPr>
                <w:sz w:val="20"/>
                <w:szCs w:val="20"/>
                <w:color w:val="auto"/>
              </w:rPr>
            </w:pPr>
            <w:r>
              <w:rPr>
                <w:rFonts w:ascii="Arial" w:cs="Arial" w:eastAsia="Arial" w:hAnsi="Arial"/>
                <w:sz w:val="16"/>
                <w:szCs w:val="16"/>
                <w:color w:val="auto"/>
                <w:w w:val="89"/>
              </w:rPr>
              <w:t>$</w:t>
            </w:r>
          </w:p>
        </w:tc>
        <w:tc>
          <w:tcPr>
            <w:tcW w:w="560" w:type="dxa"/>
            <w:vAlign w:val="bottom"/>
            <w:shd w:val="clear" w:color="auto" w:fill="D4F1F5"/>
          </w:tcPr>
          <w:p>
            <w:pPr>
              <w:jc w:val="right"/>
              <w:ind w:right="40"/>
              <w:spacing w:after="0"/>
              <w:rPr>
                <w:sz w:val="20"/>
                <w:szCs w:val="20"/>
                <w:color w:val="auto"/>
              </w:rPr>
            </w:pPr>
            <w:r>
              <w:rPr>
                <w:rFonts w:ascii="Arial" w:cs="Arial" w:eastAsia="Arial" w:hAnsi="Arial"/>
                <w:sz w:val="16"/>
                <w:szCs w:val="16"/>
                <w:color w:val="auto"/>
              </w:rPr>
              <w:t>296</w:t>
            </w:r>
          </w:p>
        </w:tc>
        <w:tc>
          <w:tcPr>
            <w:tcW w:w="1060" w:type="dxa"/>
            <w:vAlign w:val="bottom"/>
            <w:shd w:val="clear" w:color="auto" w:fill="D4F1F5"/>
          </w:tcPr>
          <w:p>
            <w:pPr>
              <w:jc w:val="right"/>
              <w:ind w:right="804"/>
              <w:spacing w:after="0"/>
              <w:rPr>
                <w:sz w:val="20"/>
                <w:szCs w:val="20"/>
                <w:color w:val="auto"/>
              </w:rPr>
            </w:pPr>
            <w:r>
              <w:rPr>
                <w:rFonts w:ascii="Arial" w:cs="Arial" w:eastAsia="Arial" w:hAnsi="Arial"/>
                <w:sz w:val="16"/>
                <w:szCs w:val="16"/>
                <w:color w:val="auto"/>
              </w:rPr>
              <w:t>$</w:t>
            </w:r>
          </w:p>
        </w:tc>
        <w:tc>
          <w:tcPr>
            <w:tcW w:w="460" w:type="dxa"/>
            <w:vAlign w:val="bottom"/>
            <w:shd w:val="clear" w:color="auto" w:fill="D4F1F5"/>
          </w:tcPr>
          <w:p>
            <w:pPr>
              <w:jc w:val="right"/>
              <w:spacing w:after="0"/>
              <w:rPr>
                <w:sz w:val="20"/>
                <w:szCs w:val="20"/>
                <w:color w:val="auto"/>
              </w:rPr>
            </w:pPr>
            <w:r>
              <w:rPr>
                <w:rFonts w:ascii="Arial" w:cs="Arial" w:eastAsia="Arial" w:hAnsi="Arial"/>
                <w:sz w:val="16"/>
                <w:szCs w:val="16"/>
                <w:color w:val="auto"/>
              </w:rPr>
              <w:t>281</w:t>
            </w:r>
          </w:p>
        </w:tc>
      </w:tr>
      <w:tr>
        <w:trPr>
          <w:trHeight w:val="215"/>
        </w:trPr>
        <w:tc>
          <w:tcPr>
            <w:tcW w:w="8220" w:type="dxa"/>
            <w:vAlign w:val="bottom"/>
          </w:tcPr>
          <w:p>
            <w:pPr>
              <w:ind w:left="240"/>
              <w:spacing w:after="0"/>
              <w:rPr>
                <w:sz w:val="20"/>
                <w:szCs w:val="20"/>
                <w:color w:val="auto"/>
              </w:rPr>
            </w:pPr>
            <w:r>
              <w:rPr>
                <w:rFonts w:ascii="Arial" w:cs="Arial" w:eastAsia="Arial" w:hAnsi="Arial"/>
                <w:sz w:val="16"/>
                <w:szCs w:val="16"/>
                <w:color w:val="auto"/>
              </w:rPr>
              <w:t>Adjustments to reconcile net income to net cash provided by operating activities:</w:t>
            </w:r>
          </w:p>
        </w:tc>
        <w:tc>
          <w:tcPr>
            <w:tcW w:w="9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60" w:type="dxa"/>
            <w:vAlign w:val="bottom"/>
          </w:tcPr>
          <w:p>
            <w:pPr>
              <w:spacing w:after="0"/>
              <w:rPr>
                <w:sz w:val="18"/>
                <w:szCs w:val="18"/>
                <w:color w:val="auto"/>
              </w:rPr>
            </w:pPr>
          </w:p>
        </w:tc>
      </w:tr>
      <w:tr>
        <w:trPr>
          <w:trHeight w:val="217"/>
        </w:trPr>
        <w:tc>
          <w:tcPr>
            <w:tcW w:w="8220" w:type="dxa"/>
            <w:vAlign w:val="bottom"/>
            <w:shd w:val="clear" w:color="auto" w:fill="D4F1F5"/>
          </w:tcPr>
          <w:p>
            <w:pPr>
              <w:ind w:left="460"/>
              <w:spacing w:after="0"/>
              <w:rPr>
                <w:sz w:val="20"/>
                <w:szCs w:val="20"/>
                <w:color w:val="auto"/>
              </w:rPr>
            </w:pPr>
            <w:r>
              <w:rPr>
                <w:rFonts w:ascii="Arial" w:cs="Arial" w:eastAsia="Arial" w:hAnsi="Arial"/>
                <w:sz w:val="16"/>
                <w:szCs w:val="16"/>
                <w:color w:val="auto"/>
              </w:rPr>
              <w:t>Depreciation and amortization</w:t>
            </w:r>
          </w:p>
        </w:tc>
        <w:tc>
          <w:tcPr>
            <w:tcW w:w="940" w:type="dxa"/>
            <w:vAlign w:val="bottom"/>
            <w:shd w:val="clear" w:color="auto" w:fill="D4F1F5"/>
          </w:tcPr>
          <w:p>
            <w:pPr>
              <w:spacing w:after="0"/>
              <w:rPr>
                <w:sz w:val="18"/>
                <w:szCs w:val="18"/>
                <w:color w:val="auto"/>
              </w:rPr>
            </w:pPr>
          </w:p>
        </w:tc>
        <w:tc>
          <w:tcPr>
            <w:tcW w:w="560" w:type="dxa"/>
            <w:vAlign w:val="bottom"/>
            <w:shd w:val="clear" w:color="auto" w:fill="D4F1F5"/>
          </w:tcPr>
          <w:p>
            <w:pPr>
              <w:jc w:val="right"/>
              <w:ind w:right="40"/>
              <w:spacing w:after="0"/>
              <w:rPr>
                <w:sz w:val="20"/>
                <w:szCs w:val="20"/>
                <w:color w:val="auto"/>
              </w:rPr>
            </w:pPr>
            <w:r>
              <w:rPr>
                <w:rFonts w:ascii="Arial" w:cs="Arial" w:eastAsia="Arial" w:hAnsi="Arial"/>
                <w:sz w:val="16"/>
                <w:szCs w:val="16"/>
                <w:color w:val="auto"/>
              </w:rPr>
              <w:t>344</w:t>
            </w:r>
          </w:p>
        </w:tc>
        <w:tc>
          <w:tcPr>
            <w:tcW w:w="1060" w:type="dxa"/>
            <w:vAlign w:val="bottom"/>
            <w:shd w:val="clear" w:color="auto" w:fill="D4F1F5"/>
          </w:tcPr>
          <w:p>
            <w:pPr>
              <w:spacing w:after="0"/>
              <w:rPr>
                <w:sz w:val="18"/>
                <w:szCs w:val="18"/>
                <w:color w:val="auto"/>
              </w:rPr>
            </w:pPr>
          </w:p>
        </w:tc>
        <w:tc>
          <w:tcPr>
            <w:tcW w:w="460" w:type="dxa"/>
            <w:vAlign w:val="bottom"/>
            <w:shd w:val="clear" w:color="auto" w:fill="D4F1F5"/>
          </w:tcPr>
          <w:p>
            <w:pPr>
              <w:jc w:val="right"/>
              <w:spacing w:after="0"/>
              <w:rPr>
                <w:sz w:val="20"/>
                <w:szCs w:val="20"/>
                <w:color w:val="auto"/>
              </w:rPr>
            </w:pPr>
            <w:r>
              <w:rPr>
                <w:rFonts w:ascii="Arial" w:cs="Arial" w:eastAsia="Arial" w:hAnsi="Arial"/>
                <w:sz w:val="16"/>
                <w:szCs w:val="16"/>
                <w:color w:val="auto"/>
              </w:rPr>
              <w:t>320</w:t>
            </w:r>
          </w:p>
        </w:tc>
      </w:tr>
      <w:tr>
        <w:trPr>
          <w:trHeight w:val="215"/>
        </w:trPr>
        <w:tc>
          <w:tcPr>
            <w:tcW w:w="8220" w:type="dxa"/>
            <w:vAlign w:val="bottom"/>
          </w:tcPr>
          <w:p>
            <w:pPr>
              <w:ind w:left="460"/>
              <w:spacing w:after="0"/>
              <w:rPr>
                <w:sz w:val="20"/>
                <w:szCs w:val="20"/>
                <w:color w:val="auto"/>
              </w:rPr>
            </w:pPr>
            <w:r>
              <w:rPr>
                <w:rFonts w:ascii="Arial" w:cs="Arial" w:eastAsia="Arial" w:hAnsi="Arial"/>
                <w:sz w:val="16"/>
                <w:szCs w:val="16"/>
                <w:color w:val="auto"/>
              </w:rPr>
              <w:t>Deferred income taxes and investment tax credits</w:t>
            </w:r>
          </w:p>
        </w:tc>
        <w:tc>
          <w:tcPr>
            <w:tcW w:w="940" w:type="dxa"/>
            <w:vAlign w:val="bottom"/>
          </w:tcPr>
          <w:p>
            <w:pPr>
              <w:spacing w:after="0"/>
              <w:rPr>
                <w:sz w:val="18"/>
                <w:szCs w:val="18"/>
                <w:color w:val="auto"/>
              </w:rPr>
            </w:pPr>
          </w:p>
        </w:tc>
        <w:tc>
          <w:tcPr>
            <w:tcW w:w="560" w:type="dxa"/>
            <w:vAlign w:val="bottom"/>
          </w:tcPr>
          <w:p>
            <w:pPr>
              <w:jc w:val="right"/>
              <w:ind w:right="40"/>
              <w:spacing w:after="0"/>
              <w:rPr>
                <w:sz w:val="20"/>
                <w:szCs w:val="20"/>
                <w:color w:val="auto"/>
              </w:rPr>
            </w:pPr>
            <w:r>
              <w:rPr>
                <w:rFonts w:ascii="Arial" w:cs="Arial" w:eastAsia="Arial" w:hAnsi="Arial"/>
                <w:sz w:val="16"/>
                <w:szCs w:val="16"/>
                <w:color w:val="auto"/>
              </w:rPr>
              <w:t>22</w:t>
            </w:r>
          </w:p>
        </w:tc>
        <w:tc>
          <w:tcPr>
            <w:tcW w:w="106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(3)</w:t>
            </w:r>
          </w:p>
        </w:tc>
      </w:tr>
      <w:tr>
        <w:trPr>
          <w:trHeight w:val="217"/>
        </w:trPr>
        <w:tc>
          <w:tcPr>
            <w:tcW w:w="8220" w:type="dxa"/>
            <w:vAlign w:val="bottom"/>
            <w:shd w:val="clear" w:color="auto" w:fill="D4F1F5"/>
          </w:tcPr>
          <w:p>
            <w:pPr>
              <w:ind w:left="460"/>
              <w:spacing w:after="0"/>
              <w:rPr>
                <w:sz w:val="20"/>
                <w:szCs w:val="20"/>
                <w:color w:val="auto"/>
              </w:rPr>
            </w:pPr>
            <w:r>
              <w:rPr>
                <w:rFonts w:ascii="Arial" w:cs="Arial" w:eastAsia="Arial" w:hAnsi="Arial"/>
                <w:sz w:val="16"/>
                <w:szCs w:val="16"/>
                <w:color w:val="auto"/>
              </w:rPr>
              <w:t>Bad debt expense</w:t>
            </w:r>
          </w:p>
        </w:tc>
        <w:tc>
          <w:tcPr>
            <w:tcW w:w="940" w:type="dxa"/>
            <w:vAlign w:val="bottom"/>
            <w:shd w:val="clear" w:color="auto" w:fill="D4F1F5"/>
          </w:tcPr>
          <w:p>
            <w:pPr>
              <w:spacing w:after="0"/>
              <w:rPr>
                <w:sz w:val="18"/>
                <w:szCs w:val="18"/>
                <w:color w:val="auto"/>
              </w:rPr>
            </w:pPr>
          </w:p>
        </w:tc>
        <w:tc>
          <w:tcPr>
            <w:tcW w:w="560" w:type="dxa"/>
            <w:vAlign w:val="bottom"/>
            <w:shd w:val="clear" w:color="auto" w:fill="D4F1F5"/>
          </w:tcPr>
          <w:p>
            <w:pPr>
              <w:jc w:val="right"/>
              <w:ind w:right="40"/>
              <w:spacing w:after="0"/>
              <w:rPr>
                <w:sz w:val="20"/>
                <w:szCs w:val="20"/>
                <w:color w:val="auto"/>
              </w:rPr>
            </w:pPr>
            <w:r>
              <w:rPr>
                <w:rFonts w:ascii="Arial" w:cs="Arial" w:eastAsia="Arial" w:hAnsi="Arial"/>
                <w:sz w:val="16"/>
                <w:szCs w:val="16"/>
                <w:color w:val="auto"/>
              </w:rPr>
              <w:t>19</w:t>
            </w:r>
          </w:p>
        </w:tc>
        <w:tc>
          <w:tcPr>
            <w:tcW w:w="1060" w:type="dxa"/>
            <w:vAlign w:val="bottom"/>
            <w:shd w:val="clear" w:color="auto" w:fill="D4F1F5"/>
          </w:tcPr>
          <w:p>
            <w:pPr>
              <w:spacing w:after="0"/>
              <w:rPr>
                <w:sz w:val="18"/>
                <w:szCs w:val="18"/>
                <w:color w:val="auto"/>
              </w:rPr>
            </w:pPr>
          </w:p>
        </w:tc>
        <w:tc>
          <w:tcPr>
            <w:tcW w:w="460" w:type="dxa"/>
            <w:vAlign w:val="bottom"/>
            <w:shd w:val="clear" w:color="auto" w:fill="D4F1F5"/>
          </w:tcPr>
          <w:p>
            <w:pPr>
              <w:jc w:val="right"/>
              <w:spacing w:after="0"/>
              <w:rPr>
                <w:sz w:val="20"/>
                <w:szCs w:val="20"/>
                <w:color w:val="auto"/>
              </w:rPr>
            </w:pPr>
            <w:r>
              <w:rPr>
                <w:rFonts w:ascii="Arial" w:cs="Arial" w:eastAsia="Arial" w:hAnsi="Arial"/>
                <w:sz w:val="16"/>
                <w:szCs w:val="16"/>
                <w:color w:val="auto"/>
              </w:rPr>
              <w:t>16</w:t>
            </w:r>
          </w:p>
        </w:tc>
      </w:tr>
      <w:tr>
        <w:trPr>
          <w:trHeight w:val="215"/>
        </w:trPr>
        <w:tc>
          <w:tcPr>
            <w:tcW w:w="8220" w:type="dxa"/>
            <w:vAlign w:val="bottom"/>
          </w:tcPr>
          <w:p>
            <w:pPr>
              <w:ind w:left="460"/>
              <w:spacing w:after="0"/>
              <w:rPr>
                <w:sz w:val="20"/>
                <w:szCs w:val="20"/>
                <w:color w:val="auto"/>
              </w:rPr>
            </w:pPr>
            <w:r>
              <w:rPr>
                <w:rFonts w:ascii="Arial" w:cs="Arial" w:eastAsia="Arial" w:hAnsi="Arial"/>
                <w:sz w:val="16"/>
                <w:szCs w:val="16"/>
                <w:color w:val="auto"/>
              </w:rPr>
              <w:t>Other</w:t>
            </w:r>
          </w:p>
        </w:tc>
        <w:tc>
          <w:tcPr>
            <w:tcW w:w="9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(1)</w:t>
            </w:r>
          </w:p>
        </w:tc>
        <w:tc>
          <w:tcPr>
            <w:tcW w:w="106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(5)</w:t>
            </w:r>
          </w:p>
        </w:tc>
      </w:tr>
      <w:tr>
        <w:trPr>
          <w:trHeight w:val="217"/>
        </w:trPr>
        <w:tc>
          <w:tcPr>
            <w:tcW w:w="8220" w:type="dxa"/>
            <w:vAlign w:val="bottom"/>
            <w:shd w:val="clear" w:color="auto" w:fill="D4F1F5"/>
          </w:tcPr>
          <w:p>
            <w:pPr>
              <w:ind w:left="240"/>
              <w:spacing w:after="0"/>
              <w:rPr>
                <w:sz w:val="20"/>
                <w:szCs w:val="20"/>
                <w:color w:val="auto"/>
              </w:rPr>
            </w:pPr>
            <w:r>
              <w:rPr>
                <w:rFonts w:ascii="Arial" w:cs="Arial" w:eastAsia="Arial" w:hAnsi="Arial"/>
                <w:sz w:val="16"/>
                <w:szCs w:val="16"/>
                <w:color w:val="auto"/>
              </w:rPr>
              <w:t>Net change in working capital components</w:t>
            </w:r>
          </w:p>
        </w:tc>
        <w:tc>
          <w:tcPr>
            <w:tcW w:w="940" w:type="dxa"/>
            <w:vAlign w:val="bottom"/>
            <w:shd w:val="clear" w:color="auto" w:fill="D4F1F5"/>
          </w:tcPr>
          <w:p>
            <w:pPr>
              <w:spacing w:after="0"/>
              <w:rPr>
                <w:sz w:val="18"/>
                <w:szCs w:val="18"/>
                <w:color w:val="auto"/>
              </w:rPr>
            </w:pPr>
          </w:p>
        </w:tc>
        <w:tc>
          <w:tcPr>
            <w:tcW w:w="560" w:type="dxa"/>
            <w:vAlign w:val="bottom"/>
            <w:shd w:val="clear" w:color="auto" w:fill="D4F1F5"/>
          </w:tcPr>
          <w:p>
            <w:pPr>
              <w:jc w:val="right"/>
              <w:ind w:right="40"/>
              <w:spacing w:after="0"/>
              <w:rPr>
                <w:sz w:val="20"/>
                <w:szCs w:val="20"/>
                <w:color w:val="auto"/>
              </w:rPr>
            </w:pPr>
            <w:r>
              <w:rPr>
                <w:rFonts w:ascii="Arial" w:cs="Arial" w:eastAsia="Arial" w:hAnsi="Arial"/>
                <w:sz w:val="16"/>
                <w:szCs w:val="16"/>
                <w:color w:val="auto"/>
              </w:rPr>
              <w:t>10</w:t>
            </w:r>
          </w:p>
        </w:tc>
        <w:tc>
          <w:tcPr>
            <w:tcW w:w="1060" w:type="dxa"/>
            <w:vAlign w:val="bottom"/>
            <w:shd w:val="clear" w:color="auto" w:fill="D4F1F5"/>
          </w:tcPr>
          <w:p>
            <w:pPr>
              <w:spacing w:after="0"/>
              <w:rPr>
                <w:sz w:val="18"/>
                <w:szCs w:val="18"/>
                <w:color w:val="auto"/>
              </w:rPr>
            </w:pPr>
          </w:p>
        </w:tc>
        <w:tc>
          <w:tcPr>
            <w:tcW w:w="460" w:type="dxa"/>
            <w:vAlign w:val="bottom"/>
            <w:shd w:val="clear" w:color="auto" w:fill="D4F1F5"/>
          </w:tcPr>
          <w:p>
            <w:pPr>
              <w:jc w:val="right"/>
              <w:spacing w:after="0"/>
              <w:rPr>
                <w:sz w:val="20"/>
                <w:szCs w:val="20"/>
                <w:color w:val="auto"/>
              </w:rPr>
            </w:pPr>
            <w:r>
              <w:rPr>
                <w:rFonts w:ascii="Arial" w:cs="Arial" w:eastAsia="Arial" w:hAnsi="Arial"/>
                <w:sz w:val="16"/>
                <w:szCs w:val="16"/>
                <w:color w:val="auto"/>
              </w:rPr>
              <w:t>30</w:t>
            </w:r>
          </w:p>
        </w:tc>
      </w:tr>
      <w:tr>
        <w:trPr>
          <w:trHeight w:val="215"/>
        </w:trPr>
        <w:tc>
          <w:tcPr>
            <w:tcW w:w="8220" w:type="dxa"/>
            <w:vAlign w:val="bottom"/>
            <w:tcBorders>
              <w:bottom w:val="single" w:sz="8" w:color="D4F1F5"/>
            </w:tcBorders>
          </w:tcPr>
          <w:p>
            <w:pPr>
              <w:ind w:left="240"/>
              <w:spacing w:after="0"/>
              <w:rPr>
                <w:sz w:val="20"/>
                <w:szCs w:val="20"/>
                <w:color w:val="auto"/>
              </w:rPr>
            </w:pPr>
            <w:r>
              <w:rPr>
                <w:rFonts w:ascii="Arial" w:cs="Arial" w:eastAsia="Arial" w:hAnsi="Arial"/>
                <w:sz w:val="16"/>
                <w:szCs w:val="16"/>
                <w:color w:val="auto"/>
              </w:rPr>
              <w:t>Changes in noncurrent assets and liabilities, net</w:t>
            </w:r>
          </w:p>
        </w:tc>
        <w:tc>
          <w:tcPr>
            <w:tcW w:w="94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w:t>
            </w:r>
          </w:p>
        </w:tc>
        <w:tc>
          <w:tcPr>
            <w:tcW w:w="106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(61)</w:t>
            </w:r>
          </w:p>
        </w:tc>
      </w:tr>
      <w:tr>
        <w:trPr>
          <w:trHeight w:val="209"/>
        </w:trPr>
        <w:tc>
          <w:tcPr>
            <w:tcW w:w="8220" w:type="dxa"/>
            <w:vAlign w:val="bottom"/>
            <w:shd w:val="clear" w:color="auto" w:fill="D4F1F5"/>
          </w:tcPr>
          <w:p>
            <w:pPr>
              <w:ind w:left="460"/>
              <w:spacing w:after="0"/>
              <w:rPr>
                <w:sz w:val="20"/>
                <w:szCs w:val="20"/>
                <w:color w:val="auto"/>
              </w:rPr>
            </w:pPr>
            <w:r>
              <w:rPr>
                <w:rFonts w:ascii="Arial" w:cs="Arial" w:eastAsia="Arial" w:hAnsi="Arial"/>
                <w:sz w:val="16"/>
                <w:szCs w:val="16"/>
                <w:color w:val="auto"/>
              </w:rPr>
              <w:t>Net cash provided by operating activities</w:t>
            </w:r>
          </w:p>
        </w:tc>
        <w:tc>
          <w:tcPr>
            <w:tcW w:w="940" w:type="dxa"/>
            <w:vAlign w:val="bottom"/>
            <w:tcBorders>
              <w:bottom w:val="single" w:sz="8" w:color="auto"/>
            </w:tcBorders>
            <w:shd w:val="clear" w:color="auto" w:fill="D4F1F5"/>
          </w:tcPr>
          <w:p>
            <w:pPr>
              <w:spacing w:after="0"/>
              <w:rPr>
                <w:sz w:val="18"/>
                <w:szCs w:val="18"/>
                <w:color w:val="auto"/>
              </w:rPr>
            </w:pPr>
          </w:p>
        </w:tc>
        <w:tc>
          <w:tcPr>
            <w:tcW w:w="560" w:type="dxa"/>
            <w:vAlign w:val="bottom"/>
            <w:tcBorders>
              <w:bottom w:val="single" w:sz="8" w:color="auto"/>
            </w:tcBorders>
            <w:shd w:val="clear" w:color="auto" w:fill="D4F1F5"/>
          </w:tcPr>
          <w:p>
            <w:pPr>
              <w:jc w:val="right"/>
              <w:ind w:right="40"/>
              <w:spacing w:after="0"/>
              <w:rPr>
                <w:sz w:val="20"/>
                <w:szCs w:val="20"/>
                <w:color w:val="auto"/>
              </w:rPr>
            </w:pPr>
            <w:r>
              <w:rPr>
                <w:rFonts w:ascii="Arial" w:cs="Arial" w:eastAsia="Arial" w:hAnsi="Arial"/>
                <w:sz w:val="16"/>
                <w:szCs w:val="16"/>
                <w:color w:val="auto"/>
              </w:rPr>
              <w:t>674</w:t>
            </w:r>
          </w:p>
        </w:tc>
        <w:tc>
          <w:tcPr>
            <w:tcW w:w="1060" w:type="dxa"/>
            <w:vAlign w:val="bottom"/>
            <w:tcBorders>
              <w:bottom w:val="single" w:sz="8" w:color="auto"/>
            </w:tcBorders>
            <w:shd w:val="clear" w:color="auto" w:fill="D4F1F5"/>
          </w:tcPr>
          <w:p>
            <w:pPr>
              <w:spacing w:after="0"/>
              <w:rPr>
                <w:sz w:val="18"/>
                <w:szCs w:val="18"/>
                <w:color w:val="auto"/>
              </w:rPr>
            </w:pPr>
          </w:p>
        </w:tc>
        <w:tc>
          <w:tcPr>
            <w:tcW w:w="460" w:type="dxa"/>
            <w:vAlign w:val="bottom"/>
            <w:tcBorders>
              <w:bottom w:val="single" w:sz="8" w:color="auto"/>
            </w:tcBorders>
            <w:shd w:val="clear" w:color="auto" w:fill="D4F1F5"/>
          </w:tcPr>
          <w:p>
            <w:pPr>
              <w:jc w:val="right"/>
              <w:spacing w:after="0"/>
              <w:rPr>
                <w:sz w:val="20"/>
                <w:szCs w:val="20"/>
                <w:color w:val="auto"/>
              </w:rPr>
            </w:pPr>
            <w:r>
              <w:rPr>
                <w:rFonts w:ascii="Arial" w:cs="Arial" w:eastAsia="Arial" w:hAnsi="Arial"/>
                <w:sz w:val="16"/>
                <w:szCs w:val="16"/>
                <w:color w:val="auto"/>
              </w:rPr>
              <w:t>578</w:t>
            </w:r>
          </w:p>
        </w:tc>
      </w:tr>
      <w:tr>
        <w:trPr>
          <w:trHeight w:val="197"/>
        </w:trPr>
        <w:tc>
          <w:tcPr>
            <w:tcW w:w="8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460" w:type="dxa"/>
            <w:vAlign w:val="bottom"/>
          </w:tcPr>
          <w:p>
            <w:pPr>
              <w:spacing w:after="0"/>
              <w:rPr>
                <w:sz w:val="17"/>
                <w:szCs w:val="17"/>
                <w:color w:val="auto"/>
              </w:rPr>
            </w:pPr>
          </w:p>
        </w:tc>
      </w:tr>
      <w:tr>
        <w:trPr>
          <w:trHeight w:val="216"/>
        </w:trPr>
        <w:tc>
          <w:tcPr>
            <w:tcW w:w="8220" w:type="dxa"/>
            <w:vAlign w:val="bottom"/>
            <w:shd w:val="clear" w:color="auto" w:fill="D4F1F5"/>
          </w:tcPr>
          <w:p>
            <w:pPr>
              <w:ind w:left="20"/>
              <w:spacing w:after="0"/>
              <w:rPr>
                <w:sz w:val="20"/>
                <w:szCs w:val="20"/>
                <w:color w:val="auto"/>
              </w:rPr>
            </w:pPr>
            <w:r>
              <w:rPr>
                <w:rFonts w:ascii="Arial" w:cs="Arial" w:eastAsia="Arial" w:hAnsi="Arial"/>
                <w:sz w:val="16"/>
                <w:szCs w:val="16"/>
                <w:color w:val="auto"/>
              </w:rPr>
              <w:t>CASH FLOWS FROM INVESTING ACTIVITIES</w:t>
            </w:r>
          </w:p>
        </w:tc>
        <w:tc>
          <w:tcPr>
            <w:tcW w:w="940" w:type="dxa"/>
            <w:vAlign w:val="bottom"/>
            <w:shd w:val="clear" w:color="auto" w:fill="D4F1F5"/>
          </w:tcPr>
          <w:p>
            <w:pPr>
              <w:spacing w:after="0"/>
              <w:rPr>
                <w:sz w:val="18"/>
                <w:szCs w:val="18"/>
                <w:color w:val="auto"/>
              </w:rPr>
            </w:pPr>
          </w:p>
        </w:tc>
        <w:tc>
          <w:tcPr>
            <w:tcW w:w="560" w:type="dxa"/>
            <w:vAlign w:val="bottom"/>
            <w:shd w:val="clear" w:color="auto" w:fill="D4F1F5"/>
          </w:tcPr>
          <w:p>
            <w:pPr>
              <w:spacing w:after="0"/>
              <w:rPr>
                <w:sz w:val="18"/>
                <w:szCs w:val="18"/>
                <w:color w:val="auto"/>
              </w:rPr>
            </w:pPr>
          </w:p>
        </w:tc>
        <w:tc>
          <w:tcPr>
            <w:tcW w:w="1060" w:type="dxa"/>
            <w:vAlign w:val="bottom"/>
            <w:shd w:val="clear" w:color="auto" w:fill="D4F1F5"/>
          </w:tcPr>
          <w:p>
            <w:pPr>
              <w:spacing w:after="0"/>
              <w:rPr>
                <w:sz w:val="18"/>
                <w:szCs w:val="18"/>
                <w:color w:val="auto"/>
              </w:rPr>
            </w:pPr>
          </w:p>
        </w:tc>
        <w:tc>
          <w:tcPr>
            <w:tcW w:w="460" w:type="dxa"/>
            <w:vAlign w:val="bottom"/>
            <w:shd w:val="clear" w:color="auto" w:fill="D4F1F5"/>
          </w:tcPr>
          <w:p>
            <w:pPr>
              <w:spacing w:after="0"/>
              <w:rPr>
                <w:sz w:val="18"/>
                <w:szCs w:val="18"/>
                <w:color w:val="auto"/>
              </w:rPr>
            </w:pPr>
          </w:p>
        </w:tc>
      </w:tr>
      <w:tr>
        <w:trPr>
          <w:trHeight w:val="215"/>
        </w:trPr>
        <w:tc>
          <w:tcPr>
            <w:tcW w:w="8220" w:type="dxa"/>
            <w:vAlign w:val="bottom"/>
          </w:tcPr>
          <w:p>
            <w:pPr>
              <w:ind w:left="240"/>
              <w:spacing w:after="0"/>
              <w:rPr>
                <w:sz w:val="20"/>
                <w:szCs w:val="20"/>
                <w:color w:val="auto"/>
              </w:rPr>
            </w:pPr>
            <w:r>
              <w:rPr>
                <w:rFonts w:ascii="Arial" w:cs="Arial" w:eastAsia="Arial" w:hAnsi="Arial"/>
                <w:sz w:val="16"/>
                <w:szCs w:val="16"/>
                <w:color w:val="auto"/>
              </w:rPr>
              <w:t>Expenditures for property, plant and equipment</w:t>
            </w:r>
          </w:p>
        </w:tc>
        <w:tc>
          <w:tcPr>
            <w:tcW w:w="9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(486)</w:t>
            </w:r>
          </w:p>
        </w:tc>
        <w:tc>
          <w:tcPr>
            <w:tcW w:w="106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(539)</w:t>
            </w:r>
          </w:p>
        </w:tc>
      </w:tr>
      <w:tr>
        <w:trPr>
          <w:trHeight w:val="217"/>
        </w:trPr>
        <w:tc>
          <w:tcPr>
            <w:tcW w:w="8220" w:type="dxa"/>
            <w:vAlign w:val="bottom"/>
            <w:shd w:val="clear" w:color="auto" w:fill="D4F1F5"/>
          </w:tcPr>
          <w:p>
            <w:pPr>
              <w:ind w:left="240"/>
              <w:spacing w:after="0"/>
              <w:rPr>
                <w:sz w:val="20"/>
                <w:szCs w:val="20"/>
                <w:color w:val="auto"/>
              </w:rPr>
            </w:pPr>
            <w:r>
              <w:rPr>
                <w:rFonts w:ascii="Arial" w:cs="Arial" w:eastAsia="Arial" w:hAnsi="Arial"/>
                <w:sz w:val="16"/>
                <w:szCs w:val="16"/>
                <w:color w:val="auto"/>
              </w:rPr>
              <w:t>Purchases of nuclear decommissioning trust assets</w:t>
            </w:r>
          </w:p>
        </w:tc>
        <w:tc>
          <w:tcPr>
            <w:tcW w:w="940" w:type="dxa"/>
            <w:vAlign w:val="bottom"/>
            <w:shd w:val="clear" w:color="auto" w:fill="D4F1F5"/>
          </w:tcPr>
          <w:p>
            <w:pPr>
              <w:spacing w:after="0"/>
              <w:rPr>
                <w:sz w:val="18"/>
                <w:szCs w:val="18"/>
                <w:color w:val="auto"/>
              </w:rPr>
            </w:pPr>
          </w:p>
        </w:tc>
        <w:tc>
          <w:tcPr>
            <w:tcW w:w="560" w:type="dxa"/>
            <w:vAlign w:val="bottom"/>
            <w:shd w:val="clear" w:color="auto" w:fill="D4F1F5"/>
          </w:tcPr>
          <w:p>
            <w:pPr>
              <w:jc w:val="right"/>
              <w:spacing w:after="0"/>
              <w:rPr>
                <w:sz w:val="20"/>
                <w:szCs w:val="20"/>
                <w:color w:val="auto"/>
              </w:rPr>
            </w:pPr>
            <w:r>
              <w:rPr>
                <w:rFonts w:ascii="Arial" w:cs="Arial" w:eastAsia="Arial" w:hAnsi="Arial"/>
                <w:sz w:val="16"/>
                <w:szCs w:val="16"/>
                <w:color w:val="auto"/>
              </w:rPr>
              <w:t>(283)</w:t>
            </w:r>
          </w:p>
        </w:tc>
        <w:tc>
          <w:tcPr>
            <w:tcW w:w="1060" w:type="dxa"/>
            <w:vAlign w:val="bottom"/>
            <w:shd w:val="clear" w:color="auto" w:fill="D4F1F5"/>
          </w:tcPr>
          <w:p>
            <w:pPr>
              <w:spacing w:after="0"/>
              <w:rPr>
                <w:sz w:val="18"/>
                <w:szCs w:val="18"/>
                <w:color w:val="auto"/>
              </w:rPr>
            </w:pPr>
          </w:p>
        </w:tc>
        <w:tc>
          <w:tcPr>
            <w:tcW w:w="460" w:type="dxa"/>
            <w:vAlign w:val="bottom"/>
            <w:shd w:val="clear" w:color="auto" w:fill="D4F1F5"/>
          </w:tcPr>
          <w:p>
            <w:pPr>
              <w:jc w:val="right"/>
              <w:spacing w:after="0"/>
              <w:rPr>
                <w:sz w:val="20"/>
                <w:szCs w:val="20"/>
                <w:color w:val="auto"/>
              </w:rPr>
            </w:pPr>
            <w:r>
              <w:rPr>
                <w:rFonts w:ascii="Arial" w:cs="Arial" w:eastAsia="Arial" w:hAnsi="Arial"/>
                <w:sz w:val="16"/>
                <w:szCs w:val="16"/>
                <w:color w:val="auto"/>
              </w:rPr>
              <w:t>(258)</w:t>
            </w:r>
          </w:p>
        </w:tc>
      </w:tr>
      <w:tr>
        <w:trPr>
          <w:trHeight w:val="215"/>
        </w:trPr>
        <w:tc>
          <w:tcPr>
            <w:tcW w:w="8220" w:type="dxa"/>
            <w:vAlign w:val="bottom"/>
            <w:tcBorders>
              <w:bottom w:val="single" w:sz="8" w:color="D4F1F5"/>
            </w:tcBorders>
          </w:tcPr>
          <w:p>
            <w:pPr>
              <w:ind w:left="240"/>
              <w:spacing w:after="0"/>
              <w:rPr>
                <w:sz w:val="20"/>
                <w:szCs w:val="20"/>
                <w:color w:val="auto"/>
              </w:rPr>
            </w:pPr>
            <w:r>
              <w:rPr>
                <w:rFonts w:ascii="Arial" w:cs="Arial" w:eastAsia="Arial" w:hAnsi="Arial"/>
                <w:sz w:val="16"/>
                <w:szCs w:val="16"/>
                <w:color w:val="auto"/>
              </w:rPr>
              <w:t>Proceeds from sales of nuclear decommissioning trust assets</w:t>
            </w:r>
          </w:p>
        </w:tc>
        <w:tc>
          <w:tcPr>
            <w:tcW w:w="94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291</w:t>
            </w:r>
          </w:p>
        </w:tc>
        <w:tc>
          <w:tcPr>
            <w:tcW w:w="106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274</w:t>
            </w:r>
          </w:p>
        </w:tc>
      </w:tr>
      <w:tr>
        <w:trPr>
          <w:trHeight w:val="209"/>
        </w:trPr>
        <w:tc>
          <w:tcPr>
            <w:tcW w:w="8220" w:type="dxa"/>
            <w:vAlign w:val="bottom"/>
            <w:shd w:val="clear" w:color="auto" w:fill="D4F1F5"/>
          </w:tcPr>
          <w:p>
            <w:pPr>
              <w:ind w:left="460"/>
              <w:spacing w:after="0"/>
              <w:rPr>
                <w:sz w:val="20"/>
                <w:szCs w:val="20"/>
                <w:color w:val="auto"/>
              </w:rPr>
            </w:pPr>
            <w:r>
              <w:rPr>
                <w:rFonts w:ascii="Arial" w:cs="Arial" w:eastAsia="Arial" w:hAnsi="Arial"/>
                <w:sz w:val="16"/>
                <w:szCs w:val="16"/>
                <w:color w:val="auto"/>
              </w:rPr>
              <w:t>Net cash used in investing activities</w:t>
            </w:r>
          </w:p>
        </w:tc>
        <w:tc>
          <w:tcPr>
            <w:tcW w:w="940" w:type="dxa"/>
            <w:vAlign w:val="bottom"/>
            <w:tcBorders>
              <w:bottom w:val="single" w:sz="8" w:color="auto"/>
            </w:tcBorders>
            <w:shd w:val="clear" w:color="auto" w:fill="D4F1F5"/>
          </w:tcPr>
          <w:p>
            <w:pPr>
              <w:spacing w:after="0"/>
              <w:rPr>
                <w:sz w:val="18"/>
                <w:szCs w:val="18"/>
                <w:color w:val="auto"/>
              </w:rPr>
            </w:pPr>
          </w:p>
        </w:tc>
        <w:tc>
          <w:tcPr>
            <w:tcW w:w="560" w:type="dxa"/>
            <w:vAlign w:val="bottom"/>
            <w:tcBorders>
              <w:bottom w:val="single" w:sz="8" w:color="auto"/>
            </w:tcBorders>
            <w:shd w:val="clear" w:color="auto" w:fill="D4F1F5"/>
          </w:tcPr>
          <w:p>
            <w:pPr>
              <w:jc w:val="right"/>
              <w:spacing w:after="0"/>
              <w:rPr>
                <w:sz w:val="20"/>
                <w:szCs w:val="20"/>
                <w:color w:val="auto"/>
              </w:rPr>
            </w:pPr>
            <w:r>
              <w:rPr>
                <w:rFonts w:ascii="Arial" w:cs="Arial" w:eastAsia="Arial" w:hAnsi="Arial"/>
                <w:sz w:val="16"/>
                <w:szCs w:val="16"/>
                <w:color w:val="auto"/>
              </w:rPr>
              <w:t>(478)</w:t>
            </w:r>
          </w:p>
        </w:tc>
        <w:tc>
          <w:tcPr>
            <w:tcW w:w="1060" w:type="dxa"/>
            <w:vAlign w:val="bottom"/>
            <w:tcBorders>
              <w:bottom w:val="single" w:sz="8" w:color="auto"/>
            </w:tcBorders>
            <w:shd w:val="clear" w:color="auto" w:fill="D4F1F5"/>
          </w:tcPr>
          <w:p>
            <w:pPr>
              <w:spacing w:after="0"/>
              <w:rPr>
                <w:sz w:val="18"/>
                <w:szCs w:val="18"/>
                <w:color w:val="auto"/>
              </w:rPr>
            </w:pPr>
          </w:p>
        </w:tc>
        <w:tc>
          <w:tcPr>
            <w:tcW w:w="460" w:type="dxa"/>
            <w:vAlign w:val="bottom"/>
            <w:tcBorders>
              <w:bottom w:val="single" w:sz="8" w:color="auto"/>
            </w:tcBorders>
            <w:shd w:val="clear" w:color="auto" w:fill="D4F1F5"/>
          </w:tcPr>
          <w:p>
            <w:pPr>
              <w:jc w:val="right"/>
              <w:spacing w:after="0"/>
              <w:rPr>
                <w:sz w:val="20"/>
                <w:szCs w:val="20"/>
                <w:color w:val="auto"/>
              </w:rPr>
            </w:pPr>
            <w:r>
              <w:rPr>
                <w:rFonts w:ascii="Arial" w:cs="Arial" w:eastAsia="Arial" w:hAnsi="Arial"/>
                <w:sz w:val="16"/>
                <w:szCs w:val="16"/>
                <w:color w:val="auto"/>
              </w:rPr>
              <w:t>(523)</w:t>
            </w:r>
          </w:p>
        </w:tc>
      </w:tr>
      <w:tr>
        <w:trPr>
          <w:trHeight w:val="197"/>
        </w:trPr>
        <w:tc>
          <w:tcPr>
            <w:tcW w:w="8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460" w:type="dxa"/>
            <w:vAlign w:val="bottom"/>
          </w:tcPr>
          <w:p>
            <w:pPr>
              <w:spacing w:after="0"/>
              <w:rPr>
                <w:sz w:val="17"/>
                <w:szCs w:val="17"/>
                <w:color w:val="auto"/>
              </w:rPr>
            </w:pPr>
          </w:p>
        </w:tc>
      </w:tr>
      <w:tr>
        <w:trPr>
          <w:trHeight w:val="216"/>
        </w:trPr>
        <w:tc>
          <w:tcPr>
            <w:tcW w:w="8220" w:type="dxa"/>
            <w:vAlign w:val="bottom"/>
            <w:shd w:val="clear" w:color="auto" w:fill="D4F1F5"/>
          </w:tcPr>
          <w:p>
            <w:pPr>
              <w:ind w:left="20"/>
              <w:spacing w:after="0"/>
              <w:rPr>
                <w:sz w:val="20"/>
                <w:szCs w:val="20"/>
                <w:color w:val="auto"/>
              </w:rPr>
            </w:pPr>
            <w:r>
              <w:rPr>
                <w:rFonts w:ascii="Arial" w:cs="Arial" w:eastAsia="Arial" w:hAnsi="Arial"/>
                <w:sz w:val="16"/>
                <w:szCs w:val="16"/>
                <w:color w:val="auto"/>
              </w:rPr>
              <w:t>CASH FLOWS FROM FINANCING ACTIVITIES</w:t>
            </w:r>
          </w:p>
        </w:tc>
        <w:tc>
          <w:tcPr>
            <w:tcW w:w="940" w:type="dxa"/>
            <w:vAlign w:val="bottom"/>
            <w:shd w:val="clear" w:color="auto" w:fill="D4F1F5"/>
          </w:tcPr>
          <w:p>
            <w:pPr>
              <w:spacing w:after="0"/>
              <w:rPr>
                <w:sz w:val="18"/>
                <w:szCs w:val="18"/>
                <w:color w:val="auto"/>
              </w:rPr>
            </w:pPr>
          </w:p>
        </w:tc>
        <w:tc>
          <w:tcPr>
            <w:tcW w:w="560" w:type="dxa"/>
            <w:vAlign w:val="bottom"/>
            <w:shd w:val="clear" w:color="auto" w:fill="D4F1F5"/>
          </w:tcPr>
          <w:p>
            <w:pPr>
              <w:spacing w:after="0"/>
              <w:rPr>
                <w:sz w:val="18"/>
                <w:szCs w:val="18"/>
                <w:color w:val="auto"/>
              </w:rPr>
            </w:pPr>
          </w:p>
        </w:tc>
        <w:tc>
          <w:tcPr>
            <w:tcW w:w="1060" w:type="dxa"/>
            <w:vAlign w:val="bottom"/>
            <w:shd w:val="clear" w:color="auto" w:fill="D4F1F5"/>
          </w:tcPr>
          <w:p>
            <w:pPr>
              <w:spacing w:after="0"/>
              <w:rPr>
                <w:sz w:val="18"/>
                <w:szCs w:val="18"/>
                <w:color w:val="auto"/>
              </w:rPr>
            </w:pPr>
          </w:p>
        </w:tc>
        <w:tc>
          <w:tcPr>
            <w:tcW w:w="460" w:type="dxa"/>
            <w:vAlign w:val="bottom"/>
            <w:shd w:val="clear" w:color="auto" w:fill="D4F1F5"/>
          </w:tcPr>
          <w:p>
            <w:pPr>
              <w:spacing w:after="0"/>
              <w:rPr>
                <w:sz w:val="18"/>
                <w:szCs w:val="18"/>
                <w:color w:val="auto"/>
              </w:rPr>
            </w:pPr>
          </w:p>
        </w:tc>
      </w:tr>
      <w:tr>
        <w:trPr>
          <w:trHeight w:val="215"/>
        </w:trPr>
        <w:tc>
          <w:tcPr>
            <w:tcW w:w="8220" w:type="dxa"/>
            <w:vAlign w:val="bottom"/>
          </w:tcPr>
          <w:p>
            <w:pPr>
              <w:ind w:left="240"/>
              <w:spacing w:after="0"/>
              <w:rPr>
                <w:sz w:val="20"/>
                <w:szCs w:val="20"/>
                <w:color w:val="auto"/>
              </w:rPr>
            </w:pPr>
            <w:r>
              <w:rPr>
                <w:rFonts w:ascii="Arial" w:cs="Arial" w:eastAsia="Arial" w:hAnsi="Arial"/>
                <w:sz w:val="16"/>
                <w:szCs w:val="16"/>
                <w:color w:val="auto"/>
              </w:rPr>
              <w:t>Issuances of debt (maturities greater than 90 days)</w:t>
            </w:r>
          </w:p>
        </w:tc>
        <w:tc>
          <w:tcPr>
            <w:tcW w:w="940" w:type="dxa"/>
            <w:vAlign w:val="bottom"/>
          </w:tcPr>
          <w:p>
            <w:pPr>
              <w:spacing w:after="0"/>
              <w:rPr>
                <w:sz w:val="18"/>
                <w:szCs w:val="18"/>
                <w:color w:val="auto"/>
              </w:rPr>
            </w:pPr>
          </w:p>
        </w:tc>
        <w:tc>
          <w:tcPr>
            <w:tcW w:w="560" w:type="dxa"/>
            <w:vAlign w:val="bottom"/>
          </w:tcPr>
          <w:p>
            <w:pPr>
              <w:jc w:val="right"/>
              <w:ind w:right="40"/>
              <w:spacing w:after="0"/>
              <w:rPr>
                <w:sz w:val="20"/>
                <w:szCs w:val="20"/>
                <w:color w:val="auto"/>
              </w:rPr>
            </w:pPr>
            <w:r>
              <w:rPr>
                <w:rFonts w:ascii="Arial" w:cs="Arial" w:eastAsia="Arial" w:hAnsi="Arial"/>
                <w:sz w:val="16"/>
                <w:szCs w:val="16"/>
                <w:color w:val="auto"/>
              </w:rPr>
              <w:t>1,096</w:t>
            </w:r>
          </w:p>
        </w:tc>
        <w:tc>
          <w:tcPr>
            <w:tcW w:w="106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848</w:t>
            </w:r>
          </w:p>
        </w:tc>
      </w:tr>
      <w:tr>
        <w:trPr>
          <w:trHeight w:val="217"/>
        </w:trPr>
        <w:tc>
          <w:tcPr>
            <w:tcW w:w="8220" w:type="dxa"/>
            <w:vAlign w:val="bottom"/>
            <w:shd w:val="clear" w:color="auto" w:fill="D4F1F5"/>
          </w:tcPr>
          <w:p>
            <w:pPr>
              <w:ind w:left="240"/>
              <w:spacing w:after="0"/>
              <w:rPr>
                <w:sz w:val="20"/>
                <w:szCs w:val="20"/>
                <w:color w:val="auto"/>
              </w:rPr>
            </w:pPr>
            <w:r>
              <w:rPr>
                <w:rFonts w:ascii="Arial" w:cs="Arial" w:eastAsia="Arial" w:hAnsi="Arial"/>
                <w:sz w:val="16"/>
                <w:szCs w:val="16"/>
                <w:color w:val="auto"/>
              </w:rPr>
              <w:t>Payments on finance leases</w:t>
            </w:r>
          </w:p>
        </w:tc>
        <w:tc>
          <w:tcPr>
            <w:tcW w:w="940" w:type="dxa"/>
            <w:vAlign w:val="bottom"/>
            <w:shd w:val="clear" w:color="auto" w:fill="D4F1F5"/>
          </w:tcPr>
          <w:p>
            <w:pPr>
              <w:spacing w:after="0"/>
              <w:rPr>
                <w:sz w:val="18"/>
                <w:szCs w:val="18"/>
                <w:color w:val="auto"/>
              </w:rPr>
            </w:pPr>
          </w:p>
        </w:tc>
        <w:tc>
          <w:tcPr>
            <w:tcW w:w="560" w:type="dxa"/>
            <w:vAlign w:val="bottom"/>
            <w:shd w:val="clear" w:color="auto" w:fill="D4F1F5"/>
          </w:tcPr>
          <w:p>
            <w:pPr>
              <w:jc w:val="right"/>
              <w:spacing w:after="0"/>
              <w:rPr>
                <w:sz w:val="20"/>
                <w:szCs w:val="20"/>
                <w:color w:val="auto"/>
              </w:rPr>
            </w:pPr>
            <w:r>
              <w:rPr>
                <w:rFonts w:ascii="Arial" w:cs="Arial" w:eastAsia="Arial" w:hAnsi="Arial"/>
                <w:sz w:val="16"/>
                <w:szCs w:val="16"/>
                <w:color w:val="auto"/>
              </w:rPr>
              <w:t>(12)</w:t>
            </w:r>
          </w:p>
        </w:tc>
        <w:tc>
          <w:tcPr>
            <w:tcW w:w="1060" w:type="dxa"/>
            <w:vAlign w:val="bottom"/>
            <w:shd w:val="clear" w:color="auto" w:fill="D4F1F5"/>
          </w:tcPr>
          <w:p>
            <w:pPr>
              <w:spacing w:after="0"/>
              <w:rPr>
                <w:sz w:val="18"/>
                <w:szCs w:val="18"/>
                <w:color w:val="auto"/>
              </w:rPr>
            </w:pPr>
          </w:p>
        </w:tc>
        <w:tc>
          <w:tcPr>
            <w:tcW w:w="460" w:type="dxa"/>
            <w:vAlign w:val="bottom"/>
            <w:shd w:val="clear" w:color="auto" w:fill="D4F1F5"/>
          </w:tcPr>
          <w:p>
            <w:pPr>
              <w:jc w:val="right"/>
              <w:spacing w:after="0"/>
              <w:rPr>
                <w:sz w:val="20"/>
                <w:szCs w:val="20"/>
                <w:color w:val="auto"/>
              </w:rPr>
            </w:pPr>
            <w:r>
              <w:rPr>
                <w:rFonts w:ascii="Arial" w:cs="Arial" w:eastAsia="Arial" w:hAnsi="Arial"/>
                <w:sz w:val="16"/>
                <w:szCs w:val="16"/>
                <w:color w:val="auto"/>
              </w:rPr>
              <w:t>(10)</w:t>
            </w:r>
          </w:p>
        </w:tc>
      </w:tr>
      <w:tr>
        <w:trPr>
          <w:trHeight w:val="215"/>
        </w:trPr>
        <w:tc>
          <w:tcPr>
            <w:tcW w:w="8220" w:type="dxa"/>
            <w:vAlign w:val="bottom"/>
          </w:tcPr>
          <w:p>
            <w:pPr>
              <w:ind w:left="240"/>
              <w:spacing w:after="0"/>
              <w:rPr>
                <w:sz w:val="20"/>
                <w:szCs w:val="20"/>
                <w:color w:val="auto"/>
              </w:rPr>
            </w:pPr>
            <w:r>
              <w:rPr>
                <w:rFonts w:ascii="Arial" w:cs="Arial" w:eastAsia="Arial" w:hAnsi="Arial"/>
                <w:sz w:val="16"/>
                <w:szCs w:val="16"/>
                <w:color w:val="auto"/>
              </w:rPr>
              <w:t>Decrease in short-term debt, net</w:t>
            </w:r>
          </w:p>
        </w:tc>
        <w:tc>
          <w:tcPr>
            <w:tcW w:w="9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(531)</w:t>
            </w:r>
          </w:p>
        </w:tc>
        <w:tc>
          <w:tcPr>
            <w:tcW w:w="106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(280)</w:t>
            </w:r>
          </w:p>
        </w:tc>
      </w:tr>
      <w:tr>
        <w:trPr>
          <w:trHeight w:val="217"/>
        </w:trPr>
        <w:tc>
          <w:tcPr>
            <w:tcW w:w="8220" w:type="dxa"/>
            <w:vAlign w:val="bottom"/>
            <w:shd w:val="clear" w:color="auto" w:fill="D4F1F5"/>
          </w:tcPr>
          <w:p>
            <w:pPr>
              <w:ind w:left="240"/>
              <w:spacing w:after="0"/>
              <w:rPr>
                <w:sz w:val="20"/>
                <w:szCs w:val="20"/>
                <w:color w:val="auto"/>
              </w:rPr>
            </w:pPr>
            <w:r>
              <w:rPr>
                <w:rFonts w:ascii="Arial" w:cs="Arial" w:eastAsia="Arial" w:hAnsi="Arial"/>
                <w:sz w:val="16"/>
                <w:szCs w:val="16"/>
                <w:color w:val="auto"/>
              </w:rPr>
              <w:t>Debt issuance costs</w:t>
            </w:r>
          </w:p>
        </w:tc>
        <w:tc>
          <w:tcPr>
            <w:tcW w:w="940" w:type="dxa"/>
            <w:vAlign w:val="bottom"/>
            <w:tcBorders>
              <w:bottom w:val="single" w:sz="8" w:color="auto"/>
            </w:tcBorders>
            <w:shd w:val="clear" w:color="auto" w:fill="D4F1F5"/>
          </w:tcPr>
          <w:p>
            <w:pPr>
              <w:spacing w:after="0"/>
              <w:rPr>
                <w:sz w:val="18"/>
                <w:szCs w:val="18"/>
                <w:color w:val="auto"/>
              </w:rPr>
            </w:pPr>
          </w:p>
        </w:tc>
        <w:tc>
          <w:tcPr>
            <w:tcW w:w="560" w:type="dxa"/>
            <w:vAlign w:val="bottom"/>
            <w:tcBorders>
              <w:bottom w:val="single" w:sz="8" w:color="auto"/>
            </w:tcBorders>
            <w:shd w:val="clear" w:color="auto" w:fill="D4F1F5"/>
          </w:tcPr>
          <w:p>
            <w:pPr>
              <w:jc w:val="right"/>
              <w:spacing w:after="0"/>
              <w:rPr>
                <w:sz w:val="20"/>
                <w:szCs w:val="20"/>
                <w:color w:val="auto"/>
              </w:rPr>
            </w:pPr>
            <w:r>
              <w:rPr>
                <w:rFonts w:ascii="Arial" w:cs="Arial" w:eastAsia="Arial" w:hAnsi="Arial"/>
                <w:sz w:val="16"/>
                <w:szCs w:val="16"/>
                <w:color w:val="auto"/>
              </w:rPr>
              <w:t>(9)</w:t>
            </w:r>
          </w:p>
        </w:tc>
        <w:tc>
          <w:tcPr>
            <w:tcW w:w="1060" w:type="dxa"/>
            <w:vAlign w:val="bottom"/>
            <w:tcBorders>
              <w:bottom w:val="single" w:sz="8" w:color="auto"/>
            </w:tcBorders>
            <w:shd w:val="clear" w:color="auto" w:fill="D4F1F5"/>
          </w:tcPr>
          <w:p>
            <w:pPr>
              <w:spacing w:after="0"/>
              <w:rPr>
                <w:sz w:val="18"/>
                <w:szCs w:val="18"/>
                <w:color w:val="auto"/>
              </w:rPr>
            </w:pPr>
          </w:p>
        </w:tc>
        <w:tc>
          <w:tcPr>
            <w:tcW w:w="460" w:type="dxa"/>
            <w:vAlign w:val="bottom"/>
            <w:tcBorders>
              <w:bottom w:val="single" w:sz="8" w:color="auto"/>
            </w:tcBorders>
            <w:shd w:val="clear" w:color="auto" w:fill="D4F1F5"/>
          </w:tcPr>
          <w:p>
            <w:pPr>
              <w:jc w:val="right"/>
              <w:spacing w:after="0"/>
              <w:rPr>
                <w:sz w:val="20"/>
                <w:szCs w:val="20"/>
                <w:color w:val="auto"/>
              </w:rPr>
            </w:pPr>
            <w:r>
              <w:rPr>
                <w:rFonts w:ascii="Arial" w:cs="Arial" w:eastAsia="Arial" w:hAnsi="Arial"/>
                <w:sz w:val="16"/>
                <w:szCs w:val="16"/>
                <w:color w:val="auto"/>
              </w:rPr>
              <w:t>(6)</w:t>
            </w:r>
          </w:p>
        </w:tc>
      </w:tr>
      <w:tr>
        <w:trPr>
          <w:trHeight w:val="209"/>
        </w:trPr>
        <w:tc>
          <w:tcPr>
            <w:tcW w:w="8220" w:type="dxa"/>
            <w:vAlign w:val="bottom"/>
            <w:tcBorders>
              <w:bottom w:val="single" w:sz="8" w:color="D4F1F5"/>
            </w:tcBorders>
          </w:tcPr>
          <w:p>
            <w:pPr>
              <w:ind w:left="460"/>
              <w:spacing w:after="0"/>
              <w:rPr>
                <w:sz w:val="20"/>
                <w:szCs w:val="20"/>
                <w:color w:val="auto"/>
              </w:rPr>
            </w:pPr>
            <w:r>
              <w:rPr>
                <w:rFonts w:ascii="Arial" w:cs="Arial" w:eastAsia="Arial" w:hAnsi="Arial"/>
                <w:sz w:val="16"/>
                <w:szCs w:val="16"/>
                <w:color w:val="auto"/>
              </w:rPr>
              <w:t>Net cash provided by financing activities</w:t>
            </w:r>
          </w:p>
        </w:tc>
        <w:tc>
          <w:tcPr>
            <w:tcW w:w="94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544</w:t>
            </w:r>
          </w:p>
        </w:tc>
        <w:tc>
          <w:tcPr>
            <w:tcW w:w="106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552</w:t>
            </w:r>
          </w:p>
        </w:tc>
      </w:tr>
      <w:tr>
        <w:trPr>
          <w:trHeight w:val="197"/>
        </w:trPr>
        <w:tc>
          <w:tcPr>
            <w:tcW w:w="8220" w:type="dxa"/>
            <w:vAlign w:val="bottom"/>
            <w:shd w:val="clear" w:color="auto" w:fill="D4F1F5"/>
          </w:tcPr>
          <w:p>
            <w:pPr>
              <w:spacing w:after="0"/>
              <w:rPr>
                <w:sz w:val="17"/>
                <w:szCs w:val="17"/>
                <w:color w:val="auto"/>
              </w:rPr>
            </w:pPr>
          </w:p>
        </w:tc>
        <w:tc>
          <w:tcPr>
            <w:tcW w:w="940" w:type="dxa"/>
            <w:vAlign w:val="bottom"/>
            <w:shd w:val="clear" w:color="auto" w:fill="D4F1F5"/>
          </w:tcPr>
          <w:p>
            <w:pPr>
              <w:spacing w:after="0"/>
              <w:rPr>
                <w:sz w:val="17"/>
                <w:szCs w:val="17"/>
                <w:color w:val="auto"/>
              </w:rPr>
            </w:pPr>
          </w:p>
        </w:tc>
        <w:tc>
          <w:tcPr>
            <w:tcW w:w="560" w:type="dxa"/>
            <w:vAlign w:val="bottom"/>
            <w:shd w:val="clear" w:color="auto" w:fill="D4F1F5"/>
          </w:tcPr>
          <w:p>
            <w:pPr>
              <w:spacing w:after="0"/>
              <w:rPr>
                <w:sz w:val="17"/>
                <w:szCs w:val="17"/>
                <w:color w:val="auto"/>
              </w:rPr>
            </w:pPr>
          </w:p>
        </w:tc>
        <w:tc>
          <w:tcPr>
            <w:tcW w:w="1060" w:type="dxa"/>
            <w:vAlign w:val="bottom"/>
            <w:shd w:val="clear" w:color="auto" w:fill="D4F1F5"/>
          </w:tcPr>
          <w:p>
            <w:pPr>
              <w:spacing w:after="0"/>
              <w:rPr>
                <w:sz w:val="17"/>
                <w:szCs w:val="17"/>
                <w:color w:val="auto"/>
              </w:rPr>
            </w:pPr>
          </w:p>
        </w:tc>
        <w:tc>
          <w:tcPr>
            <w:tcW w:w="460" w:type="dxa"/>
            <w:vAlign w:val="bottom"/>
            <w:shd w:val="clear" w:color="auto" w:fill="D4F1F5"/>
          </w:tcPr>
          <w:p>
            <w:pPr>
              <w:spacing w:after="0"/>
              <w:rPr>
                <w:sz w:val="17"/>
                <w:szCs w:val="17"/>
                <w:color w:val="auto"/>
              </w:rPr>
            </w:pPr>
          </w:p>
        </w:tc>
      </w:tr>
    </w:tbl>
    <w:p>
      <w:pPr>
        <w:spacing w:after="0" w:line="1" w:lineRule="exact"/>
        <w:rPr>
          <w:sz w:val="20"/>
          <w:szCs w:val="20"/>
          <w:color w:val="auto"/>
        </w:rPr>
      </w:pPr>
    </w:p>
    <w:p>
      <w:pPr>
        <w:sectPr>
          <w:pgSz w:w="11900" w:h="16838" w:orient="portrait"/>
          <w:cols w:equalWidth="0" w:num="1">
            <w:col w:w="11240"/>
          </w:cols>
          <w:pgMar w:left="320" w:top="121" w:right="339" w:bottom="1440" w:gutter="0" w:footer="0" w:header="0"/>
        </w:sectPr>
      </w:pPr>
    </w:p>
    <w:p>
      <w:pPr>
        <w:ind w:left="20"/>
        <w:spacing w:after="0"/>
        <w:rPr>
          <w:sz w:val="20"/>
          <w:szCs w:val="20"/>
          <w:color w:val="auto"/>
        </w:rPr>
      </w:pPr>
      <w:r>
        <w:rPr>
          <w:rFonts w:ascii="Arial" w:cs="Arial" w:eastAsia="Arial" w:hAnsi="Arial"/>
          <w:sz w:val="16"/>
          <w:szCs w:val="16"/>
          <w:color w:val="auto"/>
        </w:rPr>
        <w:t>Increase in cash and cash equivalents</w:t>
      </w:r>
    </w:p>
    <w:p>
      <w:pPr>
        <w:spacing w:after="0" w:line="31" w:lineRule="exact"/>
        <w:rPr>
          <w:sz w:val="20"/>
          <w:szCs w:val="20"/>
          <w:color w:val="auto"/>
        </w:rPr>
      </w:pPr>
    </w:p>
    <w:p>
      <w:pPr>
        <w:ind w:left="20"/>
        <w:spacing w:after="0"/>
        <w:rPr>
          <w:sz w:val="20"/>
          <w:szCs w:val="20"/>
          <w:color w:val="auto"/>
        </w:rPr>
      </w:pPr>
      <w:r>
        <w:rPr>
          <w:rFonts w:ascii="Arial" w:cs="Arial" w:eastAsia="Arial" w:hAnsi="Arial"/>
          <w:sz w:val="16"/>
          <w:szCs w:val="16"/>
          <w:color w:val="auto"/>
        </w:rPr>
        <w:t>Cash and cash equivalents, January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-115570</wp:posOffset>
            </wp:positionV>
            <wp:extent cx="7132320" cy="13716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6" w:lineRule="exact"/>
        <w:rPr>
          <w:sz w:val="20"/>
          <w:szCs w:val="20"/>
          <w:color w:val="auto"/>
        </w:rPr>
      </w:pPr>
    </w:p>
    <w:p>
      <w:pPr>
        <w:ind w:left="20"/>
        <w:spacing w:after="0"/>
        <w:rPr>
          <w:sz w:val="20"/>
          <w:szCs w:val="20"/>
          <w:color w:val="auto"/>
        </w:rPr>
      </w:pPr>
      <w:r>
        <w:rPr>
          <w:rFonts w:ascii="Arial" w:cs="Arial" w:eastAsia="Arial" w:hAnsi="Arial"/>
          <w:sz w:val="16"/>
          <w:szCs w:val="16"/>
          <w:color w:val="auto"/>
        </w:rPr>
        <w:t>Cash and cash equivalents,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13716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42" w:lineRule="exact"/>
        <w:rPr>
          <w:sz w:val="20"/>
          <w:szCs w:val="20"/>
          <w:color w:val="auto"/>
        </w:rPr>
      </w:pPr>
    </w:p>
    <w:p>
      <w:pPr>
        <w:ind w:left="240" w:right="2640" w:hanging="215"/>
        <w:spacing w:after="0" w:line="321" w:lineRule="auto"/>
        <w:rPr>
          <w:sz w:val="20"/>
          <w:szCs w:val="20"/>
          <w:color w:val="auto"/>
        </w:rPr>
      </w:pPr>
      <w:r>
        <w:rPr>
          <w:rFonts w:ascii="Arial" w:cs="Arial" w:eastAsia="Arial" w:hAnsi="Arial"/>
          <w:sz w:val="16"/>
          <w:szCs w:val="16"/>
          <w:color w:val="auto"/>
        </w:rPr>
        <w:t>SUPPLEMENTAL DISCLOSURE OF CASH FLOW INFORMATION Interest payments, net of amounts capitalized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-174625</wp:posOffset>
            </wp:positionV>
            <wp:extent cx="7132320" cy="13716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5"/>
        </w:trPr>
        <w:tc>
          <w:tcPr>
            <w:tcW w:w="600" w:type="dxa"/>
            <w:vAlign w:val="bottom"/>
          </w:tcPr>
          <w:p>
            <w:pPr>
              <w:spacing w:after="0"/>
              <w:rPr>
                <w:sz w:val="18"/>
                <w:szCs w:val="18"/>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740</w:t>
            </w:r>
          </w:p>
        </w:tc>
        <w:tc>
          <w:tcPr>
            <w:tcW w:w="7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607</w:t>
            </w:r>
          </w:p>
        </w:tc>
      </w:tr>
      <w:tr>
        <w:trPr>
          <w:trHeight w:val="216"/>
        </w:trPr>
        <w:tc>
          <w:tcPr>
            <w:tcW w:w="6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7</w:t>
            </w:r>
          </w:p>
        </w:tc>
        <w:tc>
          <w:tcPr>
            <w:tcW w:w="7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218"/>
        </w:trPr>
        <w:tc>
          <w:tcPr>
            <w:tcW w:w="60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747</w:t>
            </w:r>
          </w:p>
        </w:tc>
        <w:tc>
          <w:tcPr>
            <w:tcW w:w="70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607</w:t>
            </w:r>
          </w:p>
        </w:tc>
      </w:tr>
      <w:tr>
        <w:trPr>
          <w:trHeight w:val="633"/>
        </w:trPr>
        <w:tc>
          <w:tcPr>
            <w:tcW w:w="600" w:type="dxa"/>
            <w:vAlign w:val="bottom"/>
          </w:tcPr>
          <w:p>
            <w:pPr>
              <w:jc w:val="right"/>
              <w:ind w:right="419"/>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101</w:t>
            </w:r>
          </w:p>
        </w:tc>
        <w:tc>
          <w:tcPr>
            <w:tcW w:w="700" w:type="dxa"/>
            <w:vAlign w:val="bottom"/>
          </w:tcPr>
          <w:p>
            <w:pPr>
              <w:jc w:val="right"/>
              <w:ind w:right="419"/>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102</w:t>
            </w:r>
          </w:p>
        </w:tc>
      </w:tr>
    </w:tbl>
    <w:p>
      <w:pPr>
        <w:spacing w:after="0" w:line="217" w:lineRule="exact"/>
        <w:rPr>
          <w:sz w:val="20"/>
          <w:szCs w:val="20"/>
          <w:color w:val="auto"/>
        </w:rPr>
      </w:pPr>
    </w:p>
    <w:p>
      <w:pPr>
        <w:sectPr>
          <w:pgSz w:w="11900" w:h="16838" w:orient="portrait"/>
          <w:cols w:equalWidth="0" w:num="2">
            <w:col w:w="7500" w:space="720"/>
            <w:col w:w="3020"/>
          </w:cols>
          <w:pgMar w:left="320" w:top="121" w:right="339" w:bottom="1440" w:gutter="0" w:footer="0" w:header="0"/>
          <w:type w:val="continuous"/>
        </w:sectPr>
      </w:pPr>
    </w:p>
    <w:tbl>
      <w:tblPr>
        <w:tblLayout w:type="fixed"/>
        <w:tblInd w:w="0" w:type="dxa"/>
        <w:tblCellMar>
          <w:top w:w="0" w:type="dxa"/>
          <w:left w:w="0" w:type="dxa"/>
          <w:bottom w:w="0" w:type="dxa"/>
          <w:right w:w="0" w:type="dxa"/>
        </w:tblCellMar>
      </w:tblPr>
      <w:tr>
        <w:trPr>
          <w:trHeight w:val="216"/>
        </w:trPr>
        <w:tc>
          <w:tcPr>
            <w:tcW w:w="7460" w:type="dxa"/>
            <w:vAlign w:val="bottom"/>
            <w:shd w:val="clear" w:color="auto" w:fill="D4F1F5"/>
          </w:tcPr>
          <w:p>
            <w:pPr>
              <w:ind w:left="20"/>
              <w:spacing w:after="0"/>
              <w:rPr>
                <w:sz w:val="20"/>
                <w:szCs w:val="20"/>
                <w:color w:val="auto"/>
              </w:rPr>
            </w:pPr>
            <w:r>
              <w:rPr>
                <w:rFonts w:ascii="Arial" w:cs="Arial" w:eastAsia="Arial" w:hAnsi="Arial"/>
                <w:sz w:val="16"/>
                <w:szCs w:val="16"/>
                <w:color w:val="auto"/>
              </w:rPr>
              <w:t>SUPPLEMENTAL DISCLOSURE OF NONCASH INVESTING AND FINANCING ACTIVITIES</w:t>
            </w:r>
          </w:p>
        </w:tc>
        <w:tc>
          <w:tcPr>
            <w:tcW w:w="1360" w:type="dxa"/>
            <w:vAlign w:val="bottom"/>
            <w:shd w:val="clear" w:color="auto" w:fill="D4F1F5"/>
          </w:tcPr>
          <w:p>
            <w:pPr>
              <w:spacing w:after="0"/>
              <w:rPr>
                <w:sz w:val="18"/>
                <w:szCs w:val="18"/>
                <w:color w:val="auto"/>
              </w:rPr>
            </w:pPr>
          </w:p>
        </w:tc>
        <w:tc>
          <w:tcPr>
            <w:tcW w:w="880" w:type="dxa"/>
            <w:vAlign w:val="bottom"/>
            <w:shd w:val="clear" w:color="auto" w:fill="D4F1F5"/>
          </w:tcPr>
          <w:p>
            <w:pPr>
              <w:spacing w:after="0"/>
              <w:rPr>
                <w:sz w:val="18"/>
                <w:szCs w:val="18"/>
                <w:color w:val="auto"/>
              </w:rPr>
            </w:pPr>
          </w:p>
        </w:tc>
        <w:tc>
          <w:tcPr>
            <w:tcW w:w="700" w:type="dxa"/>
            <w:vAlign w:val="bottom"/>
            <w:shd w:val="clear" w:color="auto" w:fill="D4F1F5"/>
          </w:tcPr>
          <w:p>
            <w:pPr>
              <w:spacing w:after="0"/>
              <w:rPr>
                <w:sz w:val="18"/>
                <w:szCs w:val="18"/>
                <w:color w:val="auto"/>
              </w:rPr>
            </w:pPr>
          </w:p>
        </w:tc>
        <w:tc>
          <w:tcPr>
            <w:tcW w:w="840" w:type="dxa"/>
            <w:vAlign w:val="bottom"/>
            <w:shd w:val="clear" w:color="auto" w:fill="D4F1F5"/>
          </w:tcPr>
          <w:p>
            <w:pPr>
              <w:spacing w:after="0"/>
              <w:rPr>
                <w:sz w:val="18"/>
                <w:szCs w:val="18"/>
                <w:color w:val="auto"/>
              </w:rPr>
            </w:pPr>
          </w:p>
        </w:tc>
      </w:tr>
      <w:tr>
        <w:trPr>
          <w:trHeight w:val="215"/>
        </w:trPr>
        <w:tc>
          <w:tcPr>
            <w:tcW w:w="7460" w:type="dxa"/>
            <w:vAlign w:val="bottom"/>
          </w:tcPr>
          <w:p>
            <w:pPr>
              <w:ind w:left="240"/>
              <w:spacing w:after="0"/>
              <w:rPr>
                <w:sz w:val="20"/>
                <w:szCs w:val="20"/>
                <w:color w:val="auto"/>
              </w:rPr>
            </w:pPr>
            <w:r>
              <w:rPr>
                <w:rFonts w:ascii="Arial" w:cs="Arial" w:eastAsia="Arial" w:hAnsi="Arial"/>
                <w:sz w:val="16"/>
                <w:szCs w:val="16"/>
                <w:color w:val="auto"/>
              </w:rPr>
              <w:t>Accrued capital expenditures for PP&amp;E</w:t>
            </w:r>
          </w:p>
        </w:tc>
        <w:tc>
          <w:tcPr>
            <w:tcW w:w="1360" w:type="dxa"/>
            <w:vAlign w:val="bottom"/>
          </w:tcPr>
          <w:p>
            <w:pPr>
              <w:jc w:val="right"/>
              <w:ind w:right="41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185</w:t>
            </w:r>
          </w:p>
        </w:tc>
        <w:tc>
          <w:tcPr>
            <w:tcW w:w="700" w:type="dxa"/>
            <w:vAlign w:val="bottom"/>
          </w:tcPr>
          <w:p>
            <w:pPr>
              <w:jc w:val="right"/>
              <w:ind w:right="419"/>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199</w:t>
            </w:r>
          </w:p>
        </w:tc>
      </w:tr>
      <w:tr>
        <w:trPr>
          <w:trHeight w:val="224"/>
        </w:trPr>
        <w:tc>
          <w:tcPr>
            <w:tcW w:w="7460" w:type="dxa"/>
            <w:vAlign w:val="bottom"/>
            <w:tcBorders>
              <w:bottom w:val="single" w:sz="8" w:color="929292"/>
            </w:tcBorders>
            <w:shd w:val="clear" w:color="auto" w:fill="D4F1F5"/>
          </w:tcPr>
          <w:p>
            <w:pPr>
              <w:ind w:left="240"/>
              <w:spacing w:after="0"/>
              <w:rPr>
                <w:sz w:val="20"/>
                <w:szCs w:val="20"/>
                <w:color w:val="auto"/>
              </w:rPr>
            </w:pPr>
            <w:r>
              <w:rPr>
                <w:rFonts w:ascii="Arial" w:cs="Arial" w:eastAsia="Arial" w:hAnsi="Arial"/>
                <w:sz w:val="16"/>
                <w:szCs w:val="16"/>
                <w:color w:val="auto"/>
              </w:rPr>
              <w:t>Increase in finance lease obligations capitalized to PP&amp;E</w:t>
            </w:r>
          </w:p>
        </w:tc>
        <w:tc>
          <w:tcPr>
            <w:tcW w:w="1360" w:type="dxa"/>
            <w:vAlign w:val="bottom"/>
            <w:tcBorders>
              <w:bottom w:val="single" w:sz="8" w:color="929292"/>
            </w:tcBorders>
            <w:shd w:val="clear" w:color="auto" w:fill="D4F1F5"/>
          </w:tcPr>
          <w:p>
            <w:pPr>
              <w:spacing w:after="0"/>
              <w:rPr>
                <w:sz w:val="19"/>
                <w:szCs w:val="19"/>
                <w:color w:val="auto"/>
              </w:rPr>
            </w:pPr>
          </w:p>
        </w:tc>
        <w:tc>
          <w:tcPr>
            <w:tcW w:w="880" w:type="dxa"/>
            <w:vAlign w:val="bottom"/>
            <w:tcBorders>
              <w:bottom w:val="single" w:sz="8" w:color="929292"/>
            </w:tcBorders>
            <w:shd w:val="clear" w:color="auto" w:fill="D4F1F5"/>
          </w:tcPr>
          <w:p>
            <w:pPr>
              <w:jc w:val="right"/>
              <w:ind w:right="19"/>
              <w:spacing w:after="0"/>
              <w:rPr>
                <w:sz w:val="20"/>
                <w:szCs w:val="20"/>
                <w:color w:val="auto"/>
              </w:rPr>
            </w:pPr>
            <w:r>
              <w:rPr>
                <w:rFonts w:ascii="Arial" w:cs="Arial" w:eastAsia="Arial" w:hAnsi="Arial"/>
                <w:sz w:val="16"/>
                <w:szCs w:val="16"/>
                <w:color w:val="auto"/>
              </w:rPr>
              <w:t>4</w:t>
            </w:r>
          </w:p>
        </w:tc>
        <w:tc>
          <w:tcPr>
            <w:tcW w:w="700" w:type="dxa"/>
            <w:vAlign w:val="bottom"/>
            <w:tcBorders>
              <w:bottom w:val="single" w:sz="8" w:color="929292"/>
            </w:tcBorders>
            <w:shd w:val="clear" w:color="auto" w:fill="D4F1F5"/>
          </w:tcPr>
          <w:p>
            <w:pPr>
              <w:spacing w:after="0"/>
              <w:rPr>
                <w:sz w:val="19"/>
                <w:szCs w:val="19"/>
                <w:color w:val="auto"/>
              </w:rPr>
            </w:pPr>
          </w:p>
        </w:tc>
        <w:tc>
          <w:tcPr>
            <w:tcW w:w="840" w:type="dxa"/>
            <w:vAlign w:val="bottom"/>
            <w:tcBorders>
              <w:bottom w:val="single" w:sz="8" w:color="929292"/>
            </w:tcBorders>
            <w:shd w:val="clear" w:color="auto" w:fill="D4F1F5"/>
          </w:tcPr>
          <w:p>
            <w:pPr>
              <w:jc w:val="right"/>
              <w:spacing w:after="0"/>
              <w:rPr>
                <w:sz w:val="20"/>
                <w:szCs w:val="20"/>
                <w:color w:val="auto"/>
              </w:rPr>
            </w:pPr>
            <w:r>
              <w:rPr>
                <w:rFonts w:ascii="Arial" w:cs="Arial" w:eastAsia="Arial" w:hAnsi="Arial"/>
                <w:sz w:val="16"/>
                <w:szCs w:val="16"/>
                <w:color w:val="auto"/>
              </w:rPr>
              <w:t>2</w:t>
            </w:r>
          </w:p>
        </w:tc>
      </w:tr>
    </w:tbl>
    <w:p>
      <w:pPr>
        <w:spacing w:after="0" w:line="141"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See Notes to Condensed Financial Statements.</w:t>
      </w: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480060</wp:posOffset>
            </wp:positionV>
            <wp:extent cx="7132320" cy="45402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4540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FFFFFF"/>
        </w:rPr>
        <w:t>SAN DIEGO GAS &amp; ELECTRIC COMPANY</w:t>
      </w:r>
    </w:p>
    <w:p>
      <w:pPr>
        <w:spacing w:after="0" w:line="59"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FFFFFF"/>
        </w:rPr>
        <w:t>CONDENSED STATEMENTS OF CHANGES IN SHAREHOLDER’S EQUITY</w:t>
      </w:r>
    </w:p>
    <w:p>
      <w:pPr>
        <w:spacing w:after="0" w:line="66" w:lineRule="exact"/>
        <w:rPr>
          <w:sz w:val="20"/>
          <w:szCs w:val="20"/>
          <w:color w:val="auto"/>
        </w:rPr>
      </w:pPr>
    </w:p>
    <w:p>
      <w:pPr>
        <w:ind w:left="20"/>
        <w:spacing w:after="0"/>
        <w:rPr>
          <w:sz w:val="20"/>
          <w:szCs w:val="20"/>
          <w:color w:val="auto"/>
        </w:rPr>
      </w:pPr>
      <w:r>
        <w:rPr>
          <w:rFonts w:ascii="Arial" w:cs="Arial" w:eastAsia="Arial" w:hAnsi="Arial"/>
          <w:sz w:val="14"/>
          <w:szCs w:val="14"/>
          <w:i w:val="1"/>
          <w:iCs w:val="1"/>
          <w:color w:val="FFFFFF"/>
        </w:rPr>
        <w:t>(Dollars in millions)</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6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tcPr>
          <w:p>
            <w:pPr>
              <w:jc w:val="center"/>
              <w:ind w:right="82"/>
              <w:spacing w:after="0"/>
              <w:rPr>
                <w:sz w:val="20"/>
                <w:szCs w:val="20"/>
                <w:color w:val="auto"/>
              </w:rPr>
            </w:pPr>
            <w:r>
              <w:rPr>
                <w:rFonts w:ascii="Arial" w:cs="Arial" w:eastAsia="Arial" w:hAnsi="Arial"/>
                <w:sz w:val="14"/>
                <w:szCs w:val="14"/>
                <w:color w:val="auto"/>
              </w:rPr>
              <w:t>Total</w:t>
            </w:r>
          </w:p>
        </w:tc>
      </w:tr>
      <w:tr>
        <w:trPr>
          <w:trHeight w:val="162"/>
        </w:trPr>
        <w:tc>
          <w:tcPr>
            <w:tcW w:w="56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00" w:type="dxa"/>
            <w:vAlign w:val="bottom"/>
          </w:tcPr>
          <w:p>
            <w:pPr>
              <w:jc w:val="right"/>
              <w:ind w:right="302"/>
              <w:spacing w:after="0"/>
              <w:rPr>
                <w:sz w:val="20"/>
                <w:szCs w:val="20"/>
                <w:color w:val="auto"/>
              </w:rPr>
            </w:pPr>
            <w:r>
              <w:rPr>
                <w:rFonts w:ascii="Arial" w:cs="Arial" w:eastAsia="Arial" w:hAnsi="Arial"/>
                <w:sz w:val="14"/>
                <w:szCs w:val="14"/>
                <w:color w:val="auto"/>
              </w:rPr>
              <w:t>Common</w:t>
            </w:r>
          </w:p>
        </w:tc>
        <w:tc>
          <w:tcPr>
            <w:tcW w:w="220" w:type="dxa"/>
            <w:vAlign w:val="bottom"/>
          </w:tcPr>
          <w:p>
            <w:pPr>
              <w:spacing w:after="0"/>
              <w:rPr>
                <w:sz w:val="14"/>
                <w:szCs w:val="14"/>
                <w:color w:val="auto"/>
              </w:rPr>
            </w:pPr>
          </w:p>
        </w:tc>
        <w:tc>
          <w:tcPr>
            <w:tcW w:w="1200" w:type="dxa"/>
            <w:vAlign w:val="bottom"/>
          </w:tcPr>
          <w:p>
            <w:pPr>
              <w:jc w:val="right"/>
              <w:ind w:right="323"/>
              <w:spacing w:after="0"/>
              <w:rPr>
                <w:sz w:val="20"/>
                <w:szCs w:val="20"/>
                <w:color w:val="auto"/>
              </w:rPr>
            </w:pPr>
            <w:r>
              <w:rPr>
                <w:rFonts w:ascii="Arial" w:cs="Arial" w:eastAsia="Arial" w:hAnsi="Arial"/>
                <w:sz w:val="14"/>
                <w:szCs w:val="14"/>
                <w:color w:val="auto"/>
              </w:rPr>
              <w:t>Retained</w:t>
            </w:r>
          </w:p>
        </w:tc>
        <w:tc>
          <w:tcPr>
            <w:tcW w:w="4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tcPr>
          <w:p>
            <w:pPr>
              <w:jc w:val="center"/>
              <w:ind w:right="82"/>
              <w:spacing w:after="0"/>
              <w:rPr>
                <w:sz w:val="20"/>
                <w:szCs w:val="20"/>
                <w:color w:val="auto"/>
              </w:rPr>
            </w:pPr>
            <w:r>
              <w:rPr>
                <w:rFonts w:ascii="Arial" w:cs="Arial" w:eastAsia="Arial" w:hAnsi="Arial"/>
                <w:sz w:val="14"/>
                <w:szCs w:val="14"/>
                <w:color w:val="auto"/>
              </w:rPr>
              <w:t>shareholder’s</w:t>
            </w:r>
          </w:p>
        </w:tc>
      </w:tr>
      <w:tr>
        <w:trPr>
          <w:trHeight w:val="208"/>
        </w:trPr>
        <w:tc>
          <w:tcPr>
            <w:tcW w:w="56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42"/>
              <w:spacing w:after="0"/>
              <w:rPr>
                <w:sz w:val="20"/>
                <w:szCs w:val="20"/>
                <w:color w:val="auto"/>
              </w:rPr>
            </w:pPr>
            <w:r>
              <w:rPr>
                <w:rFonts w:ascii="Arial" w:cs="Arial" w:eastAsia="Arial" w:hAnsi="Arial"/>
                <w:sz w:val="14"/>
                <w:szCs w:val="14"/>
                <w:color w:val="auto"/>
              </w:rPr>
              <w:t>stock</w:t>
            </w:r>
          </w:p>
        </w:tc>
        <w:tc>
          <w:tcPr>
            <w:tcW w:w="2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323"/>
              <w:spacing w:after="0"/>
              <w:rPr>
                <w:sz w:val="20"/>
                <w:szCs w:val="20"/>
                <w:color w:val="auto"/>
              </w:rPr>
            </w:pPr>
            <w:r>
              <w:rPr>
                <w:rFonts w:ascii="Arial" w:cs="Arial" w:eastAsia="Arial" w:hAnsi="Arial"/>
                <w:sz w:val="14"/>
                <w:szCs w:val="14"/>
                <w:color w:val="auto"/>
              </w:rPr>
              <w:t>earnings</w:t>
            </w:r>
          </w:p>
        </w:tc>
        <w:tc>
          <w:tcPr>
            <w:tcW w:w="4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441"/>
              <w:spacing w:after="0"/>
              <w:rPr>
                <w:sz w:val="20"/>
                <w:szCs w:val="20"/>
                <w:color w:val="auto"/>
              </w:rPr>
            </w:pPr>
            <w:r>
              <w:rPr>
                <w:rFonts w:ascii="Arial" w:cs="Arial" w:eastAsia="Arial" w:hAnsi="Arial"/>
                <w:sz w:val="14"/>
                <w:szCs w:val="14"/>
                <w:color w:val="auto"/>
              </w:rPr>
              <w:t>AOCI</w:t>
            </w:r>
          </w:p>
        </w:tc>
        <w:tc>
          <w:tcPr>
            <w:tcW w:w="2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center"/>
              <w:ind w:right="82"/>
              <w:spacing w:after="0"/>
              <w:rPr>
                <w:sz w:val="20"/>
                <w:szCs w:val="20"/>
                <w:color w:val="auto"/>
              </w:rPr>
            </w:pPr>
            <w:r>
              <w:rPr>
                <w:rFonts w:ascii="Arial" w:cs="Arial" w:eastAsia="Arial" w:hAnsi="Arial"/>
                <w:sz w:val="14"/>
                <w:szCs w:val="14"/>
                <w:color w:val="auto"/>
              </w:rPr>
              <w:t>equity</w:t>
            </w:r>
          </w:p>
        </w:tc>
      </w:tr>
      <w:tr>
        <w:trPr>
          <w:trHeight w:val="210"/>
        </w:trPr>
        <w:tc>
          <w:tcPr>
            <w:tcW w:w="56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(unaudited)</w:t>
            </w:r>
          </w:p>
        </w:tc>
        <w:tc>
          <w:tcPr>
            <w:tcW w:w="96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r>
      <w:tr>
        <w:trPr>
          <w:trHeight w:val="209"/>
        </w:trPr>
        <w:tc>
          <w:tcPr>
            <w:tcW w:w="566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640" w:type="dxa"/>
            <w:vAlign w:val="bottom"/>
            <w:tcBorders>
              <w:bottom w:val="single" w:sz="8" w:color="auto"/>
            </w:tcBorders>
            <w:gridSpan w:val="3"/>
          </w:tcPr>
          <w:p>
            <w:pPr>
              <w:jc w:val="right"/>
              <w:ind w:right="141"/>
              <w:spacing w:after="0"/>
              <w:rPr>
                <w:sz w:val="20"/>
                <w:szCs w:val="20"/>
                <w:color w:val="auto"/>
              </w:rPr>
            </w:pPr>
            <w:r>
              <w:rPr>
                <w:rFonts w:ascii="Arial" w:cs="Arial" w:eastAsia="Arial" w:hAnsi="Arial"/>
                <w:sz w:val="14"/>
                <w:szCs w:val="14"/>
                <w:color w:val="auto"/>
              </w:rPr>
              <w:t>Three months ended March 31, 2026</w:t>
            </w:r>
          </w:p>
        </w:tc>
        <w:tc>
          <w:tcPr>
            <w:tcW w:w="2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r>
      <w:tr>
        <w:trPr>
          <w:trHeight w:val="213"/>
        </w:trPr>
        <w:tc>
          <w:tcPr>
            <w:tcW w:w="5660" w:type="dxa"/>
            <w:vAlign w:val="bottom"/>
            <w:shd w:val="clear" w:color="auto" w:fill="D4F1F5"/>
          </w:tcPr>
          <w:p>
            <w:pPr>
              <w:ind w:left="20"/>
              <w:spacing w:after="0"/>
              <w:rPr>
                <w:sz w:val="20"/>
                <w:szCs w:val="20"/>
                <w:color w:val="auto"/>
              </w:rPr>
            </w:pPr>
            <w:r>
              <w:rPr>
                <w:rFonts w:ascii="Arial" w:cs="Arial" w:eastAsia="Arial" w:hAnsi="Arial"/>
                <w:sz w:val="16"/>
                <w:szCs w:val="16"/>
                <w:b w:val="1"/>
                <w:bCs w:val="1"/>
                <w:color w:val="auto"/>
              </w:rPr>
              <w:t>Balance at December 31, 2025</w:t>
            </w:r>
          </w:p>
        </w:tc>
        <w:tc>
          <w:tcPr>
            <w:tcW w:w="240" w:type="dxa"/>
            <w:vAlign w:val="bottom"/>
            <w:shd w:val="clear" w:color="auto" w:fill="D4F1F5"/>
          </w:tcPr>
          <w:p>
            <w:pPr>
              <w:jc w:val="right"/>
              <w:ind w:right="39"/>
              <w:spacing w:after="0"/>
              <w:rPr>
                <w:sz w:val="20"/>
                <w:szCs w:val="20"/>
                <w:color w:val="auto"/>
              </w:rPr>
            </w:pPr>
            <w:r>
              <w:rPr>
                <w:rFonts w:ascii="Arial" w:cs="Arial" w:eastAsia="Arial" w:hAnsi="Arial"/>
                <w:sz w:val="16"/>
                <w:szCs w:val="16"/>
                <w:color w:val="auto"/>
              </w:rPr>
              <w:t>$</w:t>
            </w:r>
          </w:p>
        </w:tc>
        <w:tc>
          <w:tcPr>
            <w:tcW w:w="1100" w:type="dxa"/>
            <w:vAlign w:val="bottom"/>
            <w:shd w:val="clear" w:color="auto" w:fill="D4F1F5"/>
          </w:tcPr>
          <w:p>
            <w:pPr>
              <w:jc w:val="right"/>
              <w:ind w:right="22"/>
              <w:spacing w:after="0"/>
              <w:rPr>
                <w:sz w:val="20"/>
                <w:szCs w:val="20"/>
                <w:color w:val="auto"/>
              </w:rPr>
            </w:pPr>
            <w:r>
              <w:rPr>
                <w:rFonts w:ascii="Arial" w:cs="Arial" w:eastAsia="Arial" w:hAnsi="Arial"/>
                <w:sz w:val="16"/>
                <w:szCs w:val="16"/>
                <w:color w:val="auto"/>
              </w:rPr>
              <w:t>1,660</w:t>
            </w:r>
          </w:p>
        </w:tc>
        <w:tc>
          <w:tcPr>
            <w:tcW w:w="220" w:type="dxa"/>
            <w:vAlign w:val="bottom"/>
            <w:shd w:val="clear" w:color="auto" w:fill="D4F1F5"/>
          </w:tcPr>
          <w:p>
            <w:pPr>
              <w:jc w:val="right"/>
              <w:spacing w:after="0"/>
              <w:rPr>
                <w:sz w:val="20"/>
                <w:szCs w:val="20"/>
                <w:color w:val="auto"/>
              </w:rPr>
            </w:pPr>
            <w:r>
              <w:rPr>
                <w:rFonts w:ascii="Arial" w:cs="Arial" w:eastAsia="Arial" w:hAnsi="Arial"/>
                <w:sz w:val="16"/>
                <w:szCs w:val="16"/>
                <w:color w:val="auto"/>
              </w:rPr>
              <w:t>$</w:t>
            </w:r>
          </w:p>
        </w:tc>
        <w:tc>
          <w:tcPr>
            <w:tcW w:w="1200" w:type="dxa"/>
            <w:vAlign w:val="bottom"/>
            <w:shd w:val="clear" w:color="auto" w:fill="D4F1F5"/>
          </w:tcPr>
          <w:p>
            <w:pPr>
              <w:jc w:val="right"/>
              <w:ind w:right="23"/>
              <w:spacing w:after="0"/>
              <w:rPr>
                <w:sz w:val="20"/>
                <w:szCs w:val="20"/>
                <w:color w:val="auto"/>
              </w:rPr>
            </w:pPr>
            <w:r>
              <w:rPr>
                <w:rFonts w:ascii="Arial" w:cs="Arial" w:eastAsia="Arial" w:hAnsi="Arial"/>
                <w:sz w:val="16"/>
                <w:szCs w:val="16"/>
                <w:color w:val="auto"/>
              </w:rPr>
              <w:t>9,279</w:t>
            </w:r>
          </w:p>
        </w:tc>
        <w:tc>
          <w:tcPr>
            <w:tcW w:w="480" w:type="dxa"/>
            <w:vAlign w:val="bottom"/>
            <w:shd w:val="clear" w:color="auto" w:fill="D4F1F5"/>
          </w:tcPr>
          <w:p>
            <w:pPr>
              <w:jc w:val="right"/>
              <w:ind w:right="219"/>
              <w:spacing w:after="0"/>
              <w:rPr>
                <w:sz w:val="20"/>
                <w:szCs w:val="20"/>
                <w:color w:val="auto"/>
              </w:rPr>
            </w:pPr>
            <w:r>
              <w:rPr>
                <w:rFonts w:ascii="Arial" w:cs="Arial" w:eastAsia="Arial" w:hAnsi="Arial"/>
                <w:sz w:val="16"/>
                <w:szCs w:val="16"/>
                <w:color w:val="auto"/>
              </w:rPr>
              <w:t>$</w:t>
            </w:r>
          </w:p>
        </w:tc>
        <w:tc>
          <w:tcPr>
            <w:tcW w:w="960" w:type="dxa"/>
            <w:vAlign w:val="bottom"/>
            <w:shd w:val="clear" w:color="auto" w:fill="D4F1F5"/>
          </w:tcPr>
          <w:p>
            <w:pPr>
              <w:jc w:val="right"/>
              <w:ind w:right="1"/>
              <w:spacing w:after="0"/>
              <w:rPr>
                <w:sz w:val="20"/>
                <w:szCs w:val="20"/>
                <w:color w:val="auto"/>
              </w:rPr>
            </w:pPr>
            <w:r>
              <w:rPr>
                <w:rFonts w:ascii="Arial" w:cs="Arial" w:eastAsia="Arial" w:hAnsi="Arial"/>
                <w:sz w:val="16"/>
                <w:szCs w:val="16"/>
                <w:color w:val="auto"/>
              </w:rPr>
              <w:t>(6)</w:t>
            </w:r>
          </w:p>
        </w:tc>
        <w:tc>
          <w:tcPr>
            <w:tcW w:w="220" w:type="dxa"/>
            <w:vAlign w:val="bottom"/>
            <w:shd w:val="clear" w:color="auto" w:fill="D4F1F5"/>
          </w:tcPr>
          <w:p>
            <w:pPr>
              <w:jc w:val="right"/>
              <w:spacing w:after="0"/>
              <w:rPr>
                <w:sz w:val="20"/>
                <w:szCs w:val="20"/>
                <w:color w:val="auto"/>
              </w:rPr>
            </w:pPr>
            <w:r>
              <w:rPr>
                <w:rFonts w:ascii="Arial" w:cs="Arial" w:eastAsia="Arial" w:hAnsi="Arial"/>
                <w:sz w:val="16"/>
                <w:szCs w:val="16"/>
                <w:color w:val="auto"/>
              </w:rPr>
              <w:t>$</w:t>
            </w:r>
          </w:p>
        </w:tc>
        <w:tc>
          <w:tcPr>
            <w:tcW w:w="1160" w:type="dxa"/>
            <w:vAlign w:val="bottom"/>
            <w:shd w:val="clear" w:color="auto" w:fill="D4F1F5"/>
          </w:tcPr>
          <w:p>
            <w:pPr>
              <w:jc w:val="right"/>
              <w:ind w:right="2"/>
              <w:spacing w:after="0"/>
              <w:rPr>
                <w:sz w:val="20"/>
                <w:szCs w:val="20"/>
                <w:color w:val="auto"/>
              </w:rPr>
            </w:pPr>
            <w:r>
              <w:rPr>
                <w:rFonts w:ascii="Arial" w:cs="Arial" w:eastAsia="Arial" w:hAnsi="Arial"/>
                <w:sz w:val="16"/>
                <w:szCs w:val="16"/>
                <w:color w:val="auto"/>
              </w:rPr>
              <w:t>10,933</w:t>
            </w:r>
          </w:p>
        </w:tc>
      </w:tr>
      <w:tr>
        <w:trPr>
          <w:trHeight w:val="215"/>
        </w:trPr>
        <w:tc>
          <w:tcPr>
            <w:tcW w:w="5660" w:type="dxa"/>
            <w:vAlign w:val="bottom"/>
            <w:tcBorders>
              <w:bottom w:val="single" w:sz="8" w:color="D4F1F5"/>
            </w:tcBorders>
          </w:tcPr>
          <w:p>
            <w:pPr>
              <w:ind w:left="20"/>
              <w:spacing w:after="0"/>
              <w:rPr>
                <w:sz w:val="20"/>
                <w:szCs w:val="20"/>
                <w:color w:val="auto"/>
              </w:rPr>
            </w:pPr>
            <w:r>
              <w:rPr>
                <w:rFonts w:ascii="Arial" w:cs="Arial" w:eastAsia="Arial" w:hAnsi="Arial"/>
                <w:sz w:val="16"/>
                <w:szCs w:val="16"/>
                <w:color w:val="auto"/>
              </w:rPr>
              <w:t>Net income</w:t>
            </w:r>
          </w:p>
        </w:tc>
        <w:tc>
          <w:tcPr>
            <w:tcW w:w="2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23"/>
              <w:spacing w:after="0"/>
              <w:rPr>
                <w:sz w:val="20"/>
                <w:szCs w:val="20"/>
                <w:color w:val="auto"/>
              </w:rPr>
            </w:pPr>
            <w:r>
              <w:rPr>
                <w:rFonts w:ascii="Arial" w:cs="Arial" w:eastAsia="Arial" w:hAnsi="Arial"/>
                <w:sz w:val="16"/>
                <w:szCs w:val="16"/>
                <w:color w:val="auto"/>
              </w:rPr>
              <w:t>296</w:t>
            </w:r>
          </w:p>
        </w:tc>
        <w:tc>
          <w:tcPr>
            <w:tcW w:w="4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296</w:t>
            </w:r>
          </w:p>
        </w:tc>
      </w:tr>
      <w:tr>
        <w:trPr>
          <w:trHeight w:val="217"/>
        </w:trPr>
        <w:tc>
          <w:tcPr>
            <w:tcW w:w="5660" w:type="dxa"/>
            <w:vAlign w:val="bottom"/>
            <w:tcBorders>
              <w:bottom w:val="single" w:sz="8" w:color="auto"/>
            </w:tcBorders>
            <w:shd w:val="clear" w:color="auto" w:fill="D4F1F5"/>
          </w:tcPr>
          <w:p>
            <w:pPr>
              <w:ind w:left="20"/>
              <w:spacing w:after="0"/>
              <w:rPr>
                <w:sz w:val="20"/>
                <w:szCs w:val="20"/>
                <w:color w:val="auto"/>
              </w:rPr>
            </w:pPr>
            <w:r>
              <w:rPr>
                <w:rFonts w:ascii="Arial" w:cs="Arial" w:eastAsia="Arial" w:hAnsi="Arial"/>
                <w:sz w:val="16"/>
                <w:szCs w:val="16"/>
                <w:b w:val="1"/>
                <w:bCs w:val="1"/>
                <w:color w:val="auto"/>
              </w:rPr>
              <w:t>Balance at March 31, 2026</w:t>
            </w:r>
          </w:p>
        </w:tc>
        <w:tc>
          <w:tcPr>
            <w:tcW w:w="240" w:type="dxa"/>
            <w:vAlign w:val="bottom"/>
            <w:tcBorders>
              <w:bottom w:val="single" w:sz="8" w:color="auto"/>
            </w:tcBorders>
            <w:shd w:val="clear" w:color="auto" w:fill="D4F1F5"/>
          </w:tcPr>
          <w:p>
            <w:pPr>
              <w:jc w:val="right"/>
              <w:ind w:right="3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shd w:val="clear" w:color="auto" w:fill="D4F1F5"/>
          </w:tcPr>
          <w:p>
            <w:pPr>
              <w:jc w:val="right"/>
              <w:ind w:right="22"/>
              <w:spacing w:after="0"/>
              <w:rPr>
                <w:sz w:val="20"/>
                <w:szCs w:val="20"/>
                <w:color w:val="auto"/>
              </w:rPr>
            </w:pPr>
            <w:r>
              <w:rPr>
                <w:rFonts w:ascii="Arial" w:cs="Arial" w:eastAsia="Arial" w:hAnsi="Arial"/>
                <w:sz w:val="16"/>
                <w:szCs w:val="16"/>
                <w:color w:val="auto"/>
              </w:rPr>
              <w:t>1,660</w:t>
            </w:r>
          </w:p>
        </w:tc>
        <w:tc>
          <w:tcPr>
            <w:tcW w:w="220" w:type="dxa"/>
            <w:vAlign w:val="bottom"/>
            <w:tcBorders>
              <w:bottom w:val="single" w:sz="8" w:color="auto"/>
            </w:tcBorders>
            <w:shd w:val="clear" w:color="auto" w:fill="D4F1F5"/>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shd w:val="clear" w:color="auto" w:fill="D4F1F5"/>
          </w:tcPr>
          <w:p>
            <w:pPr>
              <w:jc w:val="right"/>
              <w:ind w:right="23"/>
              <w:spacing w:after="0"/>
              <w:rPr>
                <w:sz w:val="20"/>
                <w:szCs w:val="20"/>
                <w:color w:val="auto"/>
              </w:rPr>
            </w:pPr>
            <w:r>
              <w:rPr>
                <w:rFonts w:ascii="Arial" w:cs="Arial" w:eastAsia="Arial" w:hAnsi="Arial"/>
                <w:sz w:val="16"/>
                <w:szCs w:val="16"/>
                <w:color w:val="auto"/>
              </w:rPr>
              <w:t>9,575</w:t>
            </w:r>
          </w:p>
        </w:tc>
        <w:tc>
          <w:tcPr>
            <w:tcW w:w="480" w:type="dxa"/>
            <w:vAlign w:val="bottom"/>
            <w:tcBorders>
              <w:bottom w:val="single" w:sz="8" w:color="auto"/>
            </w:tcBorders>
            <w:shd w:val="clear" w:color="auto" w:fill="D4F1F5"/>
          </w:tcPr>
          <w:p>
            <w:pPr>
              <w:jc w:val="right"/>
              <w:ind w:right="21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shd w:val="clear" w:color="auto" w:fill="D4F1F5"/>
          </w:tcPr>
          <w:p>
            <w:pPr>
              <w:jc w:val="right"/>
              <w:ind w:right="1"/>
              <w:spacing w:after="0"/>
              <w:rPr>
                <w:sz w:val="20"/>
                <w:szCs w:val="20"/>
                <w:color w:val="auto"/>
              </w:rPr>
            </w:pPr>
            <w:r>
              <w:rPr>
                <w:rFonts w:ascii="Arial" w:cs="Arial" w:eastAsia="Arial" w:hAnsi="Arial"/>
                <w:sz w:val="16"/>
                <w:szCs w:val="16"/>
                <w:color w:val="auto"/>
              </w:rPr>
              <w:t>(6)</w:t>
            </w:r>
          </w:p>
        </w:tc>
        <w:tc>
          <w:tcPr>
            <w:tcW w:w="220" w:type="dxa"/>
            <w:vAlign w:val="bottom"/>
            <w:tcBorders>
              <w:bottom w:val="single" w:sz="8" w:color="auto"/>
            </w:tcBorders>
            <w:shd w:val="clear" w:color="auto" w:fill="D4F1F5"/>
          </w:tcPr>
          <w:p>
            <w:pPr>
              <w:jc w:val="right"/>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shd w:val="clear" w:color="auto" w:fill="D4F1F5"/>
          </w:tcPr>
          <w:p>
            <w:pPr>
              <w:jc w:val="right"/>
              <w:ind w:right="2"/>
              <w:spacing w:after="0"/>
              <w:rPr>
                <w:sz w:val="20"/>
                <w:szCs w:val="20"/>
                <w:color w:val="auto"/>
              </w:rPr>
            </w:pPr>
            <w:r>
              <w:rPr>
                <w:rFonts w:ascii="Arial" w:cs="Arial" w:eastAsia="Arial" w:hAnsi="Arial"/>
                <w:sz w:val="16"/>
                <w:szCs w:val="16"/>
                <w:color w:val="auto"/>
              </w:rPr>
              <w:t>11,229</w:t>
            </w:r>
          </w:p>
        </w:tc>
      </w:tr>
      <w:tr>
        <w:trPr>
          <w:trHeight w:val="415"/>
        </w:trPr>
        <w:tc>
          <w:tcPr>
            <w:tcW w:w="56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640" w:type="dxa"/>
            <w:vAlign w:val="bottom"/>
            <w:tcBorders>
              <w:bottom w:val="single" w:sz="8" w:color="auto"/>
            </w:tcBorders>
            <w:gridSpan w:val="3"/>
          </w:tcPr>
          <w:p>
            <w:pPr>
              <w:jc w:val="right"/>
              <w:ind w:right="141"/>
              <w:spacing w:after="0"/>
              <w:rPr>
                <w:sz w:val="20"/>
                <w:szCs w:val="20"/>
                <w:color w:val="auto"/>
              </w:rPr>
            </w:pPr>
            <w:r>
              <w:rPr>
                <w:rFonts w:ascii="Arial" w:cs="Arial" w:eastAsia="Arial" w:hAnsi="Arial"/>
                <w:sz w:val="14"/>
                <w:szCs w:val="14"/>
                <w:color w:val="auto"/>
              </w:rPr>
              <w:t>Three months ended March 31, 2025</w:t>
            </w:r>
          </w:p>
        </w:tc>
        <w:tc>
          <w:tcPr>
            <w:tcW w:w="2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r>
      <w:tr>
        <w:trPr>
          <w:trHeight w:val="213"/>
        </w:trPr>
        <w:tc>
          <w:tcPr>
            <w:tcW w:w="5660" w:type="dxa"/>
            <w:vAlign w:val="bottom"/>
            <w:shd w:val="clear" w:color="auto" w:fill="D4F1F5"/>
          </w:tcPr>
          <w:p>
            <w:pPr>
              <w:ind w:left="20"/>
              <w:spacing w:after="0"/>
              <w:rPr>
                <w:sz w:val="20"/>
                <w:szCs w:val="20"/>
                <w:color w:val="auto"/>
              </w:rPr>
            </w:pPr>
            <w:r>
              <w:rPr>
                <w:rFonts w:ascii="Arial" w:cs="Arial" w:eastAsia="Arial" w:hAnsi="Arial"/>
                <w:sz w:val="16"/>
                <w:szCs w:val="16"/>
                <w:b w:val="1"/>
                <w:bCs w:val="1"/>
                <w:color w:val="auto"/>
              </w:rPr>
              <w:t>Balance at December 31, 2024</w:t>
            </w:r>
          </w:p>
        </w:tc>
        <w:tc>
          <w:tcPr>
            <w:tcW w:w="240" w:type="dxa"/>
            <w:vAlign w:val="bottom"/>
            <w:shd w:val="clear" w:color="auto" w:fill="D4F1F5"/>
          </w:tcPr>
          <w:p>
            <w:pPr>
              <w:jc w:val="right"/>
              <w:ind w:right="39"/>
              <w:spacing w:after="0"/>
              <w:rPr>
                <w:sz w:val="20"/>
                <w:szCs w:val="20"/>
                <w:color w:val="auto"/>
              </w:rPr>
            </w:pPr>
            <w:r>
              <w:rPr>
                <w:rFonts w:ascii="Arial" w:cs="Arial" w:eastAsia="Arial" w:hAnsi="Arial"/>
                <w:sz w:val="16"/>
                <w:szCs w:val="16"/>
                <w:color w:val="auto"/>
              </w:rPr>
              <w:t>$</w:t>
            </w:r>
          </w:p>
        </w:tc>
        <w:tc>
          <w:tcPr>
            <w:tcW w:w="1100" w:type="dxa"/>
            <w:vAlign w:val="bottom"/>
            <w:shd w:val="clear" w:color="auto" w:fill="D4F1F5"/>
          </w:tcPr>
          <w:p>
            <w:pPr>
              <w:jc w:val="right"/>
              <w:ind w:right="22"/>
              <w:spacing w:after="0"/>
              <w:rPr>
                <w:sz w:val="20"/>
                <w:szCs w:val="20"/>
                <w:color w:val="auto"/>
              </w:rPr>
            </w:pPr>
            <w:r>
              <w:rPr>
                <w:rFonts w:ascii="Arial" w:cs="Arial" w:eastAsia="Arial" w:hAnsi="Arial"/>
                <w:sz w:val="16"/>
                <w:szCs w:val="16"/>
                <w:color w:val="auto"/>
              </w:rPr>
              <w:t>1,660</w:t>
            </w:r>
          </w:p>
        </w:tc>
        <w:tc>
          <w:tcPr>
            <w:tcW w:w="220" w:type="dxa"/>
            <w:vAlign w:val="bottom"/>
            <w:shd w:val="clear" w:color="auto" w:fill="D4F1F5"/>
          </w:tcPr>
          <w:p>
            <w:pPr>
              <w:jc w:val="right"/>
              <w:spacing w:after="0"/>
              <w:rPr>
                <w:sz w:val="20"/>
                <w:szCs w:val="20"/>
                <w:color w:val="auto"/>
              </w:rPr>
            </w:pPr>
            <w:r>
              <w:rPr>
                <w:rFonts w:ascii="Arial" w:cs="Arial" w:eastAsia="Arial" w:hAnsi="Arial"/>
                <w:sz w:val="16"/>
                <w:szCs w:val="16"/>
                <w:color w:val="auto"/>
              </w:rPr>
              <w:t>$</w:t>
            </w:r>
          </w:p>
        </w:tc>
        <w:tc>
          <w:tcPr>
            <w:tcW w:w="1200" w:type="dxa"/>
            <w:vAlign w:val="bottom"/>
            <w:shd w:val="clear" w:color="auto" w:fill="D4F1F5"/>
          </w:tcPr>
          <w:p>
            <w:pPr>
              <w:jc w:val="right"/>
              <w:ind w:right="23"/>
              <w:spacing w:after="0"/>
              <w:rPr>
                <w:sz w:val="20"/>
                <w:szCs w:val="20"/>
                <w:color w:val="auto"/>
              </w:rPr>
            </w:pPr>
            <w:r>
              <w:rPr>
                <w:rFonts w:ascii="Arial" w:cs="Arial" w:eastAsia="Arial" w:hAnsi="Arial"/>
                <w:sz w:val="16"/>
                <w:szCs w:val="16"/>
                <w:color w:val="auto"/>
              </w:rPr>
              <w:t>8,916</w:t>
            </w:r>
          </w:p>
        </w:tc>
        <w:tc>
          <w:tcPr>
            <w:tcW w:w="480" w:type="dxa"/>
            <w:vAlign w:val="bottom"/>
            <w:shd w:val="clear" w:color="auto" w:fill="D4F1F5"/>
          </w:tcPr>
          <w:p>
            <w:pPr>
              <w:jc w:val="right"/>
              <w:ind w:right="219"/>
              <w:spacing w:after="0"/>
              <w:rPr>
                <w:sz w:val="20"/>
                <w:szCs w:val="20"/>
                <w:color w:val="auto"/>
              </w:rPr>
            </w:pPr>
            <w:r>
              <w:rPr>
                <w:rFonts w:ascii="Arial" w:cs="Arial" w:eastAsia="Arial" w:hAnsi="Arial"/>
                <w:sz w:val="16"/>
                <w:szCs w:val="16"/>
                <w:color w:val="auto"/>
              </w:rPr>
              <w:t>$</w:t>
            </w:r>
          </w:p>
        </w:tc>
        <w:tc>
          <w:tcPr>
            <w:tcW w:w="960" w:type="dxa"/>
            <w:vAlign w:val="bottom"/>
            <w:shd w:val="clear" w:color="auto" w:fill="D4F1F5"/>
          </w:tcPr>
          <w:p>
            <w:pPr>
              <w:jc w:val="right"/>
              <w:ind w:right="1"/>
              <w:spacing w:after="0"/>
              <w:rPr>
                <w:sz w:val="20"/>
                <w:szCs w:val="20"/>
                <w:color w:val="auto"/>
              </w:rPr>
            </w:pPr>
            <w:r>
              <w:rPr>
                <w:rFonts w:ascii="Arial" w:cs="Arial" w:eastAsia="Arial" w:hAnsi="Arial"/>
                <w:sz w:val="16"/>
                <w:szCs w:val="16"/>
                <w:color w:val="auto"/>
              </w:rPr>
              <w:t>(12)</w:t>
            </w:r>
          </w:p>
        </w:tc>
        <w:tc>
          <w:tcPr>
            <w:tcW w:w="220" w:type="dxa"/>
            <w:vAlign w:val="bottom"/>
            <w:shd w:val="clear" w:color="auto" w:fill="D4F1F5"/>
          </w:tcPr>
          <w:p>
            <w:pPr>
              <w:jc w:val="right"/>
              <w:spacing w:after="0"/>
              <w:rPr>
                <w:sz w:val="20"/>
                <w:szCs w:val="20"/>
                <w:color w:val="auto"/>
              </w:rPr>
            </w:pPr>
            <w:r>
              <w:rPr>
                <w:rFonts w:ascii="Arial" w:cs="Arial" w:eastAsia="Arial" w:hAnsi="Arial"/>
                <w:sz w:val="16"/>
                <w:szCs w:val="16"/>
                <w:color w:val="auto"/>
              </w:rPr>
              <w:t>$</w:t>
            </w:r>
          </w:p>
        </w:tc>
        <w:tc>
          <w:tcPr>
            <w:tcW w:w="1160" w:type="dxa"/>
            <w:vAlign w:val="bottom"/>
            <w:shd w:val="clear" w:color="auto" w:fill="D4F1F5"/>
          </w:tcPr>
          <w:p>
            <w:pPr>
              <w:jc w:val="right"/>
              <w:ind w:right="2"/>
              <w:spacing w:after="0"/>
              <w:rPr>
                <w:sz w:val="20"/>
                <w:szCs w:val="20"/>
                <w:color w:val="auto"/>
              </w:rPr>
            </w:pPr>
            <w:r>
              <w:rPr>
                <w:rFonts w:ascii="Arial" w:cs="Arial" w:eastAsia="Arial" w:hAnsi="Arial"/>
                <w:sz w:val="16"/>
                <w:szCs w:val="16"/>
                <w:color w:val="auto"/>
              </w:rPr>
              <w:t>10,564</w:t>
            </w:r>
          </w:p>
        </w:tc>
      </w:tr>
      <w:tr>
        <w:trPr>
          <w:trHeight w:val="215"/>
        </w:trPr>
        <w:tc>
          <w:tcPr>
            <w:tcW w:w="5660" w:type="dxa"/>
            <w:vAlign w:val="bottom"/>
            <w:tcBorders>
              <w:bottom w:val="single" w:sz="8" w:color="D4F1F5"/>
            </w:tcBorders>
          </w:tcPr>
          <w:p>
            <w:pPr>
              <w:ind w:left="20"/>
              <w:spacing w:after="0"/>
              <w:rPr>
                <w:sz w:val="20"/>
                <w:szCs w:val="20"/>
                <w:color w:val="auto"/>
              </w:rPr>
            </w:pPr>
            <w:r>
              <w:rPr>
                <w:rFonts w:ascii="Arial" w:cs="Arial" w:eastAsia="Arial" w:hAnsi="Arial"/>
                <w:sz w:val="16"/>
                <w:szCs w:val="16"/>
                <w:color w:val="auto"/>
              </w:rPr>
              <w:t>Net income</w:t>
            </w:r>
          </w:p>
        </w:tc>
        <w:tc>
          <w:tcPr>
            <w:tcW w:w="2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23"/>
              <w:spacing w:after="0"/>
              <w:rPr>
                <w:sz w:val="20"/>
                <w:szCs w:val="20"/>
                <w:color w:val="auto"/>
              </w:rPr>
            </w:pPr>
            <w:r>
              <w:rPr>
                <w:rFonts w:ascii="Arial" w:cs="Arial" w:eastAsia="Arial" w:hAnsi="Arial"/>
                <w:sz w:val="16"/>
                <w:szCs w:val="16"/>
                <w:color w:val="auto"/>
              </w:rPr>
              <w:t>281</w:t>
            </w:r>
          </w:p>
        </w:tc>
        <w:tc>
          <w:tcPr>
            <w:tcW w:w="4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281</w:t>
            </w:r>
          </w:p>
        </w:tc>
      </w:tr>
      <w:tr>
        <w:trPr>
          <w:trHeight w:val="217"/>
        </w:trPr>
        <w:tc>
          <w:tcPr>
            <w:tcW w:w="5660" w:type="dxa"/>
            <w:vAlign w:val="bottom"/>
            <w:tcBorders>
              <w:bottom w:val="single" w:sz="8" w:color="auto"/>
            </w:tcBorders>
            <w:shd w:val="clear" w:color="auto" w:fill="D4F1F5"/>
          </w:tcPr>
          <w:p>
            <w:pPr>
              <w:ind w:left="20"/>
              <w:spacing w:after="0"/>
              <w:rPr>
                <w:sz w:val="20"/>
                <w:szCs w:val="20"/>
                <w:color w:val="auto"/>
              </w:rPr>
            </w:pPr>
            <w:r>
              <w:rPr>
                <w:rFonts w:ascii="Arial" w:cs="Arial" w:eastAsia="Arial" w:hAnsi="Arial"/>
                <w:sz w:val="16"/>
                <w:szCs w:val="16"/>
                <w:b w:val="1"/>
                <w:bCs w:val="1"/>
                <w:color w:val="auto"/>
              </w:rPr>
              <w:t>Balance at March 31, 2025</w:t>
            </w:r>
          </w:p>
        </w:tc>
        <w:tc>
          <w:tcPr>
            <w:tcW w:w="240" w:type="dxa"/>
            <w:vAlign w:val="bottom"/>
            <w:tcBorders>
              <w:bottom w:val="single" w:sz="8" w:color="auto"/>
            </w:tcBorders>
            <w:shd w:val="clear" w:color="auto" w:fill="D4F1F5"/>
          </w:tcPr>
          <w:p>
            <w:pPr>
              <w:jc w:val="right"/>
              <w:ind w:right="3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shd w:val="clear" w:color="auto" w:fill="D4F1F5"/>
          </w:tcPr>
          <w:p>
            <w:pPr>
              <w:jc w:val="right"/>
              <w:ind w:right="22"/>
              <w:spacing w:after="0"/>
              <w:rPr>
                <w:sz w:val="20"/>
                <w:szCs w:val="20"/>
                <w:color w:val="auto"/>
              </w:rPr>
            </w:pPr>
            <w:r>
              <w:rPr>
                <w:rFonts w:ascii="Arial" w:cs="Arial" w:eastAsia="Arial" w:hAnsi="Arial"/>
                <w:sz w:val="16"/>
                <w:szCs w:val="16"/>
                <w:color w:val="auto"/>
              </w:rPr>
              <w:t>1,660</w:t>
            </w:r>
          </w:p>
        </w:tc>
        <w:tc>
          <w:tcPr>
            <w:tcW w:w="220" w:type="dxa"/>
            <w:vAlign w:val="bottom"/>
            <w:tcBorders>
              <w:bottom w:val="single" w:sz="8" w:color="auto"/>
            </w:tcBorders>
            <w:shd w:val="clear" w:color="auto" w:fill="D4F1F5"/>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shd w:val="clear" w:color="auto" w:fill="D4F1F5"/>
          </w:tcPr>
          <w:p>
            <w:pPr>
              <w:jc w:val="right"/>
              <w:ind w:right="23"/>
              <w:spacing w:after="0"/>
              <w:rPr>
                <w:sz w:val="20"/>
                <w:szCs w:val="20"/>
                <w:color w:val="auto"/>
              </w:rPr>
            </w:pPr>
            <w:r>
              <w:rPr>
                <w:rFonts w:ascii="Arial" w:cs="Arial" w:eastAsia="Arial" w:hAnsi="Arial"/>
                <w:sz w:val="16"/>
                <w:szCs w:val="16"/>
                <w:color w:val="auto"/>
              </w:rPr>
              <w:t>9,197</w:t>
            </w:r>
          </w:p>
        </w:tc>
        <w:tc>
          <w:tcPr>
            <w:tcW w:w="480" w:type="dxa"/>
            <w:vAlign w:val="bottom"/>
            <w:tcBorders>
              <w:bottom w:val="single" w:sz="8" w:color="auto"/>
            </w:tcBorders>
            <w:shd w:val="clear" w:color="auto" w:fill="D4F1F5"/>
          </w:tcPr>
          <w:p>
            <w:pPr>
              <w:jc w:val="right"/>
              <w:ind w:right="21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shd w:val="clear" w:color="auto" w:fill="D4F1F5"/>
          </w:tcPr>
          <w:p>
            <w:pPr>
              <w:jc w:val="right"/>
              <w:ind w:right="1"/>
              <w:spacing w:after="0"/>
              <w:rPr>
                <w:sz w:val="20"/>
                <w:szCs w:val="20"/>
                <w:color w:val="auto"/>
              </w:rPr>
            </w:pPr>
            <w:r>
              <w:rPr>
                <w:rFonts w:ascii="Arial" w:cs="Arial" w:eastAsia="Arial" w:hAnsi="Arial"/>
                <w:sz w:val="16"/>
                <w:szCs w:val="16"/>
                <w:color w:val="auto"/>
              </w:rPr>
              <w:t>(12)</w:t>
            </w:r>
          </w:p>
        </w:tc>
        <w:tc>
          <w:tcPr>
            <w:tcW w:w="220" w:type="dxa"/>
            <w:vAlign w:val="bottom"/>
            <w:tcBorders>
              <w:bottom w:val="single" w:sz="8" w:color="auto"/>
            </w:tcBorders>
            <w:shd w:val="clear" w:color="auto" w:fill="D4F1F5"/>
          </w:tcPr>
          <w:p>
            <w:pPr>
              <w:jc w:val="right"/>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shd w:val="clear" w:color="auto" w:fill="D4F1F5"/>
          </w:tcPr>
          <w:p>
            <w:pPr>
              <w:jc w:val="right"/>
              <w:ind w:right="2"/>
              <w:spacing w:after="0"/>
              <w:rPr>
                <w:sz w:val="20"/>
                <w:szCs w:val="20"/>
                <w:color w:val="auto"/>
              </w:rPr>
            </w:pPr>
            <w:r>
              <w:rPr>
                <w:rFonts w:ascii="Arial" w:cs="Arial" w:eastAsia="Arial" w:hAnsi="Arial"/>
                <w:sz w:val="16"/>
                <w:szCs w:val="16"/>
                <w:color w:val="auto"/>
              </w:rPr>
              <w:t>10,845</w:t>
            </w:r>
          </w:p>
        </w:tc>
      </w:tr>
    </w:tbl>
    <w:p>
      <w:pPr>
        <w:spacing w:after="0" w:line="141"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See Notes to Condensed Financial Statements.</w:t>
      </w: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480060</wp:posOffset>
            </wp:positionV>
            <wp:extent cx="7132320" cy="45402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4540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FFFFFF"/>
        </w:rPr>
        <w:t>SOUTHERN CALIFORNIA GAS COMPANY</w:t>
      </w:r>
    </w:p>
    <w:p>
      <w:pPr>
        <w:spacing w:after="0" w:line="59"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FFFFFF"/>
        </w:rPr>
        <w:t>CONDENSED STATEMENTS OF OPERATIONS</w:t>
      </w:r>
    </w:p>
    <w:p>
      <w:pPr>
        <w:spacing w:after="0" w:line="66" w:lineRule="exact"/>
        <w:rPr>
          <w:sz w:val="20"/>
          <w:szCs w:val="20"/>
          <w:color w:val="auto"/>
        </w:rPr>
      </w:pPr>
    </w:p>
    <w:p>
      <w:pPr>
        <w:ind w:left="20"/>
        <w:spacing w:after="0"/>
        <w:rPr>
          <w:sz w:val="20"/>
          <w:szCs w:val="20"/>
          <w:color w:val="auto"/>
        </w:rPr>
      </w:pPr>
      <w:r>
        <w:rPr>
          <w:rFonts w:ascii="Arial" w:cs="Arial" w:eastAsia="Arial" w:hAnsi="Arial"/>
          <w:sz w:val="14"/>
          <w:szCs w:val="14"/>
          <w:i w:val="1"/>
          <w:iCs w:val="1"/>
          <w:color w:val="FFFFFF"/>
        </w:rPr>
        <w:t>(Dollars in millions)</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8440" w:type="dxa"/>
            <w:vAlign w:val="bottom"/>
          </w:tcPr>
          <w:p>
            <w:pPr>
              <w:spacing w:after="0"/>
              <w:rPr>
                <w:sz w:val="16"/>
                <w:szCs w:val="16"/>
                <w:color w:val="auto"/>
              </w:rPr>
            </w:pPr>
          </w:p>
        </w:tc>
        <w:tc>
          <w:tcPr>
            <w:tcW w:w="2800" w:type="dxa"/>
            <w:vAlign w:val="bottom"/>
            <w:tcBorders>
              <w:bottom w:val="single" w:sz="8" w:color="auto"/>
            </w:tcBorders>
            <w:gridSpan w:val="4"/>
          </w:tcPr>
          <w:p>
            <w:pPr>
              <w:jc w:val="right"/>
              <w:ind w:right="320"/>
              <w:spacing w:after="0"/>
              <w:rPr>
                <w:sz w:val="20"/>
                <w:szCs w:val="20"/>
                <w:color w:val="auto"/>
              </w:rPr>
            </w:pPr>
            <w:r>
              <w:rPr>
                <w:rFonts w:ascii="Arial" w:cs="Arial" w:eastAsia="Arial" w:hAnsi="Arial"/>
                <w:sz w:val="14"/>
                <w:szCs w:val="14"/>
                <w:color w:val="auto"/>
              </w:rPr>
              <w:t>Three months ended March 31,</w:t>
            </w:r>
          </w:p>
        </w:tc>
      </w:tr>
      <w:tr>
        <w:trPr>
          <w:trHeight w:val="220"/>
        </w:trPr>
        <w:tc>
          <w:tcPr>
            <w:tcW w:w="84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2026</w:t>
            </w:r>
          </w:p>
        </w:tc>
        <w:tc>
          <w:tcPr>
            <w:tcW w:w="58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420"/>
              <w:spacing w:after="0"/>
              <w:rPr>
                <w:sz w:val="20"/>
                <w:szCs w:val="20"/>
                <w:color w:val="auto"/>
              </w:rPr>
            </w:pPr>
            <w:r>
              <w:rPr>
                <w:rFonts w:ascii="Arial" w:cs="Arial" w:eastAsia="Arial" w:hAnsi="Arial"/>
                <w:sz w:val="14"/>
                <w:szCs w:val="14"/>
                <w:color w:val="auto"/>
              </w:rPr>
              <w:t>2025</w:t>
            </w:r>
          </w:p>
        </w:tc>
      </w:tr>
      <w:tr>
        <w:trPr>
          <w:trHeight w:val="216"/>
        </w:trPr>
        <w:tc>
          <w:tcPr>
            <w:tcW w:w="8440" w:type="dxa"/>
            <w:vAlign w:val="bottom"/>
            <w:shd w:val="clear" w:color="auto" w:fill="D4F1F5"/>
          </w:tcPr>
          <w:p>
            <w:pPr>
              <w:spacing w:after="0"/>
              <w:rPr>
                <w:sz w:val="18"/>
                <w:szCs w:val="18"/>
                <w:color w:val="auto"/>
              </w:rPr>
            </w:pPr>
          </w:p>
        </w:tc>
        <w:tc>
          <w:tcPr>
            <w:tcW w:w="820" w:type="dxa"/>
            <w:vAlign w:val="bottom"/>
            <w:shd w:val="clear" w:color="auto" w:fill="D4F1F5"/>
          </w:tcPr>
          <w:p>
            <w:pPr>
              <w:spacing w:after="0"/>
              <w:rPr>
                <w:sz w:val="18"/>
                <w:szCs w:val="18"/>
                <w:color w:val="auto"/>
              </w:rPr>
            </w:pPr>
          </w:p>
        </w:tc>
        <w:tc>
          <w:tcPr>
            <w:tcW w:w="1060" w:type="dxa"/>
            <w:vAlign w:val="bottom"/>
            <w:gridSpan w:val="2"/>
            <w:shd w:val="clear" w:color="auto" w:fill="D4F1F5"/>
          </w:tcPr>
          <w:p>
            <w:pPr>
              <w:jc w:val="right"/>
              <w:ind w:right="39"/>
              <w:spacing w:after="0"/>
              <w:rPr>
                <w:sz w:val="20"/>
                <w:szCs w:val="20"/>
                <w:color w:val="auto"/>
              </w:rPr>
            </w:pPr>
            <w:r>
              <w:rPr>
                <w:rFonts w:ascii="Arial" w:cs="Arial" w:eastAsia="Arial" w:hAnsi="Arial"/>
                <w:sz w:val="14"/>
                <w:szCs w:val="14"/>
                <w:color w:val="auto"/>
              </w:rPr>
              <w:t>(unaudited)</w:t>
            </w:r>
          </w:p>
        </w:tc>
        <w:tc>
          <w:tcPr>
            <w:tcW w:w="920" w:type="dxa"/>
            <w:vAlign w:val="bottom"/>
            <w:shd w:val="clear" w:color="auto" w:fill="D4F1F5"/>
          </w:tcPr>
          <w:p>
            <w:pPr>
              <w:spacing w:after="0"/>
              <w:rPr>
                <w:sz w:val="18"/>
                <w:szCs w:val="18"/>
                <w:color w:val="auto"/>
              </w:rPr>
            </w:pPr>
          </w:p>
        </w:tc>
      </w:tr>
      <w:tr>
        <w:trPr>
          <w:trHeight w:val="216"/>
        </w:trPr>
        <w:tc>
          <w:tcPr>
            <w:tcW w:w="84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16"/>
        </w:trPr>
        <w:tc>
          <w:tcPr>
            <w:tcW w:w="8440" w:type="dxa"/>
            <w:vAlign w:val="bottom"/>
            <w:shd w:val="clear" w:color="auto" w:fill="D4F1F5"/>
          </w:tcPr>
          <w:p>
            <w:pPr>
              <w:ind w:left="20"/>
              <w:spacing w:after="0"/>
              <w:rPr>
                <w:sz w:val="20"/>
                <w:szCs w:val="20"/>
                <w:color w:val="auto"/>
              </w:rPr>
            </w:pPr>
            <w:r>
              <w:rPr>
                <w:rFonts w:ascii="Arial" w:cs="Arial" w:eastAsia="Arial" w:hAnsi="Arial"/>
                <w:sz w:val="16"/>
                <w:szCs w:val="16"/>
                <w:color w:val="auto"/>
              </w:rPr>
              <w:t>Operating revenues</w:t>
            </w:r>
          </w:p>
        </w:tc>
        <w:tc>
          <w:tcPr>
            <w:tcW w:w="820" w:type="dxa"/>
            <w:vAlign w:val="bottom"/>
            <w:tcBorders>
              <w:bottom w:val="single" w:sz="8" w:color="auto"/>
            </w:tcBorders>
            <w:shd w:val="clear" w:color="auto" w:fill="D4F1F5"/>
          </w:tcPr>
          <w:p>
            <w:pPr>
              <w:jc w:val="right"/>
              <w:ind w:right="624"/>
              <w:spacing w:after="0"/>
              <w:rPr>
                <w:sz w:val="20"/>
                <w:szCs w:val="20"/>
                <w:color w:val="auto"/>
              </w:rPr>
            </w:pPr>
            <w:r>
              <w:rPr>
                <w:rFonts w:ascii="Arial" w:cs="Arial" w:eastAsia="Arial" w:hAnsi="Arial"/>
                <w:sz w:val="16"/>
                <w:szCs w:val="16"/>
                <w:color w:val="auto"/>
              </w:rPr>
              <w:t>$</w:t>
            </w:r>
          </w:p>
        </w:tc>
        <w:tc>
          <w:tcPr>
            <w:tcW w:w="580" w:type="dxa"/>
            <w:vAlign w:val="bottom"/>
            <w:tcBorders>
              <w:bottom w:val="single" w:sz="8" w:color="auto"/>
            </w:tcBorders>
            <w:shd w:val="clear" w:color="auto" w:fill="D4F1F5"/>
          </w:tcPr>
          <w:p>
            <w:pPr>
              <w:jc w:val="right"/>
              <w:ind w:right="80"/>
              <w:spacing w:after="0"/>
              <w:rPr>
                <w:sz w:val="20"/>
                <w:szCs w:val="20"/>
                <w:color w:val="auto"/>
              </w:rPr>
            </w:pPr>
            <w:r>
              <w:rPr>
                <w:rFonts w:ascii="Arial" w:cs="Arial" w:eastAsia="Arial" w:hAnsi="Arial"/>
                <w:sz w:val="16"/>
                <w:szCs w:val="16"/>
                <w:color w:val="auto"/>
                <w:w w:val="99"/>
              </w:rPr>
              <w:t>1,728</w:t>
            </w:r>
          </w:p>
        </w:tc>
        <w:tc>
          <w:tcPr>
            <w:tcW w:w="480" w:type="dxa"/>
            <w:vAlign w:val="bottom"/>
            <w:tcBorders>
              <w:bottom w:val="single" w:sz="8" w:color="auto"/>
            </w:tcBorders>
            <w:shd w:val="clear" w:color="auto" w:fill="D4F1F5"/>
          </w:tcPr>
          <w:p>
            <w:pPr>
              <w:jc w:val="right"/>
              <w:ind w:right="19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shd w:val="clear" w:color="auto" w:fill="D4F1F5"/>
          </w:tcPr>
          <w:p>
            <w:pPr>
              <w:jc w:val="right"/>
              <w:spacing w:after="0"/>
              <w:rPr>
                <w:sz w:val="20"/>
                <w:szCs w:val="20"/>
                <w:color w:val="auto"/>
              </w:rPr>
            </w:pPr>
            <w:r>
              <w:rPr>
                <w:rFonts w:ascii="Arial" w:cs="Arial" w:eastAsia="Arial" w:hAnsi="Arial"/>
                <w:sz w:val="16"/>
                <w:szCs w:val="16"/>
                <w:color w:val="auto"/>
              </w:rPr>
              <w:t>2,020</w:t>
            </w:r>
          </w:p>
        </w:tc>
      </w:tr>
      <w:tr>
        <w:trPr>
          <w:trHeight w:val="208"/>
        </w:trPr>
        <w:tc>
          <w:tcPr>
            <w:tcW w:w="8440" w:type="dxa"/>
            <w:vAlign w:val="bottom"/>
          </w:tcPr>
          <w:p>
            <w:pPr>
              <w:ind w:left="20"/>
              <w:spacing w:after="0"/>
              <w:rPr>
                <w:sz w:val="20"/>
                <w:szCs w:val="20"/>
                <w:color w:val="auto"/>
              </w:rPr>
            </w:pPr>
            <w:r>
              <w:rPr>
                <w:rFonts w:ascii="Arial" w:cs="Arial" w:eastAsia="Arial" w:hAnsi="Arial"/>
                <w:sz w:val="16"/>
                <w:szCs w:val="16"/>
                <w:color w:val="auto"/>
              </w:rPr>
              <w:t>Operating expenses:</w:t>
            </w:r>
          </w:p>
        </w:tc>
        <w:tc>
          <w:tcPr>
            <w:tcW w:w="8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17"/>
        </w:trPr>
        <w:tc>
          <w:tcPr>
            <w:tcW w:w="8440" w:type="dxa"/>
            <w:vAlign w:val="bottom"/>
            <w:shd w:val="clear" w:color="auto" w:fill="D4F1F5"/>
          </w:tcPr>
          <w:p>
            <w:pPr>
              <w:ind w:left="240"/>
              <w:spacing w:after="0"/>
              <w:rPr>
                <w:sz w:val="20"/>
                <w:szCs w:val="20"/>
                <w:color w:val="auto"/>
              </w:rPr>
            </w:pPr>
            <w:r>
              <w:rPr>
                <w:rFonts w:ascii="Arial" w:cs="Arial" w:eastAsia="Arial" w:hAnsi="Arial"/>
                <w:sz w:val="16"/>
                <w:szCs w:val="16"/>
                <w:color w:val="auto"/>
              </w:rPr>
              <w:t>Cost of natural gas</w:t>
            </w:r>
          </w:p>
        </w:tc>
        <w:tc>
          <w:tcPr>
            <w:tcW w:w="820" w:type="dxa"/>
            <w:vAlign w:val="bottom"/>
            <w:shd w:val="clear" w:color="auto" w:fill="D4F1F5"/>
          </w:tcPr>
          <w:p>
            <w:pPr>
              <w:spacing w:after="0"/>
              <w:rPr>
                <w:sz w:val="18"/>
                <w:szCs w:val="18"/>
                <w:color w:val="auto"/>
              </w:rPr>
            </w:pPr>
          </w:p>
        </w:tc>
        <w:tc>
          <w:tcPr>
            <w:tcW w:w="580" w:type="dxa"/>
            <w:vAlign w:val="bottom"/>
            <w:shd w:val="clear" w:color="auto" w:fill="D4F1F5"/>
          </w:tcPr>
          <w:p>
            <w:pPr>
              <w:jc w:val="right"/>
              <w:ind w:right="80"/>
              <w:spacing w:after="0"/>
              <w:rPr>
                <w:sz w:val="20"/>
                <w:szCs w:val="20"/>
                <w:color w:val="auto"/>
              </w:rPr>
            </w:pPr>
            <w:r>
              <w:rPr>
                <w:rFonts w:ascii="Arial" w:cs="Arial" w:eastAsia="Arial" w:hAnsi="Arial"/>
                <w:sz w:val="16"/>
                <w:szCs w:val="16"/>
                <w:color w:val="auto"/>
              </w:rPr>
              <w:t>256</w:t>
            </w:r>
          </w:p>
        </w:tc>
        <w:tc>
          <w:tcPr>
            <w:tcW w:w="480" w:type="dxa"/>
            <w:vAlign w:val="bottom"/>
            <w:shd w:val="clear" w:color="auto" w:fill="D4F1F5"/>
          </w:tcPr>
          <w:p>
            <w:pPr>
              <w:spacing w:after="0"/>
              <w:rPr>
                <w:sz w:val="18"/>
                <w:szCs w:val="18"/>
                <w:color w:val="auto"/>
              </w:rPr>
            </w:pPr>
          </w:p>
        </w:tc>
        <w:tc>
          <w:tcPr>
            <w:tcW w:w="920" w:type="dxa"/>
            <w:vAlign w:val="bottom"/>
            <w:shd w:val="clear" w:color="auto" w:fill="D4F1F5"/>
          </w:tcPr>
          <w:p>
            <w:pPr>
              <w:jc w:val="right"/>
              <w:spacing w:after="0"/>
              <w:rPr>
                <w:sz w:val="20"/>
                <w:szCs w:val="20"/>
                <w:color w:val="auto"/>
              </w:rPr>
            </w:pPr>
            <w:r>
              <w:rPr>
                <w:rFonts w:ascii="Arial" w:cs="Arial" w:eastAsia="Arial" w:hAnsi="Arial"/>
                <w:sz w:val="16"/>
                <w:szCs w:val="16"/>
                <w:color w:val="auto"/>
              </w:rPr>
              <w:t>415</w:t>
            </w:r>
          </w:p>
        </w:tc>
      </w:tr>
      <w:tr>
        <w:trPr>
          <w:trHeight w:val="215"/>
        </w:trPr>
        <w:tc>
          <w:tcPr>
            <w:tcW w:w="8440" w:type="dxa"/>
            <w:vAlign w:val="bottom"/>
          </w:tcPr>
          <w:p>
            <w:pPr>
              <w:ind w:left="240"/>
              <w:spacing w:after="0"/>
              <w:rPr>
                <w:sz w:val="20"/>
                <w:szCs w:val="20"/>
                <w:color w:val="auto"/>
              </w:rPr>
            </w:pPr>
            <w:r>
              <w:rPr>
                <w:rFonts w:ascii="Arial" w:cs="Arial" w:eastAsia="Arial" w:hAnsi="Arial"/>
                <w:sz w:val="16"/>
                <w:szCs w:val="16"/>
                <w:color w:val="auto"/>
              </w:rPr>
              <w:t>Operation and maintenance</w:t>
            </w:r>
          </w:p>
        </w:tc>
        <w:tc>
          <w:tcPr>
            <w:tcW w:w="820" w:type="dxa"/>
            <w:vAlign w:val="bottom"/>
          </w:tcPr>
          <w:p>
            <w:pPr>
              <w:spacing w:after="0"/>
              <w:rPr>
                <w:sz w:val="18"/>
                <w:szCs w:val="18"/>
                <w:color w:val="auto"/>
              </w:rPr>
            </w:pPr>
          </w:p>
        </w:tc>
        <w:tc>
          <w:tcPr>
            <w:tcW w:w="580" w:type="dxa"/>
            <w:vAlign w:val="bottom"/>
          </w:tcPr>
          <w:p>
            <w:pPr>
              <w:jc w:val="right"/>
              <w:ind w:right="80"/>
              <w:spacing w:after="0"/>
              <w:rPr>
                <w:sz w:val="20"/>
                <w:szCs w:val="20"/>
                <w:color w:val="auto"/>
              </w:rPr>
            </w:pPr>
            <w:r>
              <w:rPr>
                <w:rFonts w:ascii="Arial" w:cs="Arial" w:eastAsia="Arial" w:hAnsi="Arial"/>
                <w:sz w:val="16"/>
                <w:szCs w:val="16"/>
                <w:color w:val="auto"/>
              </w:rPr>
              <w:t>621</w:t>
            </w:r>
          </w:p>
        </w:tc>
        <w:tc>
          <w:tcPr>
            <w:tcW w:w="4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757</w:t>
            </w:r>
          </w:p>
        </w:tc>
      </w:tr>
      <w:tr>
        <w:trPr>
          <w:trHeight w:val="217"/>
        </w:trPr>
        <w:tc>
          <w:tcPr>
            <w:tcW w:w="8440" w:type="dxa"/>
            <w:vAlign w:val="bottom"/>
            <w:shd w:val="clear" w:color="auto" w:fill="D4F1F5"/>
          </w:tcPr>
          <w:p>
            <w:pPr>
              <w:ind w:left="240"/>
              <w:spacing w:after="0"/>
              <w:rPr>
                <w:sz w:val="20"/>
                <w:szCs w:val="20"/>
                <w:color w:val="auto"/>
              </w:rPr>
            </w:pPr>
            <w:r>
              <w:rPr>
                <w:rFonts w:ascii="Arial" w:cs="Arial" w:eastAsia="Arial" w:hAnsi="Arial"/>
                <w:sz w:val="16"/>
                <w:szCs w:val="16"/>
                <w:color w:val="auto"/>
              </w:rPr>
              <w:t>Depreciation and amortization</w:t>
            </w:r>
          </w:p>
        </w:tc>
        <w:tc>
          <w:tcPr>
            <w:tcW w:w="820" w:type="dxa"/>
            <w:vAlign w:val="bottom"/>
            <w:shd w:val="clear" w:color="auto" w:fill="D4F1F5"/>
          </w:tcPr>
          <w:p>
            <w:pPr>
              <w:spacing w:after="0"/>
              <w:rPr>
                <w:sz w:val="18"/>
                <w:szCs w:val="18"/>
                <w:color w:val="auto"/>
              </w:rPr>
            </w:pPr>
          </w:p>
        </w:tc>
        <w:tc>
          <w:tcPr>
            <w:tcW w:w="580" w:type="dxa"/>
            <w:vAlign w:val="bottom"/>
            <w:shd w:val="clear" w:color="auto" w:fill="D4F1F5"/>
          </w:tcPr>
          <w:p>
            <w:pPr>
              <w:jc w:val="right"/>
              <w:ind w:right="80"/>
              <w:spacing w:after="0"/>
              <w:rPr>
                <w:sz w:val="20"/>
                <w:szCs w:val="20"/>
                <w:color w:val="auto"/>
              </w:rPr>
            </w:pPr>
            <w:r>
              <w:rPr>
                <w:rFonts w:ascii="Arial" w:cs="Arial" w:eastAsia="Arial" w:hAnsi="Arial"/>
                <w:sz w:val="16"/>
                <w:szCs w:val="16"/>
                <w:color w:val="auto"/>
              </w:rPr>
              <w:t>273</w:t>
            </w:r>
          </w:p>
        </w:tc>
        <w:tc>
          <w:tcPr>
            <w:tcW w:w="480" w:type="dxa"/>
            <w:vAlign w:val="bottom"/>
            <w:shd w:val="clear" w:color="auto" w:fill="D4F1F5"/>
          </w:tcPr>
          <w:p>
            <w:pPr>
              <w:spacing w:after="0"/>
              <w:rPr>
                <w:sz w:val="18"/>
                <w:szCs w:val="18"/>
                <w:color w:val="auto"/>
              </w:rPr>
            </w:pPr>
          </w:p>
        </w:tc>
        <w:tc>
          <w:tcPr>
            <w:tcW w:w="920" w:type="dxa"/>
            <w:vAlign w:val="bottom"/>
            <w:shd w:val="clear" w:color="auto" w:fill="D4F1F5"/>
          </w:tcPr>
          <w:p>
            <w:pPr>
              <w:jc w:val="right"/>
              <w:spacing w:after="0"/>
              <w:rPr>
                <w:sz w:val="20"/>
                <w:szCs w:val="20"/>
                <w:color w:val="auto"/>
              </w:rPr>
            </w:pPr>
            <w:r>
              <w:rPr>
                <w:rFonts w:ascii="Arial" w:cs="Arial" w:eastAsia="Arial" w:hAnsi="Arial"/>
                <w:sz w:val="16"/>
                <w:szCs w:val="16"/>
                <w:color w:val="auto"/>
              </w:rPr>
              <w:t>242</w:t>
            </w:r>
          </w:p>
        </w:tc>
      </w:tr>
      <w:tr>
        <w:trPr>
          <w:trHeight w:val="215"/>
        </w:trPr>
        <w:tc>
          <w:tcPr>
            <w:tcW w:w="8440" w:type="dxa"/>
            <w:vAlign w:val="bottom"/>
            <w:tcBorders>
              <w:bottom w:val="single" w:sz="8" w:color="D4F1F5"/>
            </w:tcBorders>
          </w:tcPr>
          <w:p>
            <w:pPr>
              <w:ind w:left="240"/>
              <w:spacing w:after="0"/>
              <w:rPr>
                <w:sz w:val="20"/>
                <w:szCs w:val="20"/>
                <w:color w:val="auto"/>
              </w:rPr>
            </w:pPr>
            <w:r>
              <w:rPr>
                <w:rFonts w:ascii="Arial" w:cs="Arial" w:eastAsia="Arial" w:hAnsi="Arial"/>
                <w:sz w:val="16"/>
                <w:szCs w:val="16"/>
                <w:color w:val="auto"/>
              </w:rPr>
              <w:t>Franchise fees and other taxes</w:t>
            </w:r>
          </w:p>
        </w:tc>
        <w:tc>
          <w:tcPr>
            <w:tcW w:w="8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81</w:t>
            </w:r>
          </w:p>
        </w:tc>
        <w:tc>
          <w:tcPr>
            <w:tcW w:w="4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79</w:t>
            </w:r>
          </w:p>
        </w:tc>
      </w:tr>
      <w:tr>
        <w:trPr>
          <w:trHeight w:val="210"/>
        </w:trPr>
        <w:tc>
          <w:tcPr>
            <w:tcW w:w="8440" w:type="dxa"/>
            <w:vAlign w:val="bottom"/>
            <w:shd w:val="clear" w:color="auto" w:fill="D4F1F5"/>
          </w:tcPr>
          <w:p>
            <w:pPr>
              <w:ind w:left="460"/>
              <w:spacing w:after="0"/>
              <w:rPr>
                <w:sz w:val="20"/>
                <w:szCs w:val="20"/>
                <w:color w:val="auto"/>
              </w:rPr>
            </w:pPr>
            <w:r>
              <w:rPr>
                <w:rFonts w:ascii="Arial" w:cs="Arial" w:eastAsia="Arial" w:hAnsi="Arial"/>
                <w:sz w:val="16"/>
                <w:szCs w:val="16"/>
                <w:color w:val="auto"/>
              </w:rPr>
              <w:t>Total operating expenses</w:t>
            </w:r>
          </w:p>
        </w:tc>
        <w:tc>
          <w:tcPr>
            <w:tcW w:w="820" w:type="dxa"/>
            <w:vAlign w:val="bottom"/>
            <w:tcBorders>
              <w:bottom w:val="single" w:sz="8" w:color="auto"/>
            </w:tcBorders>
            <w:shd w:val="clear" w:color="auto" w:fill="D4F1F5"/>
          </w:tcPr>
          <w:p>
            <w:pPr>
              <w:spacing w:after="0"/>
              <w:rPr>
                <w:sz w:val="18"/>
                <w:szCs w:val="18"/>
                <w:color w:val="auto"/>
              </w:rPr>
            </w:pPr>
          </w:p>
        </w:tc>
        <w:tc>
          <w:tcPr>
            <w:tcW w:w="580" w:type="dxa"/>
            <w:vAlign w:val="bottom"/>
            <w:tcBorders>
              <w:bottom w:val="single" w:sz="8" w:color="auto"/>
            </w:tcBorders>
            <w:shd w:val="clear" w:color="auto" w:fill="D4F1F5"/>
          </w:tcPr>
          <w:p>
            <w:pPr>
              <w:jc w:val="right"/>
              <w:ind w:right="80"/>
              <w:spacing w:after="0"/>
              <w:rPr>
                <w:sz w:val="20"/>
                <w:szCs w:val="20"/>
                <w:color w:val="auto"/>
              </w:rPr>
            </w:pPr>
            <w:r>
              <w:rPr>
                <w:rFonts w:ascii="Arial" w:cs="Arial" w:eastAsia="Arial" w:hAnsi="Arial"/>
                <w:sz w:val="16"/>
                <w:szCs w:val="16"/>
                <w:color w:val="auto"/>
                <w:w w:val="99"/>
              </w:rPr>
              <w:t>1,231</w:t>
            </w:r>
          </w:p>
        </w:tc>
        <w:tc>
          <w:tcPr>
            <w:tcW w:w="480" w:type="dxa"/>
            <w:vAlign w:val="bottom"/>
            <w:tcBorders>
              <w:bottom w:val="single" w:sz="8" w:color="auto"/>
            </w:tcBorders>
            <w:shd w:val="clear" w:color="auto" w:fill="D4F1F5"/>
          </w:tcPr>
          <w:p>
            <w:pPr>
              <w:spacing w:after="0"/>
              <w:rPr>
                <w:sz w:val="18"/>
                <w:szCs w:val="18"/>
                <w:color w:val="auto"/>
              </w:rPr>
            </w:pPr>
          </w:p>
        </w:tc>
        <w:tc>
          <w:tcPr>
            <w:tcW w:w="920" w:type="dxa"/>
            <w:vAlign w:val="bottom"/>
            <w:tcBorders>
              <w:bottom w:val="single" w:sz="8" w:color="auto"/>
            </w:tcBorders>
            <w:shd w:val="clear" w:color="auto" w:fill="D4F1F5"/>
          </w:tcPr>
          <w:p>
            <w:pPr>
              <w:jc w:val="right"/>
              <w:spacing w:after="0"/>
              <w:rPr>
                <w:sz w:val="20"/>
                <w:szCs w:val="20"/>
                <w:color w:val="auto"/>
              </w:rPr>
            </w:pPr>
            <w:r>
              <w:rPr>
                <w:rFonts w:ascii="Arial" w:cs="Arial" w:eastAsia="Arial" w:hAnsi="Arial"/>
                <w:sz w:val="16"/>
                <w:szCs w:val="16"/>
                <w:color w:val="auto"/>
              </w:rPr>
              <w:t>1,493</w:t>
            </w:r>
          </w:p>
        </w:tc>
      </w:tr>
      <w:tr>
        <w:trPr>
          <w:trHeight w:val="209"/>
        </w:trPr>
        <w:tc>
          <w:tcPr>
            <w:tcW w:w="8440" w:type="dxa"/>
            <w:vAlign w:val="bottom"/>
          </w:tcPr>
          <w:p>
            <w:pPr>
              <w:ind w:left="240"/>
              <w:spacing w:after="0"/>
              <w:rPr>
                <w:sz w:val="20"/>
                <w:szCs w:val="20"/>
                <w:color w:val="auto"/>
              </w:rPr>
            </w:pPr>
            <w:r>
              <w:rPr>
                <w:rFonts w:ascii="Arial" w:cs="Arial" w:eastAsia="Arial" w:hAnsi="Arial"/>
                <w:sz w:val="16"/>
                <w:szCs w:val="16"/>
                <w:color w:val="auto"/>
              </w:rPr>
              <w:t>Operating income</w:t>
            </w:r>
          </w:p>
        </w:tc>
        <w:tc>
          <w:tcPr>
            <w:tcW w:w="820" w:type="dxa"/>
            <w:vAlign w:val="bottom"/>
          </w:tcPr>
          <w:p>
            <w:pPr>
              <w:spacing w:after="0"/>
              <w:rPr>
                <w:sz w:val="18"/>
                <w:szCs w:val="18"/>
                <w:color w:val="auto"/>
              </w:rPr>
            </w:pPr>
          </w:p>
        </w:tc>
        <w:tc>
          <w:tcPr>
            <w:tcW w:w="580" w:type="dxa"/>
            <w:vAlign w:val="bottom"/>
          </w:tcPr>
          <w:p>
            <w:pPr>
              <w:jc w:val="right"/>
              <w:ind w:right="80"/>
              <w:spacing w:after="0"/>
              <w:rPr>
                <w:sz w:val="20"/>
                <w:szCs w:val="20"/>
                <w:color w:val="auto"/>
              </w:rPr>
            </w:pPr>
            <w:r>
              <w:rPr>
                <w:rFonts w:ascii="Arial" w:cs="Arial" w:eastAsia="Arial" w:hAnsi="Arial"/>
                <w:sz w:val="16"/>
                <w:szCs w:val="16"/>
                <w:color w:val="auto"/>
              </w:rPr>
              <w:t>497</w:t>
            </w:r>
          </w:p>
        </w:tc>
        <w:tc>
          <w:tcPr>
            <w:tcW w:w="4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527</w:t>
            </w:r>
          </w:p>
        </w:tc>
      </w:tr>
      <w:tr>
        <w:trPr>
          <w:trHeight w:val="217"/>
        </w:trPr>
        <w:tc>
          <w:tcPr>
            <w:tcW w:w="8440" w:type="dxa"/>
            <w:vAlign w:val="bottom"/>
            <w:shd w:val="clear" w:color="auto" w:fill="D4F1F5"/>
          </w:tcPr>
          <w:p>
            <w:pPr>
              <w:ind w:left="20"/>
              <w:spacing w:after="0"/>
              <w:rPr>
                <w:sz w:val="20"/>
                <w:szCs w:val="20"/>
                <w:color w:val="auto"/>
              </w:rPr>
            </w:pPr>
            <w:r>
              <w:rPr>
                <w:rFonts w:ascii="Arial" w:cs="Arial" w:eastAsia="Arial" w:hAnsi="Arial"/>
                <w:sz w:val="16"/>
                <w:szCs w:val="16"/>
                <w:color w:val="auto"/>
              </w:rPr>
              <w:t>Other income, net</w:t>
            </w:r>
          </w:p>
        </w:tc>
        <w:tc>
          <w:tcPr>
            <w:tcW w:w="820" w:type="dxa"/>
            <w:vAlign w:val="bottom"/>
            <w:shd w:val="clear" w:color="auto" w:fill="D4F1F5"/>
          </w:tcPr>
          <w:p>
            <w:pPr>
              <w:spacing w:after="0"/>
              <w:rPr>
                <w:sz w:val="18"/>
                <w:szCs w:val="18"/>
                <w:color w:val="auto"/>
              </w:rPr>
            </w:pPr>
          </w:p>
        </w:tc>
        <w:tc>
          <w:tcPr>
            <w:tcW w:w="580" w:type="dxa"/>
            <w:vAlign w:val="bottom"/>
            <w:shd w:val="clear" w:color="auto" w:fill="D4F1F5"/>
          </w:tcPr>
          <w:p>
            <w:pPr>
              <w:jc w:val="right"/>
              <w:ind w:right="80"/>
              <w:spacing w:after="0"/>
              <w:rPr>
                <w:sz w:val="20"/>
                <w:szCs w:val="20"/>
                <w:color w:val="auto"/>
              </w:rPr>
            </w:pPr>
            <w:r>
              <w:rPr>
                <w:rFonts w:ascii="Arial" w:cs="Arial" w:eastAsia="Arial" w:hAnsi="Arial"/>
                <w:sz w:val="16"/>
                <w:szCs w:val="16"/>
                <w:color w:val="auto"/>
              </w:rPr>
              <w:t>43</w:t>
            </w:r>
          </w:p>
        </w:tc>
        <w:tc>
          <w:tcPr>
            <w:tcW w:w="480" w:type="dxa"/>
            <w:vAlign w:val="bottom"/>
            <w:shd w:val="clear" w:color="auto" w:fill="D4F1F5"/>
          </w:tcPr>
          <w:p>
            <w:pPr>
              <w:spacing w:after="0"/>
              <w:rPr>
                <w:sz w:val="18"/>
                <w:szCs w:val="18"/>
                <w:color w:val="auto"/>
              </w:rPr>
            </w:pPr>
          </w:p>
        </w:tc>
        <w:tc>
          <w:tcPr>
            <w:tcW w:w="920" w:type="dxa"/>
            <w:vAlign w:val="bottom"/>
            <w:shd w:val="clear" w:color="auto" w:fill="D4F1F5"/>
          </w:tcPr>
          <w:p>
            <w:pPr>
              <w:jc w:val="right"/>
              <w:spacing w:after="0"/>
              <w:rPr>
                <w:sz w:val="20"/>
                <w:szCs w:val="20"/>
                <w:color w:val="auto"/>
              </w:rPr>
            </w:pPr>
            <w:r>
              <w:rPr>
                <w:rFonts w:ascii="Arial" w:cs="Arial" w:eastAsia="Arial" w:hAnsi="Arial"/>
                <w:sz w:val="16"/>
                <w:szCs w:val="16"/>
                <w:color w:val="auto"/>
              </w:rPr>
              <w:t>42</w:t>
            </w:r>
          </w:p>
        </w:tc>
      </w:tr>
      <w:tr>
        <w:trPr>
          <w:trHeight w:val="215"/>
        </w:trPr>
        <w:tc>
          <w:tcPr>
            <w:tcW w:w="8440" w:type="dxa"/>
            <w:vAlign w:val="bottom"/>
          </w:tcPr>
          <w:p>
            <w:pPr>
              <w:ind w:left="20"/>
              <w:spacing w:after="0"/>
              <w:rPr>
                <w:sz w:val="20"/>
                <w:szCs w:val="20"/>
                <w:color w:val="auto"/>
              </w:rPr>
            </w:pPr>
            <w:r>
              <w:rPr>
                <w:rFonts w:ascii="Arial" w:cs="Arial" w:eastAsia="Arial" w:hAnsi="Arial"/>
                <w:sz w:val="16"/>
                <w:szCs w:val="16"/>
                <w:color w:val="auto"/>
              </w:rPr>
              <w:t>Interest income</w:t>
            </w:r>
          </w:p>
        </w:tc>
        <w:tc>
          <w:tcPr>
            <w:tcW w:w="820" w:type="dxa"/>
            <w:vAlign w:val="bottom"/>
          </w:tcPr>
          <w:p>
            <w:pPr>
              <w:spacing w:after="0"/>
              <w:rPr>
                <w:sz w:val="18"/>
                <w:szCs w:val="18"/>
                <w:color w:val="auto"/>
              </w:rPr>
            </w:pPr>
          </w:p>
        </w:tc>
        <w:tc>
          <w:tcPr>
            <w:tcW w:w="580" w:type="dxa"/>
            <w:vAlign w:val="bottom"/>
          </w:tcPr>
          <w:p>
            <w:pPr>
              <w:jc w:val="right"/>
              <w:ind w:right="80"/>
              <w:spacing w:after="0"/>
              <w:rPr>
                <w:sz w:val="20"/>
                <w:szCs w:val="20"/>
                <w:color w:val="auto"/>
              </w:rPr>
            </w:pPr>
            <w:r>
              <w:rPr>
                <w:rFonts w:ascii="Arial" w:cs="Arial" w:eastAsia="Arial" w:hAnsi="Arial"/>
                <w:sz w:val="16"/>
                <w:szCs w:val="16"/>
                <w:color w:val="auto"/>
              </w:rPr>
              <w:t>1</w:t>
            </w:r>
          </w:p>
        </w:tc>
        <w:tc>
          <w:tcPr>
            <w:tcW w:w="4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w:t>
            </w:r>
          </w:p>
        </w:tc>
      </w:tr>
      <w:tr>
        <w:trPr>
          <w:trHeight w:val="217"/>
        </w:trPr>
        <w:tc>
          <w:tcPr>
            <w:tcW w:w="8440" w:type="dxa"/>
            <w:vAlign w:val="bottom"/>
            <w:shd w:val="clear" w:color="auto" w:fill="D4F1F5"/>
          </w:tcPr>
          <w:p>
            <w:pPr>
              <w:ind w:left="20"/>
              <w:spacing w:after="0"/>
              <w:rPr>
                <w:sz w:val="20"/>
                <w:szCs w:val="20"/>
                <w:color w:val="auto"/>
              </w:rPr>
            </w:pPr>
            <w:r>
              <w:rPr>
                <w:rFonts w:ascii="Arial" w:cs="Arial" w:eastAsia="Arial" w:hAnsi="Arial"/>
                <w:sz w:val="16"/>
                <w:szCs w:val="16"/>
                <w:color w:val="auto"/>
              </w:rPr>
              <w:t>Interest expense</w:t>
            </w:r>
          </w:p>
        </w:tc>
        <w:tc>
          <w:tcPr>
            <w:tcW w:w="820" w:type="dxa"/>
            <w:vAlign w:val="bottom"/>
            <w:tcBorders>
              <w:bottom w:val="single" w:sz="8" w:color="auto"/>
            </w:tcBorders>
            <w:shd w:val="clear" w:color="auto" w:fill="D4F1F5"/>
          </w:tcPr>
          <w:p>
            <w:pPr>
              <w:spacing w:after="0"/>
              <w:rPr>
                <w:sz w:val="18"/>
                <w:szCs w:val="18"/>
                <w:color w:val="auto"/>
              </w:rPr>
            </w:pPr>
          </w:p>
        </w:tc>
        <w:tc>
          <w:tcPr>
            <w:tcW w:w="580" w:type="dxa"/>
            <w:vAlign w:val="bottom"/>
            <w:tcBorders>
              <w:bottom w:val="single" w:sz="8" w:color="auto"/>
            </w:tcBorders>
            <w:shd w:val="clear" w:color="auto" w:fill="D4F1F5"/>
          </w:tcPr>
          <w:p>
            <w:pPr>
              <w:jc w:val="right"/>
              <w:ind w:right="40"/>
              <w:spacing w:after="0"/>
              <w:rPr>
                <w:sz w:val="20"/>
                <w:szCs w:val="20"/>
                <w:color w:val="auto"/>
              </w:rPr>
            </w:pPr>
            <w:r>
              <w:rPr>
                <w:rFonts w:ascii="Arial" w:cs="Arial" w:eastAsia="Arial" w:hAnsi="Arial"/>
                <w:sz w:val="16"/>
                <w:szCs w:val="16"/>
                <w:color w:val="auto"/>
              </w:rPr>
              <w:t>(97)</w:t>
            </w:r>
          </w:p>
        </w:tc>
        <w:tc>
          <w:tcPr>
            <w:tcW w:w="480" w:type="dxa"/>
            <w:vAlign w:val="bottom"/>
            <w:tcBorders>
              <w:bottom w:val="single" w:sz="8" w:color="auto"/>
            </w:tcBorders>
            <w:shd w:val="clear" w:color="auto" w:fill="D4F1F5"/>
          </w:tcPr>
          <w:p>
            <w:pPr>
              <w:spacing w:after="0"/>
              <w:rPr>
                <w:sz w:val="18"/>
                <w:szCs w:val="18"/>
                <w:color w:val="auto"/>
              </w:rPr>
            </w:pPr>
          </w:p>
        </w:tc>
        <w:tc>
          <w:tcPr>
            <w:tcW w:w="920" w:type="dxa"/>
            <w:vAlign w:val="bottom"/>
            <w:tcBorders>
              <w:bottom w:val="single" w:sz="8" w:color="auto"/>
            </w:tcBorders>
            <w:shd w:val="clear" w:color="auto" w:fill="D4F1F5"/>
          </w:tcPr>
          <w:p>
            <w:pPr>
              <w:jc w:val="right"/>
              <w:spacing w:after="0"/>
              <w:rPr>
                <w:sz w:val="20"/>
                <w:szCs w:val="20"/>
                <w:color w:val="auto"/>
              </w:rPr>
            </w:pPr>
            <w:r>
              <w:rPr>
                <w:rFonts w:ascii="Arial" w:cs="Arial" w:eastAsia="Arial" w:hAnsi="Arial"/>
                <w:sz w:val="16"/>
                <w:szCs w:val="16"/>
                <w:color w:val="auto"/>
              </w:rPr>
              <w:t>(90)</w:t>
            </w:r>
          </w:p>
        </w:tc>
      </w:tr>
      <w:tr>
        <w:trPr>
          <w:trHeight w:val="209"/>
        </w:trPr>
        <w:tc>
          <w:tcPr>
            <w:tcW w:w="8440" w:type="dxa"/>
            <w:vAlign w:val="bottom"/>
          </w:tcPr>
          <w:p>
            <w:pPr>
              <w:ind w:left="240"/>
              <w:spacing w:after="0"/>
              <w:rPr>
                <w:sz w:val="20"/>
                <w:szCs w:val="20"/>
                <w:color w:val="auto"/>
              </w:rPr>
            </w:pPr>
            <w:r>
              <w:rPr>
                <w:rFonts w:ascii="Arial" w:cs="Arial" w:eastAsia="Arial" w:hAnsi="Arial"/>
                <w:sz w:val="16"/>
                <w:szCs w:val="16"/>
                <w:color w:val="auto"/>
              </w:rPr>
              <w:t>Income before income taxes</w:t>
            </w:r>
          </w:p>
        </w:tc>
        <w:tc>
          <w:tcPr>
            <w:tcW w:w="820" w:type="dxa"/>
            <w:vAlign w:val="bottom"/>
          </w:tcPr>
          <w:p>
            <w:pPr>
              <w:spacing w:after="0"/>
              <w:rPr>
                <w:sz w:val="18"/>
                <w:szCs w:val="18"/>
                <w:color w:val="auto"/>
              </w:rPr>
            </w:pPr>
          </w:p>
        </w:tc>
        <w:tc>
          <w:tcPr>
            <w:tcW w:w="580" w:type="dxa"/>
            <w:vAlign w:val="bottom"/>
          </w:tcPr>
          <w:p>
            <w:pPr>
              <w:jc w:val="right"/>
              <w:ind w:right="80"/>
              <w:spacing w:after="0"/>
              <w:rPr>
                <w:sz w:val="20"/>
                <w:szCs w:val="20"/>
                <w:color w:val="auto"/>
              </w:rPr>
            </w:pPr>
            <w:r>
              <w:rPr>
                <w:rFonts w:ascii="Arial" w:cs="Arial" w:eastAsia="Arial" w:hAnsi="Arial"/>
                <w:sz w:val="16"/>
                <w:szCs w:val="16"/>
                <w:color w:val="auto"/>
              </w:rPr>
              <w:t>444</w:t>
            </w:r>
          </w:p>
        </w:tc>
        <w:tc>
          <w:tcPr>
            <w:tcW w:w="4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481</w:t>
            </w:r>
          </w:p>
        </w:tc>
      </w:tr>
      <w:tr>
        <w:trPr>
          <w:trHeight w:val="217"/>
        </w:trPr>
        <w:tc>
          <w:tcPr>
            <w:tcW w:w="8440" w:type="dxa"/>
            <w:vAlign w:val="bottom"/>
            <w:shd w:val="clear" w:color="auto" w:fill="D4F1F5"/>
          </w:tcPr>
          <w:p>
            <w:pPr>
              <w:ind w:left="20"/>
              <w:spacing w:after="0"/>
              <w:rPr>
                <w:sz w:val="20"/>
                <w:szCs w:val="20"/>
                <w:color w:val="auto"/>
              </w:rPr>
            </w:pPr>
            <w:r>
              <w:rPr>
                <w:rFonts w:ascii="Arial" w:cs="Arial" w:eastAsia="Arial" w:hAnsi="Arial"/>
                <w:sz w:val="16"/>
                <w:szCs w:val="16"/>
                <w:color w:val="auto"/>
              </w:rPr>
              <w:t>Income tax expense</w:t>
            </w:r>
          </w:p>
        </w:tc>
        <w:tc>
          <w:tcPr>
            <w:tcW w:w="820" w:type="dxa"/>
            <w:vAlign w:val="bottom"/>
            <w:tcBorders>
              <w:bottom w:val="single" w:sz="8" w:color="auto"/>
            </w:tcBorders>
            <w:shd w:val="clear" w:color="auto" w:fill="D4F1F5"/>
          </w:tcPr>
          <w:p>
            <w:pPr>
              <w:spacing w:after="0"/>
              <w:rPr>
                <w:sz w:val="18"/>
                <w:szCs w:val="18"/>
                <w:color w:val="auto"/>
              </w:rPr>
            </w:pPr>
          </w:p>
        </w:tc>
        <w:tc>
          <w:tcPr>
            <w:tcW w:w="580" w:type="dxa"/>
            <w:vAlign w:val="bottom"/>
            <w:tcBorders>
              <w:bottom w:val="single" w:sz="8" w:color="auto"/>
            </w:tcBorders>
            <w:shd w:val="clear" w:color="auto" w:fill="D4F1F5"/>
          </w:tcPr>
          <w:p>
            <w:pPr>
              <w:jc w:val="right"/>
              <w:ind w:right="40"/>
              <w:spacing w:after="0"/>
              <w:rPr>
                <w:sz w:val="20"/>
                <w:szCs w:val="20"/>
                <w:color w:val="auto"/>
              </w:rPr>
            </w:pPr>
            <w:r>
              <w:rPr>
                <w:rFonts w:ascii="Arial" w:cs="Arial" w:eastAsia="Arial" w:hAnsi="Arial"/>
                <w:sz w:val="16"/>
                <w:szCs w:val="16"/>
                <w:color w:val="auto"/>
              </w:rPr>
              <w:t>(20)</w:t>
            </w:r>
          </w:p>
        </w:tc>
        <w:tc>
          <w:tcPr>
            <w:tcW w:w="480" w:type="dxa"/>
            <w:vAlign w:val="bottom"/>
            <w:tcBorders>
              <w:bottom w:val="single" w:sz="8" w:color="auto"/>
            </w:tcBorders>
            <w:shd w:val="clear" w:color="auto" w:fill="D4F1F5"/>
          </w:tcPr>
          <w:p>
            <w:pPr>
              <w:spacing w:after="0"/>
              <w:rPr>
                <w:sz w:val="18"/>
                <w:szCs w:val="18"/>
                <w:color w:val="auto"/>
              </w:rPr>
            </w:pPr>
          </w:p>
        </w:tc>
        <w:tc>
          <w:tcPr>
            <w:tcW w:w="920" w:type="dxa"/>
            <w:vAlign w:val="bottom"/>
            <w:tcBorders>
              <w:bottom w:val="single" w:sz="8" w:color="auto"/>
            </w:tcBorders>
            <w:shd w:val="clear" w:color="auto" w:fill="D4F1F5"/>
          </w:tcPr>
          <w:p>
            <w:pPr>
              <w:jc w:val="right"/>
              <w:spacing w:after="0"/>
              <w:rPr>
                <w:sz w:val="20"/>
                <w:szCs w:val="20"/>
                <w:color w:val="auto"/>
              </w:rPr>
            </w:pPr>
            <w:r>
              <w:rPr>
                <w:rFonts w:ascii="Arial" w:cs="Arial" w:eastAsia="Arial" w:hAnsi="Arial"/>
                <w:sz w:val="16"/>
                <w:szCs w:val="16"/>
                <w:color w:val="auto"/>
              </w:rPr>
              <w:t>(38)</w:t>
            </w:r>
          </w:p>
        </w:tc>
      </w:tr>
      <w:tr>
        <w:trPr>
          <w:trHeight w:val="216"/>
        </w:trPr>
        <w:tc>
          <w:tcPr>
            <w:tcW w:w="8440" w:type="dxa"/>
            <w:vAlign w:val="bottom"/>
            <w:tcBorders>
              <w:bottom w:val="single" w:sz="8" w:color="auto"/>
            </w:tcBorders>
          </w:tcPr>
          <w:p>
            <w:pPr>
              <w:ind w:left="240"/>
              <w:spacing w:after="0"/>
              <w:rPr>
                <w:sz w:val="20"/>
                <w:szCs w:val="20"/>
                <w:color w:val="auto"/>
              </w:rPr>
            </w:pPr>
            <w:r>
              <w:rPr>
                <w:rFonts w:ascii="Arial" w:cs="Arial" w:eastAsia="Arial" w:hAnsi="Arial"/>
                <w:sz w:val="16"/>
                <w:szCs w:val="16"/>
                <w:color w:val="auto"/>
              </w:rPr>
              <w:t>Net income/Earnings attributable to common shares</w:t>
            </w:r>
          </w:p>
        </w:tc>
        <w:tc>
          <w:tcPr>
            <w:tcW w:w="820" w:type="dxa"/>
            <w:vAlign w:val="bottom"/>
            <w:tcBorders>
              <w:bottom w:val="single" w:sz="8" w:color="auto"/>
            </w:tcBorders>
          </w:tcPr>
          <w:p>
            <w:pPr>
              <w:jc w:val="right"/>
              <w:ind w:right="624"/>
              <w:spacing w:after="0"/>
              <w:rPr>
                <w:sz w:val="20"/>
                <w:szCs w:val="20"/>
                <w:color w:val="auto"/>
              </w:rPr>
            </w:pPr>
            <w:r>
              <w:rPr>
                <w:rFonts w:ascii="Arial" w:cs="Arial" w:eastAsia="Arial" w:hAnsi="Arial"/>
                <w:sz w:val="16"/>
                <w:szCs w:val="16"/>
                <w:color w:val="auto"/>
              </w:rPr>
              <w:t>$</w:t>
            </w:r>
          </w:p>
        </w:tc>
        <w:tc>
          <w:tcPr>
            <w:tcW w:w="58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424</w:t>
            </w:r>
          </w:p>
        </w:tc>
        <w:tc>
          <w:tcPr>
            <w:tcW w:w="48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443</w:t>
            </w:r>
          </w:p>
        </w:tc>
      </w:tr>
    </w:tbl>
    <w:p>
      <w:pPr>
        <w:spacing w:after="0" w:line="141"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See Notes to Condensed Financial Statements.</w:t>
      </w: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480060</wp:posOffset>
            </wp:positionV>
            <wp:extent cx="7132320" cy="45402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4540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FFFFFF"/>
        </w:rPr>
        <w:t>SOUTHERN CALIFORNIA GAS COMPANY</w:t>
      </w:r>
    </w:p>
    <w:p>
      <w:pPr>
        <w:spacing w:after="0" w:line="59"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FFFFFF"/>
        </w:rPr>
        <w:t>CONDENSED STATEMENTS OF COMPREHENSIVE INCOME (LOSS)</w:t>
      </w:r>
    </w:p>
    <w:p>
      <w:pPr>
        <w:spacing w:after="0" w:line="66" w:lineRule="exact"/>
        <w:rPr>
          <w:sz w:val="20"/>
          <w:szCs w:val="20"/>
          <w:color w:val="auto"/>
        </w:rPr>
      </w:pPr>
    </w:p>
    <w:p>
      <w:pPr>
        <w:ind w:left="20"/>
        <w:spacing w:after="0"/>
        <w:rPr>
          <w:sz w:val="20"/>
          <w:szCs w:val="20"/>
          <w:color w:val="auto"/>
        </w:rPr>
      </w:pPr>
      <w:r>
        <w:rPr>
          <w:rFonts w:ascii="Arial" w:cs="Arial" w:eastAsia="Arial" w:hAnsi="Arial"/>
          <w:sz w:val="14"/>
          <w:szCs w:val="14"/>
          <w:i w:val="1"/>
          <w:iCs w:val="1"/>
          <w:color w:val="FFFFFF"/>
        </w:rPr>
        <w:t>(Dollars in millions)</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360" w:type="dxa"/>
            <w:vAlign w:val="bottom"/>
          </w:tcPr>
          <w:p>
            <w:pPr>
              <w:spacing w:after="0"/>
              <w:rPr>
                <w:sz w:val="14"/>
                <w:szCs w:val="14"/>
                <w:color w:val="auto"/>
              </w:rPr>
            </w:pPr>
          </w:p>
        </w:tc>
        <w:tc>
          <w:tcPr>
            <w:tcW w:w="1100" w:type="dxa"/>
            <w:vAlign w:val="bottom"/>
          </w:tcPr>
          <w:p>
            <w:pPr>
              <w:jc w:val="right"/>
              <w:ind w:right="44"/>
              <w:spacing w:after="0"/>
              <w:rPr>
                <w:sz w:val="20"/>
                <w:szCs w:val="20"/>
                <w:color w:val="auto"/>
              </w:rPr>
            </w:pPr>
            <w:r>
              <w:rPr>
                <w:rFonts w:ascii="Arial" w:cs="Arial" w:eastAsia="Arial" w:hAnsi="Arial"/>
                <w:sz w:val="14"/>
                <w:szCs w:val="14"/>
                <w:color w:val="auto"/>
              </w:rPr>
              <w:t>Pretax</w:t>
            </w:r>
          </w:p>
        </w:tc>
        <w:tc>
          <w:tcPr>
            <w:tcW w:w="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60" w:type="dxa"/>
            <w:vAlign w:val="bottom"/>
          </w:tcPr>
          <w:p>
            <w:pPr>
              <w:jc w:val="right"/>
              <w:ind w:right="382"/>
              <w:spacing w:after="0"/>
              <w:rPr>
                <w:sz w:val="20"/>
                <w:szCs w:val="20"/>
                <w:color w:val="auto"/>
              </w:rPr>
            </w:pPr>
            <w:r>
              <w:rPr>
                <w:rFonts w:ascii="Arial" w:cs="Arial" w:eastAsia="Arial" w:hAnsi="Arial"/>
                <w:sz w:val="14"/>
                <w:szCs w:val="14"/>
                <w:color w:val="auto"/>
              </w:rPr>
              <w:t>Net-of-tax</w:t>
            </w:r>
          </w:p>
        </w:tc>
      </w:tr>
      <w:tr>
        <w:trPr>
          <w:trHeight w:val="208"/>
        </w:trPr>
        <w:tc>
          <w:tcPr>
            <w:tcW w:w="6360" w:type="dxa"/>
            <w:vAlign w:val="bottom"/>
          </w:tcPr>
          <w:p>
            <w:pPr>
              <w:spacing w:after="0"/>
              <w:rPr>
                <w:sz w:val="18"/>
                <w:szCs w:val="18"/>
                <w:color w:val="auto"/>
              </w:rPr>
            </w:pPr>
          </w:p>
        </w:tc>
        <w:tc>
          <w:tcPr>
            <w:tcW w:w="1100" w:type="dxa"/>
            <w:vAlign w:val="bottom"/>
            <w:tcBorders>
              <w:bottom w:val="single" w:sz="8" w:color="auto"/>
            </w:tcBorders>
          </w:tcPr>
          <w:p>
            <w:pPr>
              <w:jc w:val="right"/>
              <w:ind w:right="24"/>
              <w:spacing w:after="0"/>
              <w:rPr>
                <w:sz w:val="20"/>
                <w:szCs w:val="20"/>
                <w:color w:val="auto"/>
              </w:rPr>
            </w:pPr>
            <w:r>
              <w:rPr>
                <w:rFonts w:ascii="Arial" w:cs="Arial" w:eastAsia="Arial" w:hAnsi="Arial"/>
                <w:sz w:val="14"/>
                <w:szCs w:val="14"/>
                <w:color w:val="auto"/>
              </w:rPr>
              <w:t>amount</w:t>
            </w:r>
          </w:p>
        </w:tc>
        <w:tc>
          <w:tcPr>
            <w:tcW w:w="48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center"/>
              <w:ind w:right="82"/>
              <w:spacing w:after="0"/>
              <w:rPr>
                <w:sz w:val="20"/>
                <w:szCs w:val="20"/>
                <w:color w:val="auto"/>
              </w:rPr>
            </w:pPr>
            <w:r>
              <w:rPr>
                <w:rFonts w:ascii="Arial" w:cs="Arial" w:eastAsia="Arial" w:hAnsi="Arial"/>
                <w:sz w:val="14"/>
                <w:szCs w:val="14"/>
                <w:color w:val="auto"/>
              </w:rPr>
              <w:t>Income tax expense</w:t>
            </w:r>
          </w:p>
        </w:tc>
        <w:tc>
          <w:tcPr>
            <w:tcW w:w="3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462"/>
              <w:spacing w:after="0"/>
              <w:rPr>
                <w:sz w:val="20"/>
                <w:szCs w:val="20"/>
                <w:color w:val="auto"/>
              </w:rPr>
            </w:pPr>
            <w:r>
              <w:rPr>
                <w:rFonts w:ascii="Arial" w:cs="Arial" w:eastAsia="Arial" w:hAnsi="Arial"/>
                <w:sz w:val="14"/>
                <w:szCs w:val="14"/>
                <w:color w:val="auto"/>
              </w:rPr>
              <w:t>amount</w:t>
            </w:r>
          </w:p>
        </w:tc>
      </w:tr>
      <w:tr>
        <w:trPr>
          <w:trHeight w:val="209"/>
        </w:trPr>
        <w:tc>
          <w:tcPr>
            <w:tcW w:w="6360" w:type="dxa"/>
            <w:vAlign w:val="bottom"/>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center"/>
              <w:ind w:right="82"/>
              <w:spacing w:after="0"/>
              <w:rPr>
                <w:sz w:val="20"/>
                <w:szCs w:val="20"/>
                <w:color w:val="auto"/>
              </w:rPr>
            </w:pPr>
            <w:r>
              <w:rPr>
                <w:rFonts w:ascii="Arial" w:cs="Arial" w:eastAsia="Arial" w:hAnsi="Arial"/>
                <w:sz w:val="14"/>
                <w:szCs w:val="14"/>
                <w:color w:val="auto"/>
              </w:rPr>
              <w:t>(unaudited)</w:t>
            </w:r>
          </w:p>
        </w:tc>
        <w:tc>
          <w:tcPr>
            <w:tcW w:w="3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r>
      <w:tr>
        <w:trPr>
          <w:trHeight w:val="196"/>
        </w:trPr>
        <w:tc>
          <w:tcPr>
            <w:tcW w:w="6360" w:type="dxa"/>
            <w:vAlign w:val="bottom"/>
            <w:tcBorders>
              <w:bottom w:val="single" w:sz="8" w:color="auto"/>
            </w:tcBorders>
          </w:tcPr>
          <w:p>
            <w:pPr>
              <w:spacing w:after="0"/>
              <w:rPr>
                <w:sz w:val="17"/>
                <w:szCs w:val="17"/>
                <w:color w:val="auto"/>
              </w:rPr>
            </w:pPr>
          </w:p>
        </w:tc>
        <w:tc>
          <w:tcPr>
            <w:tcW w:w="4880" w:type="dxa"/>
            <w:vAlign w:val="bottom"/>
            <w:tcBorders>
              <w:bottom w:val="single" w:sz="8" w:color="auto"/>
            </w:tcBorders>
            <w:gridSpan w:val="6"/>
          </w:tcPr>
          <w:p>
            <w:pPr>
              <w:jc w:val="center"/>
              <w:spacing w:after="0"/>
              <w:rPr>
                <w:sz w:val="20"/>
                <w:szCs w:val="20"/>
                <w:color w:val="auto"/>
              </w:rPr>
            </w:pPr>
            <w:r>
              <w:rPr>
                <w:rFonts w:ascii="Arial" w:cs="Arial" w:eastAsia="Arial" w:hAnsi="Arial"/>
                <w:sz w:val="14"/>
                <w:szCs w:val="14"/>
                <w:color w:val="auto"/>
              </w:rPr>
              <w:t>Three months ended March 31, 2026 and 2025</w:t>
            </w:r>
          </w:p>
        </w:tc>
      </w:tr>
      <w:tr>
        <w:trPr>
          <w:trHeight w:val="213"/>
        </w:trPr>
        <w:tc>
          <w:tcPr>
            <w:tcW w:w="6360" w:type="dxa"/>
            <w:vAlign w:val="bottom"/>
            <w:shd w:val="clear" w:color="auto" w:fill="D4F1F5"/>
          </w:tcPr>
          <w:p>
            <w:pPr>
              <w:ind w:left="20"/>
              <w:spacing w:after="0"/>
              <w:rPr>
                <w:sz w:val="20"/>
                <w:szCs w:val="20"/>
                <w:color w:val="auto"/>
              </w:rPr>
            </w:pPr>
            <w:r>
              <w:rPr>
                <w:rFonts w:ascii="Arial" w:cs="Arial" w:eastAsia="Arial" w:hAnsi="Arial"/>
                <w:sz w:val="16"/>
                <w:szCs w:val="16"/>
                <w:b w:val="1"/>
                <w:bCs w:val="1"/>
                <w:color w:val="auto"/>
              </w:rPr>
              <w:t>2026:</w:t>
            </w:r>
          </w:p>
        </w:tc>
        <w:tc>
          <w:tcPr>
            <w:tcW w:w="1100" w:type="dxa"/>
            <w:vAlign w:val="bottom"/>
            <w:shd w:val="clear" w:color="auto" w:fill="D4F1F5"/>
          </w:tcPr>
          <w:p>
            <w:pPr>
              <w:spacing w:after="0"/>
              <w:rPr>
                <w:sz w:val="18"/>
                <w:szCs w:val="18"/>
                <w:color w:val="auto"/>
              </w:rPr>
            </w:pPr>
          </w:p>
        </w:tc>
        <w:tc>
          <w:tcPr>
            <w:tcW w:w="480" w:type="dxa"/>
            <w:vAlign w:val="bottom"/>
            <w:shd w:val="clear" w:color="auto" w:fill="D4F1F5"/>
          </w:tcPr>
          <w:p>
            <w:pPr>
              <w:spacing w:after="0"/>
              <w:rPr>
                <w:sz w:val="18"/>
                <w:szCs w:val="18"/>
                <w:color w:val="auto"/>
              </w:rPr>
            </w:pPr>
          </w:p>
        </w:tc>
        <w:tc>
          <w:tcPr>
            <w:tcW w:w="200" w:type="dxa"/>
            <w:vAlign w:val="bottom"/>
            <w:shd w:val="clear" w:color="auto" w:fill="D4F1F5"/>
          </w:tcPr>
          <w:p>
            <w:pPr>
              <w:spacing w:after="0"/>
              <w:rPr>
                <w:sz w:val="18"/>
                <w:szCs w:val="18"/>
                <w:color w:val="auto"/>
              </w:rPr>
            </w:pPr>
          </w:p>
        </w:tc>
        <w:tc>
          <w:tcPr>
            <w:tcW w:w="1480" w:type="dxa"/>
            <w:vAlign w:val="bottom"/>
            <w:shd w:val="clear" w:color="auto" w:fill="D4F1F5"/>
          </w:tcPr>
          <w:p>
            <w:pPr>
              <w:spacing w:after="0"/>
              <w:rPr>
                <w:sz w:val="18"/>
                <w:szCs w:val="18"/>
                <w:color w:val="auto"/>
              </w:rPr>
            </w:pPr>
          </w:p>
        </w:tc>
        <w:tc>
          <w:tcPr>
            <w:tcW w:w="360" w:type="dxa"/>
            <w:vAlign w:val="bottom"/>
            <w:shd w:val="clear" w:color="auto" w:fill="D4F1F5"/>
          </w:tcPr>
          <w:p>
            <w:pPr>
              <w:spacing w:after="0"/>
              <w:rPr>
                <w:sz w:val="18"/>
                <w:szCs w:val="18"/>
                <w:color w:val="auto"/>
              </w:rPr>
            </w:pPr>
          </w:p>
        </w:tc>
        <w:tc>
          <w:tcPr>
            <w:tcW w:w="1260" w:type="dxa"/>
            <w:vAlign w:val="bottom"/>
            <w:shd w:val="clear" w:color="auto" w:fill="D4F1F5"/>
          </w:tcPr>
          <w:p>
            <w:pPr>
              <w:spacing w:after="0"/>
              <w:rPr>
                <w:sz w:val="18"/>
                <w:szCs w:val="18"/>
                <w:color w:val="auto"/>
              </w:rPr>
            </w:pPr>
          </w:p>
        </w:tc>
      </w:tr>
      <w:tr>
        <w:trPr>
          <w:trHeight w:val="209"/>
        </w:trPr>
        <w:tc>
          <w:tcPr>
            <w:tcW w:w="6360" w:type="dxa"/>
            <w:vAlign w:val="bottom"/>
            <w:tcBorders>
              <w:bottom w:val="single" w:sz="8" w:color="929292"/>
            </w:tcBorders>
          </w:tcPr>
          <w:p>
            <w:pPr>
              <w:ind w:left="20"/>
              <w:spacing w:after="0"/>
              <w:rPr>
                <w:sz w:val="20"/>
                <w:szCs w:val="20"/>
                <w:color w:val="auto"/>
              </w:rPr>
            </w:pPr>
            <w:r>
              <w:rPr>
                <w:rFonts w:ascii="Arial" w:cs="Arial" w:eastAsia="Arial" w:hAnsi="Arial"/>
                <w:sz w:val="16"/>
                <w:szCs w:val="16"/>
                <w:color w:val="auto"/>
              </w:rPr>
              <w:t>Net income/Comprehensive income</w:t>
            </w:r>
          </w:p>
        </w:tc>
        <w:tc>
          <w:tcPr>
            <w:tcW w:w="1100" w:type="dxa"/>
            <w:vAlign w:val="bottom"/>
            <w:tcBorders>
              <w:bottom w:val="single" w:sz="8" w:color="929292"/>
            </w:tcBorders>
          </w:tcPr>
          <w:p>
            <w:pPr>
              <w:jc w:val="right"/>
              <w:ind w:right="924"/>
              <w:spacing w:after="0"/>
              <w:rPr>
                <w:sz w:val="20"/>
                <w:szCs w:val="20"/>
                <w:color w:val="auto"/>
              </w:rPr>
            </w:pPr>
            <w:r>
              <w:rPr>
                <w:rFonts w:ascii="Arial" w:cs="Arial" w:eastAsia="Arial" w:hAnsi="Arial"/>
                <w:sz w:val="16"/>
                <w:szCs w:val="16"/>
                <w:color w:val="auto"/>
                <w:w w:val="89"/>
              </w:rPr>
              <w:t>$</w:t>
            </w:r>
          </w:p>
        </w:tc>
        <w:tc>
          <w:tcPr>
            <w:tcW w:w="480" w:type="dxa"/>
            <w:vAlign w:val="bottom"/>
            <w:tcBorders>
              <w:bottom w:val="single" w:sz="8" w:color="929292"/>
            </w:tcBorders>
          </w:tcPr>
          <w:p>
            <w:pPr>
              <w:jc w:val="right"/>
              <w:ind w:right="19"/>
              <w:spacing w:after="0"/>
              <w:rPr>
                <w:sz w:val="20"/>
                <w:szCs w:val="20"/>
                <w:color w:val="auto"/>
              </w:rPr>
            </w:pPr>
            <w:r>
              <w:rPr>
                <w:rFonts w:ascii="Arial" w:cs="Arial" w:eastAsia="Arial" w:hAnsi="Arial"/>
                <w:sz w:val="16"/>
                <w:szCs w:val="16"/>
                <w:color w:val="auto"/>
              </w:rPr>
              <w:t>444</w:t>
            </w:r>
          </w:p>
        </w:tc>
        <w:tc>
          <w:tcPr>
            <w:tcW w:w="200" w:type="dxa"/>
            <w:vAlign w:val="bottom"/>
            <w:tcBorders>
              <w:bottom w:val="single" w:sz="8" w:color="929292"/>
            </w:tcBorders>
          </w:tcPr>
          <w:p>
            <w:pPr>
              <w:jc w:val="right"/>
              <w:spacing w:after="0"/>
              <w:rPr>
                <w:sz w:val="20"/>
                <w:szCs w:val="20"/>
                <w:color w:val="auto"/>
              </w:rPr>
            </w:pPr>
            <w:r>
              <w:rPr>
                <w:rFonts w:ascii="Arial" w:cs="Arial" w:eastAsia="Arial" w:hAnsi="Arial"/>
                <w:sz w:val="16"/>
                <w:szCs w:val="16"/>
                <w:color w:val="auto"/>
              </w:rPr>
              <w:t>$</w:t>
            </w:r>
          </w:p>
        </w:tc>
        <w:tc>
          <w:tcPr>
            <w:tcW w:w="1480" w:type="dxa"/>
            <w:vAlign w:val="bottom"/>
            <w:tcBorders>
              <w:bottom w:val="single" w:sz="8" w:color="929292"/>
            </w:tcBorders>
          </w:tcPr>
          <w:p>
            <w:pPr>
              <w:jc w:val="center"/>
              <w:ind w:left="982"/>
              <w:spacing w:after="0"/>
              <w:rPr>
                <w:sz w:val="20"/>
                <w:szCs w:val="20"/>
                <w:color w:val="auto"/>
              </w:rPr>
            </w:pPr>
            <w:r>
              <w:rPr>
                <w:rFonts w:ascii="Arial" w:cs="Arial" w:eastAsia="Arial" w:hAnsi="Arial"/>
                <w:sz w:val="16"/>
                <w:szCs w:val="16"/>
                <w:color w:val="auto"/>
              </w:rPr>
              <w:t>(20)</w:t>
            </w:r>
          </w:p>
        </w:tc>
        <w:tc>
          <w:tcPr>
            <w:tcW w:w="360" w:type="dxa"/>
            <w:vAlign w:val="bottom"/>
            <w:tcBorders>
              <w:bottom w:val="single" w:sz="8" w:color="929292"/>
            </w:tcBorders>
          </w:tcPr>
          <w:p>
            <w:pPr>
              <w:jc w:val="right"/>
              <w:ind w:right="99"/>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929292"/>
            </w:tcBorders>
          </w:tcPr>
          <w:p>
            <w:pPr>
              <w:jc w:val="right"/>
              <w:ind w:right="2"/>
              <w:spacing w:after="0"/>
              <w:rPr>
                <w:sz w:val="20"/>
                <w:szCs w:val="20"/>
                <w:color w:val="auto"/>
              </w:rPr>
            </w:pPr>
            <w:r>
              <w:rPr>
                <w:rFonts w:ascii="Arial" w:cs="Arial" w:eastAsia="Arial" w:hAnsi="Arial"/>
                <w:sz w:val="16"/>
                <w:szCs w:val="16"/>
                <w:color w:val="auto"/>
              </w:rPr>
              <w:t>424</w:t>
            </w:r>
          </w:p>
        </w:tc>
      </w:tr>
      <w:tr>
        <w:trPr>
          <w:trHeight w:val="216"/>
        </w:trPr>
        <w:tc>
          <w:tcPr>
            <w:tcW w:w="6360" w:type="dxa"/>
            <w:vAlign w:val="bottom"/>
            <w:shd w:val="clear" w:color="auto" w:fill="D4F1F5"/>
          </w:tcPr>
          <w:p>
            <w:pPr>
              <w:ind w:left="20"/>
              <w:spacing w:after="0"/>
              <w:rPr>
                <w:sz w:val="20"/>
                <w:szCs w:val="20"/>
                <w:color w:val="auto"/>
              </w:rPr>
            </w:pPr>
            <w:r>
              <w:rPr>
                <w:rFonts w:ascii="Arial" w:cs="Arial" w:eastAsia="Arial" w:hAnsi="Arial"/>
                <w:sz w:val="16"/>
                <w:szCs w:val="16"/>
                <w:b w:val="1"/>
                <w:bCs w:val="1"/>
                <w:color w:val="auto"/>
              </w:rPr>
              <w:t>2025:</w:t>
            </w:r>
          </w:p>
        </w:tc>
        <w:tc>
          <w:tcPr>
            <w:tcW w:w="1100" w:type="dxa"/>
            <w:vAlign w:val="bottom"/>
            <w:shd w:val="clear" w:color="auto" w:fill="D4F1F5"/>
          </w:tcPr>
          <w:p>
            <w:pPr>
              <w:spacing w:after="0"/>
              <w:rPr>
                <w:sz w:val="18"/>
                <w:szCs w:val="18"/>
                <w:color w:val="auto"/>
              </w:rPr>
            </w:pPr>
          </w:p>
        </w:tc>
        <w:tc>
          <w:tcPr>
            <w:tcW w:w="480" w:type="dxa"/>
            <w:vAlign w:val="bottom"/>
            <w:shd w:val="clear" w:color="auto" w:fill="D4F1F5"/>
          </w:tcPr>
          <w:p>
            <w:pPr>
              <w:spacing w:after="0"/>
              <w:rPr>
                <w:sz w:val="18"/>
                <w:szCs w:val="18"/>
                <w:color w:val="auto"/>
              </w:rPr>
            </w:pPr>
          </w:p>
        </w:tc>
        <w:tc>
          <w:tcPr>
            <w:tcW w:w="200" w:type="dxa"/>
            <w:vAlign w:val="bottom"/>
            <w:shd w:val="clear" w:color="auto" w:fill="D4F1F5"/>
          </w:tcPr>
          <w:p>
            <w:pPr>
              <w:spacing w:after="0"/>
              <w:rPr>
                <w:sz w:val="18"/>
                <w:szCs w:val="18"/>
                <w:color w:val="auto"/>
              </w:rPr>
            </w:pPr>
          </w:p>
        </w:tc>
        <w:tc>
          <w:tcPr>
            <w:tcW w:w="1480" w:type="dxa"/>
            <w:vAlign w:val="bottom"/>
            <w:shd w:val="clear" w:color="auto" w:fill="D4F1F5"/>
          </w:tcPr>
          <w:p>
            <w:pPr>
              <w:spacing w:after="0"/>
              <w:rPr>
                <w:sz w:val="18"/>
                <w:szCs w:val="18"/>
                <w:color w:val="auto"/>
              </w:rPr>
            </w:pPr>
          </w:p>
        </w:tc>
        <w:tc>
          <w:tcPr>
            <w:tcW w:w="360" w:type="dxa"/>
            <w:vAlign w:val="bottom"/>
            <w:shd w:val="clear" w:color="auto" w:fill="D4F1F5"/>
          </w:tcPr>
          <w:p>
            <w:pPr>
              <w:spacing w:after="0"/>
              <w:rPr>
                <w:sz w:val="18"/>
                <w:szCs w:val="18"/>
                <w:color w:val="auto"/>
              </w:rPr>
            </w:pPr>
          </w:p>
        </w:tc>
        <w:tc>
          <w:tcPr>
            <w:tcW w:w="1260" w:type="dxa"/>
            <w:vAlign w:val="bottom"/>
            <w:shd w:val="clear" w:color="auto" w:fill="D4F1F5"/>
          </w:tcPr>
          <w:p>
            <w:pPr>
              <w:spacing w:after="0"/>
              <w:rPr>
                <w:sz w:val="18"/>
                <w:szCs w:val="18"/>
                <w:color w:val="auto"/>
              </w:rPr>
            </w:pPr>
          </w:p>
        </w:tc>
      </w:tr>
      <w:tr>
        <w:trPr>
          <w:trHeight w:val="215"/>
        </w:trPr>
        <w:tc>
          <w:tcPr>
            <w:tcW w:w="6360" w:type="dxa"/>
            <w:vAlign w:val="bottom"/>
            <w:tcBorders>
              <w:bottom w:val="single" w:sz="8" w:color="D4F1F5"/>
            </w:tcBorders>
          </w:tcPr>
          <w:p>
            <w:pPr>
              <w:ind w:left="20"/>
              <w:spacing w:after="0"/>
              <w:rPr>
                <w:sz w:val="20"/>
                <w:szCs w:val="20"/>
                <w:color w:val="auto"/>
              </w:rPr>
            </w:pPr>
            <w:r>
              <w:rPr>
                <w:rFonts w:ascii="Arial" w:cs="Arial" w:eastAsia="Arial" w:hAnsi="Arial"/>
                <w:sz w:val="16"/>
                <w:szCs w:val="16"/>
                <w:color w:val="auto"/>
              </w:rPr>
              <w:t>Net income</w:t>
            </w:r>
          </w:p>
        </w:tc>
        <w:tc>
          <w:tcPr>
            <w:tcW w:w="1100" w:type="dxa"/>
            <w:vAlign w:val="bottom"/>
            <w:tcBorders>
              <w:bottom w:val="single" w:sz="8" w:color="auto"/>
            </w:tcBorders>
          </w:tcPr>
          <w:p>
            <w:pPr>
              <w:jc w:val="right"/>
              <w:ind w:right="924"/>
              <w:spacing w:after="0"/>
              <w:rPr>
                <w:sz w:val="20"/>
                <w:szCs w:val="20"/>
                <w:color w:val="auto"/>
              </w:rPr>
            </w:pPr>
            <w:r>
              <w:rPr>
                <w:rFonts w:ascii="Arial" w:cs="Arial" w:eastAsia="Arial" w:hAnsi="Arial"/>
                <w:sz w:val="16"/>
                <w:szCs w:val="16"/>
                <w:color w:val="auto"/>
                <w:w w:val="89"/>
              </w:rPr>
              <w:t>$</w:t>
            </w:r>
          </w:p>
        </w:tc>
        <w:tc>
          <w:tcPr>
            <w:tcW w:w="4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481</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480" w:type="dxa"/>
            <w:vAlign w:val="bottom"/>
            <w:tcBorders>
              <w:bottom w:val="single" w:sz="8" w:color="auto"/>
            </w:tcBorders>
          </w:tcPr>
          <w:p>
            <w:pPr>
              <w:jc w:val="center"/>
              <w:ind w:left="982"/>
              <w:spacing w:after="0"/>
              <w:rPr>
                <w:sz w:val="20"/>
                <w:szCs w:val="20"/>
                <w:color w:val="auto"/>
              </w:rPr>
            </w:pPr>
            <w:r>
              <w:rPr>
                <w:rFonts w:ascii="Arial" w:cs="Arial" w:eastAsia="Arial" w:hAnsi="Arial"/>
                <w:sz w:val="16"/>
                <w:szCs w:val="16"/>
                <w:color w:val="auto"/>
              </w:rPr>
              <w:t>(38)</w:t>
            </w:r>
          </w:p>
        </w:tc>
        <w:tc>
          <w:tcPr>
            <w:tcW w:w="36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443</w:t>
            </w:r>
          </w:p>
        </w:tc>
      </w:tr>
      <w:tr>
        <w:trPr>
          <w:trHeight w:val="197"/>
        </w:trPr>
        <w:tc>
          <w:tcPr>
            <w:tcW w:w="6360" w:type="dxa"/>
            <w:vAlign w:val="bottom"/>
            <w:shd w:val="clear" w:color="auto" w:fill="D4F1F5"/>
          </w:tcPr>
          <w:p>
            <w:pPr>
              <w:ind w:left="20"/>
              <w:spacing w:after="0"/>
              <w:rPr>
                <w:sz w:val="20"/>
                <w:szCs w:val="20"/>
                <w:color w:val="auto"/>
              </w:rPr>
            </w:pPr>
            <w:r>
              <w:rPr>
                <w:rFonts w:ascii="Arial" w:cs="Arial" w:eastAsia="Arial" w:hAnsi="Arial"/>
                <w:sz w:val="16"/>
                <w:szCs w:val="16"/>
                <w:color w:val="auto"/>
              </w:rPr>
              <w:t>Other comprehensive income (loss):</w:t>
            </w:r>
          </w:p>
        </w:tc>
        <w:tc>
          <w:tcPr>
            <w:tcW w:w="1100" w:type="dxa"/>
            <w:vAlign w:val="bottom"/>
            <w:shd w:val="clear" w:color="auto" w:fill="D4F1F5"/>
          </w:tcPr>
          <w:p>
            <w:pPr>
              <w:spacing w:after="0"/>
              <w:rPr>
                <w:sz w:val="17"/>
                <w:szCs w:val="17"/>
                <w:color w:val="auto"/>
              </w:rPr>
            </w:pPr>
          </w:p>
        </w:tc>
        <w:tc>
          <w:tcPr>
            <w:tcW w:w="480" w:type="dxa"/>
            <w:vAlign w:val="bottom"/>
            <w:shd w:val="clear" w:color="auto" w:fill="D4F1F5"/>
          </w:tcPr>
          <w:p>
            <w:pPr>
              <w:spacing w:after="0"/>
              <w:rPr>
                <w:sz w:val="17"/>
                <w:szCs w:val="17"/>
                <w:color w:val="auto"/>
              </w:rPr>
            </w:pPr>
          </w:p>
        </w:tc>
        <w:tc>
          <w:tcPr>
            <w:tcW w:w="200" w:type="dxa"/>
            <w:vAlign w:val="bottom"/>
            <w:shd w:val="clear" w:color="auto" w:fill="D4F1F5"/>
          </w:tcPr>
          <w:p>
            <w:pPr>
              <w:spacing w:after="0"/>
              <w:rPr>
                <w:sz w:val="17"/>
                <w:szCs w:val="17"/>
                <w:color w:val="auto"/>
              </w:rPr>
            </w:pPr>
          </w:p>
        </w:tc>
        <w:tc>
          <w:tcPr>
            <w:tcW w:w="1480" w:type="dxa"/>
            <w:vAlign w:val="bottom"/>
            <w:shd w:val="clear" w:color="auto" w:fill="D4F1F5"/>
          </w:tcPr>
          <w:p>
            <w:pPr>
              <w:spacing w:after="0"/>
              <w:rPr>
                <w:sz w:val="17"/>
                <w:szCs w:val="17"/>
                <w:color w:val="auto"/>
              </w:rPr>
            </w:pPr>
          </w:p>
        </w:tc>
        <w:tc>
          <w:tcPr>
            <w:tcW w:w="360" w:type="dxa"/>
            <w:vAlign w:val="bottom"/>
            <w:shd w:val="clear" w:color="auto" w:fill="D4F1F5"/>
          </w:tcPr>
          <w:p>
            <w:pPr>
              <w:spacing w:after="0"/>
              <w:rPr>
                <w:sz w:val="17"/>
                <w:szCs w:val="17"/>
                <w:color w:val="auto"/>
              </w:rPr>
            </w:pPr>
          </w:p>
        </w:tc>
        <w:tc>
          <w:tcPr>
            <w:tcW w:w="1260" w:type="dxa"/>
            <w:vAlign w:val="bottom"/>
            <w:shd w:val="clear" w:color="auto" w:fill="D4F1F5"/>
          </w:tcPr>
          <w:p>
            <w:pPr>
              <w:spacing w:after="0"/>
              <w:rPr>
                <w:sz w:val="17"/>
                <w:szCs w:val="17"/>
                <w:color w:val="auto"/>
              </w:rPr>
            </w:pPr>
          </w:p>
        </w:tc>
      </w:tr>
      <w:tr>
        <w:trPr>
          <w:trHeight w:val="215"/>
        </w:trPr>
        <w:tc>
          <w:tcPr>
            <w:tcW w:w="6360" w:type="dxa"/>
            <w:vAlign w:val="bottom"/>
            <w:tcBorders>
              <w:bottom w:val="single" w:sz="8" w:color="D4F1F5"/>
            </w:tcBorders>
          </w:tcPr>
          <w:p>
            <w:pPr>
              <w:ind w:left="240"/>
              <w:spacing w:after="0"/>
              <w:rPr>
                <w:sz w:val="20"/>
                <w:szCs w:val="20"/>
                <w:color w:val="auto"/>
              </w:rPr>
            </w:pPr>
            <w:r>
              <w:rPr>
                <w:rFonts w:ascii="Arial" w:cs="Arial" w:eastAsia="Arial" w:hAnsi="Arial"/>
                <w:sz w:val="16"/>
                <w:szCs w:val="16"/>
                <w:color w:val="auto"/>
              </w:rPr>
              <w:t>Pension and other postretirement benefits</w:t>
            </w:r>
          </w:p>
        </w:tc>
        <w:tc>
          <w:tcPr>
            <w:tcW w:w="110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w:t>
            </w:r>
          </w:p>
        </w:tc>
        <w:tc>
          <w:tcPr>
            <w:tcW w:w="20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center"/>
              <w:ind w:left="1002"/>
              <w:spacing w:after="0"/>
              <w:rPr>
                <w:sz w:val="20"/>
                <w:szCs w:val="20"/>
                <w:color w:val="auto"/>
              </w:rPr>
            </w:pPr>
            <w:r>
              <w:rPr>
                <w:rFonts w:ascii="Arial" w:cs="Arial" w:eastAsia="Arial" w:hAnsi="Arial"/>
                <w:sz w:val="16"/>
                <w:szCs w:val="16"/>
                <w:color w:val="auto"/>
                <w:w w:val="99"/>
              </w:rPr>
              <w:t>—</w:t>
            </w:r>
          </w:p>
        </w:tc>
        <w:tc>
          <w:tcPr>
            <w:tcW w:w="3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2</w:t>
            </w:r>
          </w:p>
        </w:tc>
      </w:tr>
      <w:tr>
        <w:trPr>
          <w:trHeight w:val="210"/>
        </w:trPr>
        <w:tc>
          <w:tcPr>
            <w:tcW w:w="6360" w:type="dxa"/>
            <w:vAlign w:val="bottom"/>
            <w:shd w:val="clear" w:color="auto" w:fill="D4F1F5"/>
          </w:tcPr>
          <w:p>
            <w:pPr>
              <w:ind w:left="240"/>
              <w:spacing w:after="0"/>
              <w:rPr>
                <w:sz w:val="20"/>
                <w:szCs w:val="20"/>
                <w:color w:val="auto"/>
              </w:rPr>
            </w:pPr>
            <w:r>
              <w:rPr>
                <w:rFonts w:ascii="Arial" w:cs="Arial" w:eastAsia="Arial" w:hAnsi="Arial"/>
                <w:sz w:val="16"/>
                <w:szCs w:val="16"/>
                <w:color w:val="auto"/>
              </w:rPr>
              <w:t>Total other comprehensive income</w:t>
            </w:r>
          </w:p>
        </w:tc>
        <w:tc>
          <w:tcPr>
            <w:tcW w:w="1100" w:type="dxa"/>
            <w:vAlign w:val="bottom"/>
            <w:tcBorders>
              <w:bottom w:val="single" w:sz="8" w:color="auto"/>
            </w:tcBorders>
            <w:shd w:val="clear" w:color="auto" w:fill="D4F1F5"/>
          </w:tcPr>
          <w:p>
            <w:pPr>
              <w:spacing w:after="0"/>
              <w:rPr>
                <w:sz w:val="18"/>
                <w:szCs w:val="18"/>
                <w:color w:val="auto"/>
              </w:rPr>
            </w:pPr>
          </w:p>
        </w:tc>
        <w:tc>
          <w:tcPr>
            <w:tcW w:w="480" w:type="dxa"/>
            <w:vAlign w:val="bottom"/>
            <w:tcBorders>
              <w:bottom w:val="single" w:sz="8" w:color="auto"/>
            </w:tcBorders>
            <w:shd w:val="clear" w:color="auto" w:fill="D4F1F5"/>
          </w:tcPr>
          <w:p>
            <w:pPr>
              <w:jc w:val="right"/>
              <w:ind w:right="19"/>
              <w:spacing w:after="0"/>
              <w:rPr>
                <w:sz w:val="20"/>
                <w:szCs w:val="20"/>
                <w:color w:val="auto"/>
              </w:rPr>
            </w:pPr>
            <w:r>
              <w:rPr>
                <w:rFonts w:ascii="Arial" w:cs="Arial" w:eastAsia="Arial" w:hAnsi="Arial"/>
                <w:sz w:val="16"/>
                <w:szCs w:val="16"/>
                <w:color w:val="auto"/>
              </w:rPr>
              <w:t>2</w:t>
            </w:r>
          </w:p>
        </w:tc>
        <w:tc>
          <w:tcPr>
            <w:tcW w:w="200" w:type="dxa"/>
            <w:vAlign w:val="bottom"/>
            <w:tcBorders>
              <w:bottom w:val="single" w:sz="8" w:color="auto"/>
            </w:tcBorders>
            <w:shd w:val="clear" w:color="auto" w:fill="D4F1F5"/>
          </w:tcPr>
          <w:p>
            <w:pPr>
              <w:spacing w:after="0"/>
              <w:rPr>
                <w:sz w:val="18"/>
                <w:szCs w:val="18"/>
                <w:color w:val="auto"/>
              </w:rPr>
            </w:pPr>
          </w:p>
        </w:tc>
        <w:tc>
          <w:tcPr>
            <w:tcW w:w="1480" w:type="dxa"/>
            <w:vAlign w:val="bottom"/>
            <w:tcBorders>
              <w:bottom w:val="single" w:sz="8" w:color="auto"/>
            </w:tcBorders>
            <w:shd w:val="clear" w:color="auto" w:fill="D4F1F5"/>
          </w:tcPr>
          <w:p>
            <w:pPr>
              <w:jc w:val="center"/>
              <w:ind w:left="1002"/>
              <w:spacing w:after="0"/>
              <w:rPr>
                <w:sz w:val="20"/>
                <w:szCs w:val="20"/>
                <w:color w:val="auto"/>
              </w:rPr>
            </w:pPr>
            <w:r>
              <w:rPr>
                <w:rFonts w:ascii="Arial" w:cs="Arial" w:eastAsia="Arial" w:hAnsi="Arial"/>
                <w:sz w:val="16"/>
                <w:szCs w:val="16"/>
                <w:color w:val="auto"/>
                <w:w w:val="99"/>
              </w:rPr>
              <w:t>—</w:t>
            </w:r>
          </w:p>
        </w:tc>
        <w:tc>
          <w:tcPr>
            <w:tcW w:w="360" w:type="dxa"/>
            <w:vAlign w:val="bottom"/>
            <w:tcBorders>
              <w:bottom w:val="single" w:sz="8" w:color="auto"/>
            </w:tcBorders>
            <w:shd w:val="clear" w:color="auto" w:fill="D4F1F5"/>
          </w:tcPr>
          <w:p>
            <w:pPr>
              <w:spacing w:after="0"/>
              <w:rPr>
                <w:sz w:val="18"/>
                <w:szCs w:val="18"/>
                <w:color w:val="auto"/>
              </w:rPr>
            </w:pPr>
          </w:p>
        </w:tc>
        <w:tc>
          <w:tcPr>
            <w:tcW w:w="1260" w:type="dxa"/>
            <w:vAlign w:val="bottom"/>
            <w:tcBorders>
              <w:bottom w:val="single" w:sz="8" w:color="auto"/>
            </w:tcBorders>
            <w:shd w:val="clear" w:color="auto" w:fill="D4F1F5"/>
          </w:tcPr>
          <w:p>
            <w:pPr>
              <w:jc w:val="right"/>
              <w:ind w:right="2"/>
              <w:spacing w:after="0"/>
              <w:rPr>
                <w:sz w:val="20"/>
                <w:szCs w:val="20"/>
                <w:color w:val="auto"/>
              </w:rPr>
            </w:pPr>
            <w:r>
              <w:rPr>
                <w:rFonts w:ascii="Arial" w:cs="Arial" w:eastAsia="Arial" w:hAnsi="Arial"/>
                <w:sz w:val="16"/>
                <w:szCs w:val="16"/>
                <w:color w:val="auto"/>
              </w:rPr>
              <w:t>2</w:t>
            </w:r>
          </w:p>
        </w:tc>
      </w:tr>
      <w:tr>
        <w:trPr>
          <w:trHeight w:val="217"/>
        </w:trPr>
        <w:tc>
          <w:tcPr>
            <w:tcW w:w="63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Comprehensive income</w:t>
            </w:r>
          </w:p>
        </w:tc>
        <w:tc>
          <w:tcPr>
            <w:tcW w:w="1100" w:type="dxa"/>
            <w:vAlign w:val="bottom"/>
            <w:tcBorders>
              <w:bottom w:val="single" w:sz="8" w:color="auto"/>
            </w:tcBorders>
          </w:tcPr>
          <w:p>
            <w:pPr>
              <w:jc w:val="right"/>
              <w:ind w:right="924"/>
              <w:spacing w:after="0"/>
              <w:rPr>
                <w:sz w:val="20"/>
                <w:szCs w:val="20"/>
                <w:color w:val="auto"/>
              </w:rPr>
            </w:pPr>
            <w:r>
              <w:rPr>
                <w:rFonts w:ascii="Arial" w:cs="Arial" w:eastAsia="Arial" w:hAnsi="Arial"/>
                <w:sz w:val="16"/>
                <w:szCs w:val="16"/>
                <w:color w:val="auto"/>
                <w:w w:val="89"/>
              </w:rPr>
              <w:t>$</w:t>
            </w:r>
          </w:p>
        </w:tc>
        <w:tc>
          <w:tcPr>
            <w:tcW w:w="4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483</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480" w:type="dxa"/>
            <w:vAlign w:val="bottom"/>
            <w:tcBorders>
              <w:bottom w:val="single" w:sz="8" w:color="auto"/>
            </w:tcBorders>
          </w:tcPr>
          <w:p>
            <w:pPr>
              <w:jc w:val="center"/>
              <w:ind w:left="982"/>
              <w:spacing w:after="0"/>
              <w:rPr>
                <w:sz w:val="20"/>
                <w:szCs w:val="20"/>
                <w:color w:val="auto"/>
              </w:rPr>
            </w:pPr>
            <w:r>
              <w:rPr>
                <w:rFonts w:ascii="Arial" w:cs="Arial" w:eastAsia="Arial" w:hAnsi="Arial"/>
                <w:sz w:val="16"/>
                <w:szCs w:val="16"/>
                <w:color w:val="auto"/>
              </w:rPr>
              <w:t>(38)</w:t>
            </w:r>
          </w:p>
        </w:tc>
        <w:tc>
          <w:tcPr>
            <w:tcW w:w="36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445</w:t>
            </w:r>
          </w:p>
        </w:tc>
      </w:tr>
    </w:tbl>
    <w:p>
      <w:pPr>
        <w:spacing w:after="0" w:line="141"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See Notes to Condensed Financial Statements.</w:t>
      </w: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514350</wp:posOffset>
            </wp:positionV>
            <wp:extent cx="7132320" cy="45402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4540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FFFFFF"/>
        </w:rPr>
        <w:t>SOUTHERN CALIFORNIA GAS COMPANY</w:t>
      </w:r>
    </w:p>
    <w:p>
      <w:pPr>
        <w:spacing w:after="0" w:line="59"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FFFFFF"/>
        </w:rPr>
        <w:t>CONDENSED BALANCE SHEETS</w:t>
      </w:r>
    </w:p>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8300" w:type="dxa"/>
            <w:vAlign w:val="bottom"/>
          </w:tcPr>
          <w:p>
            <w:pPr>
              <w:ind w:left="20"/>
              <w:spacing w:after="0"/>
              <w:rPr>
                <w:sz w:val="20"/>
                <w:szCs w:val="20"/>
                <w:color w:val="auto"/>
              </w:rPr>
            </w:pPr>
            <w:r>
              <w:rPr>
                <w:rFonts w:ascii="Arial" w:cs="Arial" w:eastAsia="Arial" w:hAnsi="Arial"/>
                <w:sz w:val="14"/>
                <w:szCs w:val="14"/>
                <w:i w:val="1"/>
                <w:iCs w:val="1"/>
                <w:color w:val="FFFFFF"/>
              </w:rPr>
              <w:t>(Dollars in millions)</w:t>
            </w:r>
          </w:p>
        </w:tc>
        <w:tc>
          <w:tcPr>
            <w:tcW w:w="2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40" w:type="dxa"/>
            <w:vAlign w:val="bottom"/>
          </w:tcPr>
          <w:p>
            <w:pPr>
              <w:spacing w:after="0"/>
              <w:rPr>
                <w:sz w:val="16"/>
                <w:szCs w:val="16"/>
                <w:color w:val="auto"/>
              </w:rPr>
            </w:pPr>
          </w:p>
        </w:tc>
      </w:tr>
      <w:tr>
        <w:trPr>
          <w:trHeight w:val="229"/>
        </w:trPr>
        <w:tc>
          <w:tcPr>
            <w:tcW w:w="8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jc w:val="center"/>
              <w:ind w:right="200"/>
              <w:spacing w:after="0"/>
              <w:rPr>
                <w:sz w:val="20"/>
                <w:szCs w:val="20"/>
                <w:color w:val="auto"/>
              </w:rPr>
            </w:pPr>
            <w:r>
              <w:rPr>
                <w:rFonts w:ascii="Arial" w:cs="Arial" w:eastAsia="Arial" w:hAnsi="Arial"/>
                <w:sz w:val="14"/>
                <w:szCs w:val="14"/>
                <w:color w:val="auto"/>
              </w:rPr>
              <w:t>March 31,</w:t>
            </w:r>
          </w:p>
        </w:tc>
        <w:tc>
          <w:tcPr>
            <w:tcW w:w="240" w:type="dxa"/>
            <w:vAlign w:val="bottom"/>
          </w:tcPr>
          <w:p>
            <w:pPr>
              <w:spacing w:after="0"/>
              <w:rPr>
                <w:sz w:val="19"/>
                <w:szCs w:val="19"/>
                <w:color w:val="auto"/>
              </w:rPr>
            </w:pPr>
          </w:p>
        </w:tc>
        <w:tc>
          <w:tcPr>
            <w:tcW w:w="1240" w:type="dxa"/>
            <w:vAlign w:val="bottom"/>
          </w:tcPr>
          <w:p>
            <w:pPr>
              <w:jc w:val="right"/>
              <w:ind w:right="180"/>
              <w:spacing w:after="0"/>
              <w:rPr>
                <w:sz w:val="20"/>
                <w:szCs w:val="20"/>
                <w:color w:val="auto"/>
              </w:rPr>
            </w:pPr>
            <w:r>
              <w:rPr>
                <w:rFonts w:ascii="Arial" w:cs="Arial" w:eastAsia="Arial" w:hAnsi="Arial"/>
                <w:sz w:val="14"/>
                <w:szCs w:val="14"/>
                <w:color w:val="auto"/>
              </w:rPr>
              <w:t>December 31,</w:t>
            </w:r>
          </w:p>
        </w:tc>
      </w:tr>
      <w:tr>
        <w:trPr>
          <w:trHeight w:val="224"/>
        </w:trPr>
        <w:tc>
          <w:tcPr>
            <w:tcW w:w="83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center"/>
              <w:ind w:right="200"/>
              <w:spacing w:after="0"/>
              <w:rPr>
                <w:sz w:val="20"/>
                <w:szCs w:val="20"/>
                <w:color w:val="auto"/>
              </w:rPr>
            </w:pPr>
            <w:r>
              <w:rPr>
                <w:rFonts w:ascii="Arial" w:cs="Arial" w:eastAsia="Arial" w:hAnsi="Arial"/>
                <w:sz w:val="14"/>
                <w:szCs w:val="14"/>
                <w:color w:val="auto"/>
              </w:rPr>
              <w:t>2026</w:t>
            </w:r>
          </w:p>
        </w:tc>
        <w:tc>
          <w:tcPr>
            <w:tcW w:w="2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420"/>
              <w:spacing w:after="0"/>
              <w:rPr>
                <w:sz w:val="20"/>
                <w:szCs w:val="20"/>
                <w:color w:val="auto"/>
              </w:rPr>
            </w:pPr>
            <w:r>
              <w:rPr>
                <w:rFonts w:ascii="Arial" w:cs="Arial" w:eastAsia="Arial" w:hAnsi="Arial"/>
                <w:sz w:val="14"/>
                <w:szCs w:val="14"/>
                <w:color w:val="auto"/>
              </w:rPr>
              <w:t>2025</w:t>
            </w:r>
            <w:r>
              <w:rPr>
                <w:rFonts w:ascii="Arial" w:cs="Arial" w:eastAsia="Arial" w:hAnsi="Arial"/>
                <w:sz w:val="18"/>
                <w:szCs w:val="18"/>
                <w:color w:val="auto"/>
                <w:vertAlign w:val="superscript"/>
              </w:rPr>
              <w:t>(1)</w:t>
            </w:r>
          </w:p>
        </w:tc>
      </w:tr>
      <w:tr>
        <w:trPr>
          <w:trHeight w:val="210"/>
        </w:trPr>
        <w:tc>
          <w:tcPr>
            <w:tcW w:w="8300" w:type="dxa"/>
            <w:vAlign w:val="bottom"/>
            <w:shd w:val="clear" w:color="auto" w:fill="D4F1F5"/>
          </w:tcPr>
          <w:p>
            <w:pPr>
              <w:spacing w:after="0"/>
              <w:rPr>
                <w:sz w:val="18"/>
                <w:szCs w:val="18"/>
                <w:color w:val="auto"/>
              </w:rPr>
            </w:pPr>
          </w:p>
        </w:tc>
        <w:tc>
          <w:tcPr>
            <w:tcW w:w="220" w:type="dxa"/>
            <w:vAlign w:val="bottom"/>
            <w:shd w:val="clear" w:color="auto" w:fill="D4F1F5"/>
          </w:tcPr>
          <w:p>
            <w:pPr>
              <w:spacing w:after="0"/>
              <w:rPr>
                <w:sz w:val="18"/>
                <w:szCs w:val="18"/>
                <w:color w:val="auto"/>
              </w:rPr>
            </w:pPr>
          </w:p>
        </w:tc>
        <w:tc>
          <w:tcPr>
            <w:tcW w:w="1240" w:type="dxa"/>
            <w:vAlign w:val="bottom"/>
            <w:shd w:val="clear" w:color="auto" w:fill="D4F1F5"/>
          </w:tcPr>
          <w:p>
            <w:pPr>
              <w:jc w:val="center"/>
              <w:ind w:right="200"/>
              <w:spacing w:after="0"/>
              <w:rPr>
                <w:sz w:val="20"/>
                <w:szCs w:val="20"/>
                <w:color w:val="auto"/>
              </w:rPr>
            </w:pPr>
            <w:r>
              <w:rPr>
                <w:rFonts w:ascii="Arial" w:cs="Arial" w:eastAsia="Arial" w:hAnsi="Arial"/>
                <w:sz w:val="14"/>
                <w:szCs w:val="14"/>
                <w:color w:val="auto"/>
              </w:rPr>
              <w:t>(unaudited)</w:t>
            </w:r>
          </w:p>
        </w:tc>
        <w:tc>
          <w:tcPr>
            <w:tcW w:w="240" w:type="dxa"/>
            <w:vAlign w:val="bottom"/>
            <w:shd w:val="clear" w:color="auto" w:fill="D4F1F5"/>
          </w:tcPr>
          <w:p>
            <w:pPr>
              <w:spacing w:after="0"/>
              <w:rPr>
                <w:sz w:val="18"/>
                <w:szCs w:val="18"/>
                <w:color w:val="auto"/>
              </w:rPr>
            </w:pPr>
          </w:p>
        </w:tc>
        <w:tc>
          <w:tcPr>
            <w:tcW w:w="1240" w:type="dxa"/>
            <w:vAlign w:val="bottom"/>
            <w:shd w:val="clear" w:color="auto" w:fill="D4F1F5"/>
          </w:tcPr>
          <w:p>
            <w:pPr>
              <w:spacing w:after="0"/>
              <w:rPr>
                <w:sz w:val="18"/>
                <w:szCs w:val="18"/>
                <w:color w:val="auto"/>
              </w:rPr>
            </w:pPr>
          </w:p>
        </w:tc>
      </w:tr>
      <w:tr>
        <w:trPr>
          <w:trHeight w:val="215"/>
        </w:trPr>
        <w:tc>
          <w:tcPr>
            <w:tcW w:w="8300" w:type="dxa"/>
            <w:vAlign w:val="bottom"/>
          </w:tcPr>
          <w:p>
            <w:pPr>
              <w:ind w:left="20"/>
              <w:spacing w:after="0"/>
              <w:rPr>
                <w:sz w:val="20"/>
                <w:szCs w:val="20"/>
                <w:color w:val="auto"/>
              </w:rPr>
            </w:pPr>
            <w:r>
              <w:rPr>
                <w:rFonts w:ascii="Arial" w:cs="Arial" w:eastAsia="Arial" w:hAnsi="Arial"/>
                <w:sz w:val="16"/>
                <w:szCs w:val="16"/>
                <w:color w:val="auto"/>
              </w:rPr>
              <w:t>ASSETS</w:t>
            </w: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17"/>
        </w:trPr>
        <w:tc>
          <w:tcPr>
            <w:tcW w:w="8300" w:type="dxa"/>
            <w:vAlign w:val="bottom"/>
            <w:shd w:val="clear" w:color="auto" w:fill="D4F1F5"/>
          </w:tcPr>
          <w:p>
            <w:pPr>
              <w:ind w:left="20"/>
              <w:spacing w:after="0"/>
              <w:rPr>
                <w:sz w:val="20"/>
                <w:szCs w:val="20"/>
                <w:color w:val="auto"/>
              </w:rPr>
            </w:pPr>
            <w:r>
              <w:rPr>
                <w:rFonts w:ascii="Arial" w:cs="Arial" w:eastAsia="Arial" w:hAnsi="Arial"/>
                <w:sz w:val="16"/>
                <w:szCs w:val="16"/>
                <w:color w:val="auto"/>
              </w:rPr>
              <w:t>Current assets:</w:t>
            </w:r>
          </w:p>
        </w:tc>
        <w:tc>
          <w:tcPr>
            <w:tcW w:w="220" w:type="dxa"/>
            <w:vAlign w:val="bottom"/>
            <w:shd w:val="clear" w:color="auto" w:fill="D4F1F5"/>
          </w:tcPr>
          <w:p>
            <w:pPr>
              <w:spacing w:after="0"/>
              <w:rPr>
                <w:sz w:val="18"/>
                <w:szCs w:val="18"/>
                <w:color w:val="auto"/>
              </w:rPr>
            </w:pPr>
          </w:p>
        </w:tc>
        <w:tc>
          <w:tcPr>
            <w:tcW w:w="1240" w:type="dxa"/>
            <w:vAlign w:val="bottom"/>
            <w:shd w:val="clear" w:color="auto" w:fill="D4F1F5"/>
          </w:tcPr>
          <w:p>
            <w:pPr>
              <w:spacing w:after="0"/>
              <w:rPr>
                <w:sz w:val="18"/>
                <w:szCs w:val="18"/>
                <w:color w:val="auto"/>
              </w:rPr>
            </w:pPr>
          </w:p>
        </w:tc>
        <w:tc>
          <w:tcPr>
            <w:tcW w:w="240" w:type="dxa"/>
            <w:vAlign w:val="bottom"/>
            <w:shd w:val="clear" w:color="auto" w:fill="D4F1F5"/>
          </w:tcPr>
          <w:p>
            <w:pPr>
              <w:spacing w:after="0"/>
              <w:rPr>
                <w:sz w:val="18"/>
                <w:szCs w:val="18"/>
                <w:color w:val="auto"/>
              </w:rPr>
            </w:pPr>
          </w:p>
        </w:tc>
        <w:tc>
          <w:tcPr>
            <w:tcW w:w="1240" w:type="dxa"/>
            <w:vAlign w:val="bottom"/>
            <w:shd w:val="clear" w:color="auto" w:fill="D4F1F5"/>
          </w:tcPr>
          <w:p>
            <w:pPr>
              <w:spacing w:after="0"/>
              <w:rPr>
                <w:sz w:val="18"/>
                <w:szCs w:val="18"/>
                <w:color w:val="auto"/>
              </w:rPr>
            </w:pPr>
          </w:p>
        </w:tc>
      </w:tr>
      <w:tr>
        <w:trPr>
          <w:trHeight w:val="215"/>
        </w:trPr>
        <w:tc>
          <w:tcPr>
            <w:tcW w:w="8300" w:type="dxa"/>
            <w:vAlign w:val="bottom"/>
          </w:tcPr>
          <w:p>
            <w:pPr>
              <w:ind w:left="240"/>
              <w:spacing w:after="0"/>
              <w:rPr>
                <w:sz w:val="20"/>
                <w:szCs w:val="20"/>
                <w:color w:val="auto"/>
              </w:rPr>
            </w:pPr>
            <w:r>
              <w:rPr>
                <w:rFonts w:ascii="Arial" w:cs="Arial" w:eastAsia="Arial" w:hAnsi="Arial"/>
                <w:sz w:val="16"/>
                <w:szCs w:val="16"/>
                <w:color w:val="auto"/>
              </w:rPr>
              <w:t>Cash and cash equivalents</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240" w:type="dxa"/>
            <w:vAlign w:val="bottom"/>
          </w:tcPr>
          <w:p>
            <w:pPr>
              <w:jc w:val="right"/>
              <w:ind w:right="40"/>
              <w:spacing w:after="0"/>
              <w:rPr>
                <w:sz w:val="20"/>
                <w:szCs w:val="20"/>
                <w:color w:val="auto"/>
              </w:rPr>
            </w:pPr>
            <w:r>
              <w:rPr>
                <w:rFonts w:ascii="Arial" w:cs="Arial" w:eastAsia="Arial" w:hAnsi="Arial"/>
                <w:sz w:val="16"/>
                <w:szCs w:val="16"/>
                <w:color w:val="auto"/>
              </w:rPr>
              <w:t>1</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14</w:t>
            </w:r>
          </w:p>
        </w:tc>
      </w:tr>
      <w:tr>
        <w:trPr>
          <w:trHeight w:val="217"/>
        </w:trPr>
        <w:tc>
          <w:tcPr>
            <w:tcW w:w="8300" w:type="dxa"/>
            <w:vAlign w:val="bottom"/>
            <w:shd w:val="clear" w:color="auto" w:fill="D4F1F5"/>
          </w:tcPr>
          <w:p>
            <w:pPr>
              <w:ind w:left="240"/>
              <w:spacing w:after="0"/>
              <w:rPr>
                <w:sz w:val="20"/>
                <w:szCs w:val="20"/>
                <w:color w:val="auto"/>
              </w:rPr>
            </w:pPr>
            <w:r>
              <w:rPr>
                <w:rFonts w:ascii="Arial" w:cs="Arial" w:eastAsia="Arial" w:hAnsi="Arial"/>
                <w:sz w:val="16"/>
                <w:szCs w:val="16"/>
                <w:color w:val="auto"/>
              </w:rPr>
              <w:t>Accounts receivable – trade, net</w:t>
            </w:r>
          </w:p>
        </w:tc>
        <w:tc>
          <w:tcPr>
            <w:tcW w:w="220" w:type="dxa"/>
            <w:vAlign w:val="bottom"/>
            <w:shd w:val="clear" w:color="auto" w:fill="D4F1F5"/>
          </w:tcPr>
          <w:p>
            <w:pPr>
              <w:spacing w:after="0"/>
              <w:rPr>
                <w:sz w:val="18"/>
                <w:szCs w:val="18"/>
                <w:color w:val="auto"/>
              </w:rPr>
            </w:pPr>
          </w:p>
        </w:tc>
        <w:tc>
          <w:tcPr>
            <w:tcW w:w="1240" w:type="dxa"/>
            <w:vAlign w:val="bottom"/>
            <w:shd w:val="clear" w:color="auto" w:fill="D4F1F5"/>
          </w:tcPr>
          <w:p>
            <w:pPr>
              <w:jc w:val="right"/>
              <w:ind w:right="40"/>
              <w:spacing w:after="0"/>
              <w:rPr>
                <w:sz w:val="20"/>
                <w:szCs w:val="20"/>
                <w:color w:val="auto"/>
              </w:rPr>
            </w:pPr>
            <w:r>
              <w:rPr>
                <w:rFonts w:ascii="Arial" w:cs="Arial" w:eastAsia="Arial" w:hAnsi="Arial"/>
                <w:sz w:val="16"/>
                <w:szCs w:val="16"/>
                <w:color w:val="auto"/>
              </w:rPr>
              <w:t>706</w:t>
            </w:r>
          </w:p>
        </w:tc>
        <w:tc>
          <w:tcPr>
            <w:tcW w:w="240" w:type="dxa"/>
            <w:vAlign w:val="bottom"/>
            <w:shd w:val="clear" w:color="auto" w:fill="D4F1F5"/>
          </w:tcPr>
          <w:p>
            <w:pPr>
              <w:spacing w:after="0"/>
              <w:rPr>
                <w:sz w:val="18"/>
                <w:szCs w:val="18"/>
                <w:color w:val="auto"/>
              </w:rPr>
            </w:pPr>
          </w:p>
        </w:tc>
        <w:tc>
          <w:tcPr>
            <w:tcW w:w="1240" w:type="dxa"/>
            <w:vAlign w:val="bottom"/>
            <w:shd w:val="clear" w:color="auto" w:fill="D4F1F5"/>
          </w:tcPr>
          <w:p>
            <w:pPr>
              <w:jc w:val="right"/>
              <w:spacing w:after="0"/>
              <w:rPr>
                <w:sz w:val="20"/>
                <w:szCs w:val="20"/>
                <w:color w:val="auto"/>
              </w:rPr>
            </w:pPr>
            <w:r>
              <w:rPr>
                <w:rFonts w:ascii="Arial" w:cs="Arial" w:eastAsia="Arial" w:hAnsi="Arial"/>
                <w:sz w:val="16"/>
                <w:szCs w:val="16"/>
                <w:color w:val="auto"/>
              </w:rPr>
              <w:t>958</w:t>
            </w:r>
          </w:p>
        </w:tc>
      </w:tr>
      <w:tr>
        <w:trPr>
          <w:trHeight w:val="215"/>
        </w:trPr>
        <w:tc>
          <w:tcPr>
            <w:tcW w:w="8300" w:type="dxa"/>
            <w:vAlign w:val="bottom"/>
          </w:tcPr>
          <w:p>
            <w:pPr>
              <w:ind w:left="240"/>
              <w:spacing w:after="0"/>
              <w:rPr>
                <w:sz w:val="20"/>
                <w:szCs w:val="20"/>
                <w:color w:val="auto"/>
              </w:rPr>
            </w:pPr>
            <w:r>
              <w:rPr>
                <w:rFonts w:ascii="Arial" w:cs="Arial" w:eastAsia="Arial" w:hAnsi="Arial"/>
                <w:sz w:val="16"/>
                <w:szCs w:val="16"/>
                <w:color w:val="auto"/>
              </w:rPr>
              <w:t>Accounts receivable – other, net</w:t>
            </w:r>
          </w:p>
        </w:tc>
        <w:tc>
          <w:tcPr>
            <w:tcW w:w="220" w:type="dxa"/>
            <w:vAlign w:val="bottom"/>
          </w:tcPr>
          <w:p>
            <w:pPr>
              <w:spacing w:after="0"/>
              <w:rPr>
                <w:sz w:val="18"/>
                <w:szCs w:val="18"/>
                <w:color w:val="auto"/>
              </w:rPr>
            </w:pPr>
          </w:p>
        </w:tc>
        <w:tc>
          <w:tcPr>
            <w:tcW w:w="1240" w:type="dxa"/>
            <w:vAlign w:val="bottom"/>
          </w:tcPr>
          <w:p>
            <w:pPr>
              <w:jc w:val="right"/>
              <w:ind w:right="40"/>
              <w:spacing w:after="0"/>
              <w:rPr>
                <w:sz w:val="20"/>
                <w:szCs w:val="20"/>
                <w:color w:val="auto"/>
              </w:rPr>
            </w:pPr>
            <w:r>
              <w:rPr>
                <w:rFonts w:ascii="Arial" w:cs="Arial" w:eastAsia="Arial" w:hAnsi="Arial"/>
                <w:sz w:val="16"/>
                <w:szCs w:val="16"/>
                <w:color w:val="auto"/>
              </w:rPr>
              <w:t>88</w:t>
            </w:r>
          </w:p>
        </w:tc>
        <w:tc>
          <w:tcPr>
            <w:tcW w:w="2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61</w:t>
            </w:r>
          </w:p>
        </w:tc>
      </w:tr>
      <w:tr>
        <w:trPr>
          <w:trHeight w:val="217"/>
        </w:trPr>
        <w:tc>
          <w:tcPr>
            <w:tcW w:w="8300" w:type="dxa"/>
            <w:vAlign w:val="bottom"/>
            <w:shd w:val="clear" w:color="auto" w:fill="D4F1F5"/>
          </w:tcPr>
          <w:p>
            <w:pPr>
              <w:ind w:left="240"/>
              <w:spacing w:after="0"/>
              <w:rPr>
                <w:sz w:val="20"/>
                <w:szCs w:val="20"/>
                <w:color w:val="auto"/>
              </w:rPr>
            </w:pPr>
            <w:r>
              <w:rPr>
                <w:rFonts w:ascii="Arial" w:cs="Arial" w:eastAsia="Arial" w:hAnsi="Arial"/>
                <w:sz w:val="16"/>
                <w:szCs w:val="16"/>
                <w:color w:val="auto"/>
              </w:rPr>
              <w:t>Due from unconsolidated affiliates</w:t>
            </w:r>
          </w:p>
        </w:tc>
        <w:tc>
          <w:tcPr>
            <w:tcW w:w="220" w:type="dxa"/>
            <w:vAlign w:val="bottom"/>
            <w:shd w:val="clear" w:color="auto" w:fill="D4F1F5"/>
          </w:tcPr>
          <w:p>
            <w:pPr>
              <w:spacing w:after="0"/>
              <w:rPr>
                <w:sz w:val="18"/>
                <w:szCs w:val="18"/>
                <w:color w:val="auto"/>
              </w:rPr>
            </w:pPr>
          </w:p>
        </w:tc>
        <w:tc>
          <w:tcPr>
            <w:tcW w:w="1240" w:type="dxa"/>
            <w:vAlign w:val="bottom"/>
            <w:shd w:val="clear" w:color="auto" w:fill="D4F1F5"/>
          </w:tcPr>
          <w:p>
            <w:pPr>
              <w:jc w:val="right"/>
              <w:ind w:right="40"/>
              <w:spacing w:after="0"/>
              <w:rPr>
                <w:sz w:val="20"/>
                <w:szCs w:val="20"/>
                <w:color w:val="auto"/>
              </w:rPr>
            </w:pPr>
            <w:r>
              <w:rPr>
                <w:rFonts w:ascii="Arial" w:cs="Arial" w:eastAsia="Arial" w:hAnsi="Arial"/>
                <w:sz w:val="16"/>
                <w:szCs w:val="16"/>
                <w:color w:val="auto"/>
              </w:rPr>
              <w:t>10</w:t>
            </w:r>
          </w:p>
        </w:tc>
        <w:tc>
          <w:tcPr>
            <w:tcW w:w="240" w:type="dxa"/>
            <w:vAlign w:val="bottom"/>
            <w:shd w:val="clear" w:color="auto" w:fill="D4F1F5"/>
          </w:tcPr>
          <w:p>
            <w:pPr>
              <w:spacing w:after="0"/>
              <w:rPr>
                <w:sz w:val="18"/>
                <w:szCs w:val="18"/>
                <w:color w:val="auto"/>
              </w:rPr>
            </w:pPr>
          </w:p>
        </w:tc>
        <w:tc>
          <w:tcPr>
            <w:tcW w:w="1240" w:type="dxa"/>
            <w:vAlign w:val="bottom"/>
            <w:shd w:val="clear" w:color="auto" w:fill="D4F1F5"/>
          </w:tcPr>
          <w:p>
            <w:pPr>
              <w:jc w:val="right"/>
              <w:spacing w:after="0"/>
              <w:rPr>
                <w:sz w:val="20"/>
                <w:szCs w:val="20"/>
                <w:color w:val="auto"/>
              </w:rPr>
            </w:pPr>
            <w:r>
              <w:rPr>
                <w:rFonts w:ascii="Arial" w:cs="Arial" w:eastAsia="Arial" w:hAnsi="Arial"/>
                <w:sz w:val="16"/>
                <w:szCs w:val="16"/>
                <w:color w:val="auto"/>
              </w:rPr>
              <w:t>8</w:t>
            </w:r>
          </w:p>
        </w:tc>
      </w:tr>
      <w:tr>
        <w:trPr>
          <w:trHeight w:val="215"/>
        </w:trPr>
        <w:tc>
          <w:tcPr>
            <w:tcW w:w="8300" w:type="dxa"/>
            <w:vAlign w:val="bottom"/>
          </w:tcPr>
          <w:p>
            <w:pPr>
              <w:ind w:left="240"/>
              <w:spacing w:after="0"/>
              <w:rPr>
                <w:sz w:val="20"/>
                <w:szCs w:val="20"/>
                <w:color w:val="auto"/>
              </w:rPr>
            </w:pPr>
            <w:r>
              <w:rPr>
                <w:rFonts w:ascii="Arial" w:cs="Arial" w:eastAsia="Arial" w:hAnsi="Arial"/>
                <w:sz w:val="16"/>
                <w:szCs w:val="16"/>
                <w:color w:val="auto"/>
              </w:rPr>
              <w:t>Inventories</w:t>
            </w:r>
          </w:p>
        </w:tc>
        <w:tc>
          <w:tcPr>
            <w:tcW w:w="220" w:type="dxa"/>
            <w:vAlign w:val="bottom"/>
          </w:tcPr>
          <w:p>
            <w:pPr>
              <w:spacing w:after="0"/>
              <w:rPr>
                <w:sz w:val="18"/>
                <w:szCs w:val="18"/>
                <w:color w:val="auto"/>
              </w:rPr>
            </w:pPr>
          </w:p>
        </w:tc>
        <w:tc>
          <w:tcPr>
            <w:tcW w:w="1240" w:type="dxa"/>
            <w:vAlign w:val="bottom"/>
          </w:tcPr>
          <w:p>
            <w:pPr>
              <w:jc w:val="right"/>
              <w:ind w:right="40"/>
              <w:spacing w:after="0"/>
              <w:rPr>
                <w:sz w:val="20"/>
                <w:szCs w:val="20"/>
                <w:color w:val="auto"/>
              </w:rPr>
            </w:pPr>
            <w:r>
              <w:rPr>
                <w:rFonts w:ascii="Arial" w:cs="Arial" w:eastAsia="Arial" w:hAnsi="Arial"/>
                <w:sz w:val="16"/>
                <w:szCs w:val="16"/>
                <w:color w:val="auto"/>
              </w:rPr>
              <w:t>267</w:t>
            </w:r>
          </w:p>
        </w:tc>
        <w:tc>
          <w:tcPr>
            <w:tcW w:w="2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294</w:t>
            </w:r>
          </w:p>
        </w:tc>
      </w:tr>
      <w:tr>
        <w:trPr>
          <w:trHeight w:val="217"/>
        </w:trPr>
        <w:tc>
          <w:tcPr>
            <w:tcW w:w="8300" w:type="dxa"/>
            <w:vAlign w:val="bottom"/>
            <w:shd w:val="clear" w:color="auto" w:fill="D4F1F5"/>
          </w:tcPr>
          <w:p>
            <w:pPr>
              <w:ind w:left="240"/>
              <w:spacing w:after="0"/>
              <w:rPr>
                <w:sz w:val="20"/>
                <w:szCs w:val="20"/>
                <w:color w:val="auto"/>
              </w:rPr>
            </w:pPr>
            <w:r>
              <w:rPr>
                <w:rFonts w:ascii="Arial" w:cs="Arial" w:eastAsia="Arial" w:hAnsi="Arial"/>
                <w:sz w:val="16"/>
                <w:szCs w:val="16"/>
                <w:color w:val="auto"/>
              </w:rPr>
              <w:t>Regulatory assets</w:t>
            </w:r>
          </w:p>
        </w:tc>
        <w:tc>
          <w:tcPr>
            <w:tcW w:w="220" w:type="dxa"/>
            <w:vAlign w:val="bottom"/>
            <w:shd w:val="clear" w:color="auto" w:fill="D4F1F5"/>
          </w:tcPr>
          <w:p>
            <w:pPr>
              <w:spacing w:after="0"/>
              <w:rPr>
                <w:sz w:val="18"/>
                <w:szCs w:val="18"/>
                <w:color w:val="auto"/>
              </w:rPr>
            </w:pPr>
          </w:p>
        </w:tc>
        <w:tc>
          <w:tcPr>
            <w:tcW w:w="1240" w:type="dxa"/>
            <w:vAlign w:val="bottom"/>
            <w:shd w:val="clear" w:color="auto" w:fill="D4F1F5"/>
          </w:tcPr>
          <w:p>
            <w:pPr>
              <w:jc w:val="right"/>
              <w:ind w:right="40"/>
              <w:spacing w:after="0"/>
              <w:rPr>
                <w:sz w:val="20"/>
                <w:szCs w:val="20"/>
                <w:color w:val="auto"/>
              </w:rPr>
            </w:pPr>
            <w:r>
              <w:rPr>
                <w:rFonts w:ascii="Arial" w:cs="Arial" w:eastAsia="Arial" w:hAnsi="Arial"/>
                <w:sz w:val="16"/>
                <w:szCs w:val="16"/>
                <w:color w:val="auto"/>
              </w:rPr>
              <w:t>200</w:t>
            </w:r>
          </w:p>
        </w:tc>
        <w:tc>
          <w:tcPr>
            <w:tcW w:w="240" w:type="dxa"/>
            <w:vAlign w:val="bottom"/>
            <w:shd w:val="clear" w:color="auto" w:fill="D4F1F5"/>
          </w:tcPr>
          <w:p>
            <w:pPr>
              <w:spacing w:after="0"/>
              <w:rPr>
                <w:sz w:val="18"/>
                <w:szCs w:val="18"/>
                <w:color w:val="auto"/>
              </w:rPr>
            </w:pPr>
          </w:p>
        </w:tc>
        <w:tc>
          <w:tcPr>
            <w:tcW w:w="1240" w:type="dxa"/>
            <w:vAlign w:val="bottom"/>
            <w:shd w:val="clear" w:color="auto" w:fill="D4F1F5"/>
          </w:tcPr>
          <w:p>
            <w:pPr>
              <w:jc w:val="right"/>
              <w:spacing w:after="0"/>
              <w:rPr>
                <w:sz w:val="20"/>
                <w:szCs w:val="20"/>
                <w:color w:val="auto"/>
              </w:rPr>
            </w:pPr>
            <w:r>
              <w:rPr>
                <w:rFonts w:ascii="Arial" w:cs="Arial" w:eastAsia="Arial" w:hAnsi="Arial"/>
                <w:sz w:val="16"/>
                <w:szCs w:val="16"/>
                <w:color w:val="auto"/>
              </w:rPr>
              <w:t>328</w:t>
            </w:r>
          </w:p>
        </w:tc>
      </w:tr>
      <w:tr>
        <w:trPr>
          <w:trHeight w:val="215"/>
        </w:trPr>
        <w:tc>
          <w:tcPr>
            <w:tcW w:w="8300" w:type="dxa"/>
            <w:vAlign w:val="bottom"/>
          </w:tcPr>
          <w:p>
            <w:pPr>
              <w:ind w:left="240"/>
              <w:spacing w:after="0"/>
              <w:rPr>
                <w:sz w:val="20"/>
                <w:szCs w:val="20"/>
                <w:color w:val="auto"/>
              </w:rPr>
            </w:pPr>
            <w:r>
              <w:rPr>
                <w:rFonts w:ascii="Arial" w:cs="Arial" w:eastAsia="Arial" w:hAnsi="Arial"/>
                <w:sz w:val="16"/>
                <w:szCs w:val="16"/>
                <w:color w:val="auto"/>
              </w:rPr>
              <w:t>Greenhouse gas allowances</w:t>
            </w:r>
          </w:p>
        </w:tc>
        <w:tc>
          <w:tcPr>
            <w:tcW w:w="220" w:type="dxa"/>
            <w:vAlign w:val="bottom"/>
          </w:tcPr>
          <w:p>
            <w:pPr>
              <w:spacing w:after="0"/>
              <w:rPr>
                <w:sz w:val="18"/>
                <w:szCs w:val="18"/>
                <w:color w:val="auto"/>
              </w:rPr>
            </w:pPr>
          </w:p>
        </w:tc>
        <w:tc>
          <w:tcPr>
            <w:tcW w:w="1240" w:type="dxa"/>
            <w:vAlign w:val="bottom"/>
          </w:tcPr>
          <w:p>
            <w:pPr>
              <w:jc w:val="right"/>
              <w:ind w:right="40"/>
              <w:spacing w:after="0"/>
              <w:rPr>
                <w:sz w:val="20"/>
                <w:szCs w:val="20"/>
                <w:color w:val="auto"/>
              </w:rPr>
            </w:pPr>
            <w:r>
              <w:rPr>
                <w:rFonts w:ascii="Arial" w:cs="Arial" w:eastAsia="Arial" w:hAnsi="Arial"/>
                <w:sz w:val="16"/>
                <w:szCs w:val="16"/>
                <w:color w:val="auto"/>
              </w:rPr>
              <w:t>175</w:t>
            </w:r>
          </w:p>
        </w:tc>
        <w:tc>
          <w:tcPr>
            <w:tcW w:w="2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175</w:t>
            </w:r>
          </w:p>
        </w:tc>
      </w:tr>
      <w:tr>
        <w:trPr>
          <w:trHeight w:val="217"/>
        </w:trPr>
        <w:tc>
          <w:tcPr>
            <w:tcW w:w="8300" w:type="dxa"/>
            <w:vAlign w:val="bottom"/>
            <w:shd w:val="clear" w:color="auto" w:fill="D4F1F5"/>
          </w:tcPr>
          <w:p>
            <w:pPr>
              <w:ind w:left="240"/>
              <w:spacing w:after="0"/>
              <w:rPr>
                <w:sz w:val="20"/>
                <w:szCs w:val="20"/>
                <w:color w:val="auto"/>
              </w:rPr>
            </w:pPr>
            <w:r>
              <w:rPr>
                <w:rFonts w:ascii="Arial" w:cs="Arial" w:eastAsia="Arial" w:hAnsi="Arial"/>
                <w:sz w:val="16"/>
                <w:szCs w:val="16"/>
                <w:color w:val="auto"/>
              </w:rPr>
              <w:t>Other current assets</w:t>
            </w:r>
          </w:p>
        </w:tc>
        <w:tc>
          <w:tcPr>
            <w:tcW w:w="220" w:type="dxa"/>
            <w:vAlign w:val="bottom"/>
            <w:tcBorders>
              <w:bottom w:val="single" w:sz="8" w:color="auto"/>
            </w:tcBorders>
            <w:shd w:val="clear" w:color="auto" w:fill="D4F1F5"/>
          </w:tcPr>
          <w:p>
            <w:pPr>
              <w:spacing w:after="0"/>
              <w:rPr>
                <w:sz w:val="18"/>
                <w:szCs w:val="18"/>
                <w:color w:val="auto"/>
              </w:rPr>
            </w:pPr>
          </w:p>
        </w:tc>
        <w:tc>
          <w:tcPr>
            <w:tcW w:w="1240" w:type="dxa"/>
            <w:vAlign w:val="bottom"/>
            <w:tcBorders>
              <w:bottom w:val="single" w:sz="8" w:color="auto"/>
            </w:tcBorders>
            <w:shd w:val="clear" w:color="auto" w:fill="D4F1F5"/>
          </w:tcPr>
          <w:p>
            <w:pPr>
              <w:jc w:val="right"/>
              <w:ind w:right="40"/>
              <w:spacing w:after="0"/>
              <w:rPr>
                <w:sz w:val="20"/>
                <w:szCs w:val="20"/>
                <w:color w:val="auto"/>
              </w:rPr>
            </w:pPr>
            <w:r>
              <w:rPr>
                <w:rFonts w:ascii="Arial" w:cs="Arial" w:eastAsia="Arial" w:hAnsi="Arial"/>
                <w:sz w:val="16"/>
                <w:szCs w:val="16"/>
                <w:color w:val="auto"/>
              </w:rPr>
              <w:t>74</w:t>
            </w:r>
          </w:p>
        </w:tc>
        <w:tc>
          <w:tcPr>
            <w:tcW w:w="240" w:type="dxa"/>
            <w:vAlign w:val="bottom"/>
            <w:tcBorders>
              <w:bottom w:val="single" w:sz="8" w:color="auto"/>
            </w:tcBorders>
            <w:shd w:val="clear" w:color="auto" w:fill="D4F1F5"/>
          </w:tcPr>
          <w:p>
            <w:pPr>
              <w:spacing w:after="0"/>
              <w:rPr>
                <w:sz w:val="18"/>
                <w:szCs w:val="18"/>
                <w:color w:val="auto"/>
              </w:rPr>
            </w:pPr>
          </w:p>
        </w:tc>
        <w:tc>
          <w:tcPr>
            <w:tcW w:w="1240" w:type="dxa"/>
            <w:vAlign w:val="bottom"/>
            <w:tcBorders>
              <w:bottom w:val="single" w:sz="8" w:color="auto"/>
            </w:tcBorders>
            <w:shd w:val="clear" w:color="auto" w:fill="D4F1F5"/>
          </w:tcPr>
          <w:p>
            <w:pPr>
              <w:jc w:val="right"/>
              <w:spacing w:after="0"/>
              <w:rPr>
                <w:sz w:val="20"/>
                <w:szCs w:val="20"/>
                <w:color w:val="auto"/>
              </w:rPr>
            </w:pPr>
            <w:r>
              <w:rPr>
                <w:rFonts w:ascii="Arial" w:cs="Arial" w:eastAsia="Arial" w:hAnsi="Arial"/>
                <w:sz w:val="16"/>
                <w:szCs w:val="16"/>
                <w:color w:val="auto"/>
              </w:rPr>
              <w:t>91</w:t>
            </w:r>
          </w:p>
        </w:tc>
      </w:tr>
      <w:tr>
        <w:trPr>
          <w:trHeight w:val="209"/>
        </w:trPr>
        <w:tc>
          <w:tcPr>
            <w:tcW w:w="8300" w:type="dxa"/>
            <w:vAlign w:val="bottom"/>
            <w:tcBorders>
              <w:bottom w:val="single" w:sz="8" w:color="D4F1F5"/>
            </w:tcBorders>
          </w:tcPr>
          <w:p>
            <w:pPr>
              <w:ind w:left="460"/>
              <w:spacing w:after="0"/>
              <w:rPr>
                <w:sz w:val="20"/>
                <w:szCs w:val="20"/>
                <w:color w:val="auto"/>
              </w:rPr>
            </w:pPr>
            <w:r>
              <w:rPr>
                <w:rFonts w:ascii="Arial" w:cs="Arial" w:eastAsia="Arial" w:hAnsi="Arial"/>
                <w:sz w:val="16"/>
                <w:szCs w:val="16"/>
                <w:color w:val="auto"/>
              </w:rPr>
              <w:t>Total current assets</w:t>
            </w:r>
          </w:p>
        </w:tc>
        <w:tc>
          <w:tcPr>
            <w:tcW w:w="2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1,521</w:t>
            </w:r>
          </w:p>
        </w:tc>
        <w:tc>
          <w:tcPr>
            <w:tcW w:w="2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1,929</w:t>
            </w:r>
          </w:p>
        </w:tc>
      </w:tr>
      <w:tr>
        <w:trPr>
          <w:trHeight w:val="197"/>
        </w:trPr>
        <w:tc>
          <w:tcPr>
            <w:tcW w:w="8300" w:type="dxa"/>
            <w:vAlign w:val="bottom"/>
            <w:shd w:val="clear" w:color="auto" w:fill="D4F1F5"/>
          </w:tcPr>
          <w:p>
            <w:pPr>
              <w:spacing w:after="0"/>
              <w:rPr>
                <w:sz w:val="17"/>
                <w:szCs w:val="17"/>
                <w:color w:val="auto"/>
              </w:rPr>
            </w:pPr>
          </w:p>
        </w:tc>
        <w:tc>
          <w:tcPr>
            <w:tcW w:w="220" w:type="dxa"/>
            <w:vAlign w:val="bottom"/>
            <w:shd w:val="clear" w:color="auto" w:fill="D4F1F5"/>
          </w:tcPr>
          <w:p>
            <w:pPr>
              <w:spacing w:after="0"/>
              <w:rPr>
                <w:sz w:val="17"/>
                <w:szCs w:val="17"/>
                <w:color w:val="auto"/>
              </w:rPr>
            </w:pPr>
          </w:p>
        </w:tc>
        <w:tc>
          <w:tcPr>
            <w:tcW w:w="1240" w:type="dxa"/>
            <w:vAlign w:val="bottom"/>
            <w:shd w:val="clear" w:color="auto" w:fill="D4F1F5"/>
          </w:tcPr>
          <w:p>
            <w:pPr>
              <w:spacing w:after="0"/>
              <w:rPr>
                <w:sz w:val="17"/>
                <w:szCs w:val="17"/>
                <w:color w:val="auto"/>
              </w:rPr>
            </w:pPr>
          </w:p>
        </w:tc>
        <w:tc>
          <w:tcPr>
            <w:tcW w:w="240" w:type="dxa"/>
            <w:vAlign w:val="bottom"/>
            <w:shd w:val="clear" w:color="auto" w:fill="D4F1F5"/>
          </w:tcPr>
          <w:p>
            <w:pPr>
              <w:spacing w:after="0"/>
              <w:rPr>
                <w:sz w:val="17"/>
                <w:szCs w:val="17"/>
                <w:color w:val="auto"/>
              </w:rPr>
            </w:pPr>
          </w:p>
        </w:tc>
        <w:tc>
          <w:tcPr>
            <w:tcW w:w="1240" w:type="dxa"/>
            <w:vAlign w:val="bottom"/>
            <w:shd w:val="clear" w:color="auto" w:fill="D4F1F5"/>
          </w:tcPr>
          <w:p>
            <w:pPr>
              <w:spacing w:after="0"/>
              <w:rPr>
                <w:sz w:val="17"/>
                <w:szCs w:val="17"/>
                <w:color w:val="auto"/>
              </w:rPr>
            </w:pPr>
          </w:p>
        </w:tc>
      </w:tr>
      <w:tr>
        <w:trPr>
          <w:trHeight w:val="215"/>
        </w:trPr>
        <w:tc>
          <w:tcPr>
            <w:tcW w:w="8300" w:type="dxa"/>
            <w:vAlign w:val="bottom"/>
          </w:tcPr>
          <w:p>
            <w:pPr>
              <w:ind w:left="20"/>
              <w:spacing w:after="0"/>
              <w:rPr>
                <w:sz w:val="20"/>
                <w:szCs w:val="20"/>
                <w:color w:val="auto"/>
              </w:rPr>
            </w:pPr>
            <w:r>
              <w:rPr>
                <w:rFonts w:ascii="Arial" w:cs="Arial" w:eastAsia="Arial" w:hAnsi="Arial"/>
                <w:sz w:val="16"/>
                <w:szCs w:val="16"/>
                <w:color w:val="auto"/>
              </w:rPr>
              <w:t>Other assets:</w:t>
            </w: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17"/>
        </w:trPr>
        <w:tc>
          <w:tcPr>
            <w:tcW w:w="8300" w:type="dxa"/>
            <w:vAlign w:val="bottom"/>
            <w:shd w:val="clear" w:color="auto" w:fill="D4F1F5"/>
          </w:tcPr>
          <w:p>
            <w:pPr>
              <w:ind w:left="240"/>
              <w:spacing w:after="0"/>
              <w:rPr>
                <w:sz w:val="20"/>
                <w:szCs w:val="20"/>
                <w:color w:val="auto"/>
              </w:rPr>
            </w:pPr>
            <w:r>
              <w:rPr>
                <w:rFonts w:ascii="Arial" w:cs="Arial" w:eastAsia="Arial" w:hAnsi="Arial"/>
                <w:sz w:val="16"/>
                <w:szCs w:val="16"/>
                <w:color w:val="auto"/>
              </w:rPr>
              <w:t>Regulatory assets</w:t>
            </w:r>
          </w:p>
        </w:tc>
        <w:tc>
          <w:tcPr>
            <w:tcW w:w="220" w:type="dxa"/>
            <w:vAlign w:val="bottom"/>
            <w:shd w:val="clear" w:color="auto" w:fill="D4F1F5"/>
          </w:tcPr>
          <w:p>
            <w:pPr>
              <w:spacing w:after="0"/>
              <w:rPr>
                <w:sz w:val="18"/>
                <w:szCs w:val="18"/>
                <w:color w:val="auto"/>
              </w:rPr>
            </w:pPr>
          </w:p>
        </w:tc>
        <w:tc>
          <w:tcPr>
            <w:tcW w:w="1240" w:type="dxa"/>
            <w:vAlign w:val="bottom"/>
            <w:shd w:val="clear" w:color="auto" w:fill="D4F1F5"/>
          </w:tcPr>
          <w:p>
            <w:pPr>
              <w:jc w:val="right"/>
              <w:ind w:right="40"/>
              <w:spacing w:after="0"/>
              <w:rPr>
                <w:sz w:val="20"/>
                <w:szCs w:val="20"/>
                <w:color w:val="auto"/>
              </w:rPr>
            </w:pPr>
            <w:r>
              <w:rPr>
                <w:rFonts w:ascii="Arial" w:cs="Arial" w:eastAsia="Arial" w:hAnsi="Arial"/>
                <w:sz w:val="16"/>
                <w:szCs w:val="16"/>
                <w:color w:val="auto"/>
              </w:rPr>
              <w:t>2,048</w:t>
            </w:r>
          </w:p>
        </w:tc>
        <w:tc>
          <w:tcPr>
            <w:tcW w:w="240" w:type="dxa"/>
            <w:vAlign w:val="bottom"/>
            <w:shd w:val="clear" w:color="auto" w:fill="D4F1F5"/>
          </w:tcPr>
          <w:p>
            <w:pPr>
              <w:spacing w:after="0"/>
              <w:rPr>
                <w:sz w:val="18"/>
                <w:szCs w:val="18"/>
                <w:color w:val="auto"/>
              </w:rPr>
            </w:pPr>
          </w:p>
        </w:tc>
        <w:tc>
          <w:tcPr>
            <w:tcW w:w="1240" w:type="dxa"/>
            <w:vAlign w:val="bottom"/>
            <w:shd w:val="clear" w:color="auto" w:fill="D4F1F5"/>
          </w:tcPr>
          <w:p>
            <w:pPr>
              <w:jc w:val="right"/>
              <w:spacing w:after="0"/>
              <w:rPr>
                <w:sz w:val="20"/>
                <w:szCs w:val="20"/>
                <w:color w:val="auto"/>
              </w:rPr>
            </w:pPr>
            <w:r>
              <w:rPr>
                <w:rFonts w:ascii="Arial" w:cs="Arial" w:eastAsia="Arial" w:hAnsi="Arial"/>
                <w:sz w:val="16"/>
                <w:szCs w:val="16"/>
                <w:color w:val="auto"/>
              </w:rPr>
              <w:t>1,888</w:t>
            </w:r>
          </w:p>
        </w:tc>
      </w:tr>
      <w:tr>
        <w:trPr>
          <w:trHeight w:val="215"/>
        </w:trPr>
        <w:tc>
          <w:tcPr>
            <w:tcW w:w="8300" w:type="dxa"/>
            <w:vAlign w:val="bottom"/>
          </w:tcPr>
          <w:p>
            <w:pPr>
              <w:ind w:left="240"/>
              <w:spacing w:after="0"/>
              <w:rPr>
                <w:sz w:val="20"/>
                <w:szCs w:val="20"/>
                <w:color w:val="auto"/>
              </w:rPr>
            </w:pPr>
            <w:r>
              <w:rPr>
                <w:rFonts w:ascii="Arial" w:cs="Arial" w:eastAsia="Arial" w:hAnsi="Arial"/>
                <w:sz w:val="16"/>
                <w:szCs w:val="16"/>
                <w:color w:val="auto"/>
              </w:rPr>
              <w:t>Greenhouse gas allowances</w:t>
            </w:r>
          </w:p>
        </w:tc>
        <w:tc>
          <w:tcPr>
            <w:tcW w:w="220" w:type="dxa"/>
            <w:vAlign w:val="bottom"/>
          </w:tcPr>
          <w:p>
            <w:pPr>
              <w:spacing w:after="0"/>
              <w:rPr>
                <w:sz w:val="18"/>
                <w:szCs w:val="18"/>
                <w:color w:val="auto"/>
              </w:rPr>
            </w:pPr>
          </w:p>
        </w:tc>
        <w:tc>
          <w:tcPr>
            <w:tcW w:w="1240" w:type="dxa"/>
            <w:vAlign w:val="bottom"/>
          </w:tcPr>
          <w:p>
            <w:pPr>
              <w:jc w:val="right"/>
              <w:ind w:right="40"/>
              <w:spacing w:after="0"/>
              <w:rPr>
                <w:sz w:val="20"/>
                <w:szCs w:val="20"/>
                <w:color w:val="auto"/>
              </w:rPr>
            </w:pPr>
            <w:r>
              <w:rPr>
                <w:rFonts w:ascii="Arial" w:cs="Arial" w:eastAsia="Arial" w:hAnsi="Arial"/>
                <w:sz w:val="16"/>
                <w:szCs w:val="16"/>
                <w:color w:val="auto"/>
              </w:rPr>
              <w:t>1,080</w:t>
            </w:r>
          </w:p>
        </w:tc>
        <w:tc>
          <w:tcPr>
            <w:tcW w:w="2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935</w:t>
            </w:r>
          </w:p>
        </w:tc>
      </w:tr>
      <w:tr>
        <w:trPr>
          <w:trHeight w:val="217"/>
        </w:trPr>
        <w:tc>
          <w:tcPr>
            <w:tcW w:w="8300" w:type="dxa"/>
            <w:vAlign w:val="bottom"/>
            <w:shd w:val="clear" w:color="auto" w:fill="D4F1F5"/>
          </w:tcPr>
          <w:p>
            <w:pPr>
              <w:ind w:left="240"/>
              <w:spacing w:after="0"/>
              <w:rPr>
                <w:sz w:val="20"/>
                <w:szCs w:val="20"/>
                <w:color w:val="auto"/>
              </w:rPr>
            </w:pPr>
            <w:r>
              <w:rPr>
                <w:rFonts w:ascii="Arial" w:cs="Arial" w:eastAsia="Arial" w:hAnsi="Arial"/>
                <w:sz w:val="16"/>
                <w:szCs w:val="16"/>
                <w:color w:val="auto"/>
              </w:rPr>
              <w:t>Right-of-use assets – operating leases</w:t>
            </w:r>
          </w:p>
        </w:tc>
        <w:tc>
          <w:tcPr>
            <w:tcW w:w="220" w:type="dxa"/>
            <w:vAlign w:val="bottom"/>
            <w:shd w:val="clear" w:color="auto" w:fill="D4F1F5"/>
          </w:tcPr>
          <w:p>
            <w:pPr>
              <w:spacing w:after="0"/>
              <w:rPr>
                <w:sz w:val="18"/>
                <w:szCs w:val="18"/>
                <w:color w:val="auto"/>
              </w:rPr>
            </w:pPr>
          </w:p>
        </w:tc>
        <w:tc>
          <w:tcPr>
            <w:tcW w:w="1240" w:type="dxa"/>
            <w:vAlign w:val="bottom"/>
            <w:shd w:val="clear" w:color="auto" w:fill="D4F1F5"/>
          </w:tcPr>
          <w:p>
            <w:pPr>
              <w:jc w:val="right"/>
              <w:ind w:right="40"/>
              <w:spacing w:after="0"/>
              <w:rPr>
                <w:sz w:val="20"/>
                <w:szCs w:val="20"/>
                <w:color w:val="auto"/>
              </w:rPr>
            </w:pPr>
            <w:r>
              <w:rPr>
                <w:rFonts w:ascii="Arial" w:cs="Arial" w:eastAsia="Arial" w:hAnsi="Arial"/>
                <w:sz w:val="16"/>
                <w:szCs w:val="16"/>
                <w:color w:val="auto"/>
              </w:rPr>
              <w:t>126</w:t>
            </w:r>
          </w:p>
        </w:tc>
        <w:tc>
          <w:tcPr>
            <w:tcW w:w="240" w:type="dxa"/>
            <w:vAlign w:val="bottom"/>
            <w:shd w:val="clear" w:color="auto" w:fill="D4F1F5"/>
          </w:tcPr>
          <w:p>
            <w:pPr>
              <w:spacing w:after="0"/>
              <w:rPr>
                <w:sz w:val="18"/>
                <w:szCs w:val="18"/>
                <w:color w:val="auto"/>
              </w:rPr>
            </w:pPr>
          </w:p>
        </w:tc>
        <w:tc>
          <w:tcPr>
            <w:tcW w:w="1240" w:type="dxa"/>
            <w:vAlign w:val="bottom"/>
            <w:shd w:val="clear" w:color="auto" w:fill="D4F1F5"/>
          </w:tcPr>
          <w:p>
            <w:pPr>
              <w:jc w:val="right"/>
              <w:spacing w:after="0"/>
              <w:rPr>
                <w:sz w:val="20"/>
                <w:szCs w:val="20"/>
                <w:color w:val="auto"/>
              </w:rPr>
            </w:pPr>
            <w:r>
              <w:rPr>
                <w:rFonts w:ascii="Arial" w:cs="Arial" w:eastAsia="Arial" w:hAnsi="Arial"/>
                <w:sz w:val="16"/>
                <w:szCs w:val="16"/>
                <w:color w:val="auto"/>
              </w:rPr>
              <w:t>68</w:t>
            </w:r>
          </w:p>
        </w:tc>
      </w:tr>
      <w:tr>
        <w:trPr>
          <w:trHeight w:val="215"/>
        </w:trPr>
        <w:tc>
          <w:tcPr>
            <w:tcW w:w="8300" w:type="dxa"/>
            <w:vAlign w:val="bottom"/>
            <w:tcBorders>
              <w:bottom w:val="single" w:sz="8" w:color="D4F1F5"/>
            </w:tcBorders>
          </w:tcPr>
          <w:p>
            <w:pPr>
              <w:ind w:left="240"/>
              <w:spacing w:after="0"/>
              <w:rPr>
                <w:sz w:val="20"/>
                <w:szCs w:val="20"/>
                <w:color w:val="auto"/>
              </w:rPr>
            </w:pPr>
            <w:r>
              <w:rPr>
                <w:rFonts w:ascii="Arial" w:cs="Arial" w:eastAsia="Arial" w:hAnsi="Arial"/>
                <w:sz w:val="16"/>
                <w:szCs w:val="16"/>
                <w:color w:val="auto"/>
              </w:rPr>
              <w:t>Other long-term assets</w:t>
            </w:r>
          </w:p>
        </w:tc>
        <w:tc>
          <w:tcPr>
            <w:tcW w:w="2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705</w:t>
            </w:r>
          </w:p>
        </w:tc>
        <w:tc>
          <w:tcPr>
            <w:tcW w:w="2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738</w:t>
            </w:r>
          </w:p>
        </w:tc>
      </w:tr>
      <w:tr>
        <w:trPr>
          <w:trHeight w:val="209"/>
        </w:trPr>
        <w:tc>
          <w:tcPr>
            <w:tcW w:w="8300" w:type="dxa"/>
            <w:vAlign w:val="bottom"/>
            <w:shd w:val="clear" w:color="auto" w:fill="D4F1F5"/>
          </w:tcPr>
          <w:p>
            <w:pPr>
              <w:ind w:left="460"/>
              <w:spacing w:after="0"/>
              <w:rPr>
                <w:sz w:val="20"/>
                <w:szCs w:val="20"/>
                <w:color w:val="auto"/>
              </w:rPr>
            </w:pPr>
            <w:r>
              <w:rPr>
                <w:rFonts w:ascii="Arial" w:cs="Arial" w:eastAsia="Arial" w:hAnsi="Arial"/>
                <w:sz w:val="16"/>
                <w:szCs w:val="16"/>
                <w:color w:val="auto"/>
              </w:rPr>
              <w:t>Total other assets</w:t>
            </w:r>
          </w:p>
        </w:tc>
        <w:tc>
          <w:tcPr>
            <w:tcW w:w="220" w:type="dxa"/>
            <w:vAlign w:val="bottom"/>
            <w:tcBorders>
              <w:bottom w:val="single" w:sz="8" w:color="auto"/>
            </w:tcBorders>
            <w:shd w:val="clear" w:color="auto" w:fill="D4F1F5"/>
          </w:tcPr>
          <w:p>
            <w:pPr>
              <w:spacing w:after="0"/>
              <w:rPr>
                <w:sz w:val="18"/>
                <w:szCs w:val="18"/>
                <w:color w:val="auto"/>
              </w:rPr>
            </w:pPr>
          </w:p>
        </w:tc>
        <w:tc>
          <w:tcPr>
            <w:tcW w:w="1240" w:type="dxa"/>
            <w:vAlign w:val="bottom"/>
            <w:tcBorders>
              <w:bottom w:val="single" w:sz="8" w:color="auto"/>
            </w:tcBorders>
            <w:shd w:val="clear" w:color="auto" w:fill="D4F1F5"/>
          </w:tcPr>
          <w:p>
            <w:pPr>
              <w:jc w:val="right"/>
              <w:ind w:right="40"/>
              <w:spacing w:after="0"/>
              <w:rPr>
                <w:sz w:val="20"/>
                <w:szCs w:val="20"/>
                <w:color w:val="auto"/>
              </w:rPr>
            </w:pPr>
            <w:r>
              <w:rPr>
                <w:rFonts w:ascii="Arial" w:cs="Arial" w:eastAsia="Arial" w:hAnsi="Arial"/>
                <w:sz w:val="16"/>
                <w:szCs w:val="16"/>
                <w:color w:val="auto"/>
              </w:rPr>
              <w:t>3,959</w:t>
            </w:r>
          </w:p>
        </w:tc>
        <w:tc>
          <w:tcPr>
            <w:tcW w:w="240" w:type="dxa"/>
            <w:vAlign w:val="bottom"/>
            <w:tcBorders>
              <w:bottom w:val="single" w:sz="8" w:color="auto"/>
            </w:tcBorders>
            <w:shd w:val="clear" w:color="auto" w:fill="D4F1F5"/>
          </w:tcPr>
          <w:p>
            <w:pPr>
              <w:spacing w:after="0"/>
              <w:rPr>
                <w:sz w:val="18"/>
                <w:szCs w:val="18"/>
                <w:color w:val="auto"/>
              </w:rPr>
            </w:pPr>
          </w:p>
        </w:tc>
        <w:tc>
          <w:tcPr>
            <w:tcW w:w="1240" w:type="dxa"/>
            <w:vAlign w:val="bottom"/>
            <w:tcBorders>
              <w:bottom w:val="single" w:sz="8" w:color="auto"/>
            </w:tcBorders>
            <w:shd w:val="clear" w:color="auto" w:fill="D4F1F5"/>
          </w:tcPr>
          <w:p>
            <w:pPr>
              <w:jc w:val="right"/>
              <w:spacing w:after="0"/>
              <w:rPr>
                <w:sz w:val="20"/>
                <w:szCs w:val="20"/>
                <w:color w:val="auto"/>
              </w:rPr>
            </w:pPr>
            <w:r>
              <w:rPr>
                <w:rFonts w:ascii="Arial" w:cs="Arial" w:eastAsia="Arial" w:hAnsi="Arial"/>
                <w:sz w:val="16"/>
                <w:szCs w:val="16"/>
                <w:color w:val="auto"/>
              </w:rPr>
              <w:t>3,629</w:t>
            </w:r>
          </w:p>
        </w:tc>
      </w:tr>
      <w:tr>
        <w:trPr>
          <w:trHeight w:val="197"/>
        </w:trPr>
        <w:tc>
          <w:tcPr>
            <w:tcW w:w="8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216"/>
        </w:trPr>
        <w:tc>
          <w:tcPr>
            <w:tcW w:w="8300" w:type="dxa"/>
            <w:vAlign w:val="bottom"/>
            <w:shd w:val="clear" w:color="auto" w:fill="D4F1F5"/>
          </w:tcPr>
          <w:p>
            <w:pPr>
              <w:ind w:left="20"/>
              <w:spacing w:after="0"/>
              <w:rPr>
                <w:sz w:val="20"/>
                <w:szCs w:val="20"/>
                <w:color w:val="auto"/>
              </w:rPr>
            </w:pPr>
            <w:r>
              <w:rPr>
                <w:rFonts w:ascii="Arial" w:cs="Arial" w:eastAsia="Arial" w:hAnsi="Arial"/>
                <w:sz w:val="16"/>
                <w:szCs w:val="16"/>
                <w:color w:val="auto"/>
              </w:rPr>
              <w:t>Property, plant and equipment:</w:t>
            </w:r>
          </w:p>
        </w:tc>
        <w:tc>
          <w:tcPr>
            <w:tcW w:w="220" w:type="dxa"/>
            <w:vAlign w:val="bottom"/>
            <w:shd w:val="clear" w:color="auto" w:fill="D4F1F5"/>
          </w:tcPr>
          <w:p>
            <w:pPr>
              <w:spacing w:after="0"/>
              <w:rPr>
                <w:sz w:val="18"/>
                <w:szCs w:val="18"/>
                <w:color w:val="auto"/>
              </w:rPr>
            </w:pPr>
          </w:p>
        </w:tc>
        <w:tc>
          <w:tcPr>
            <w:tcW w:w="1240" w:type="dxa"/>
            <w:vAlign w:val="bottom"/>
            <w:shd w:val="clear" w:color="auto" w:fill="D4F1F5"/>
          </w:tcPr>
          <w:p>
            <w:pPr>
              <w:spacing w:after="0"/>
              <w:rPr>
                <w:sz w:val="18"/>
                <w:szCs w:val="18"/>
                <w:color w:val="auto"/>
              </w:rPr>
            </w:pPr>
          </w:p>
        </w:tc>
        <w:tc>
          <w:tcPr>
            <w:tcW w:w="240" w:type="dxa"/>
            <w:vAlign w:val="bottom"/>
            <w:shd w:val="clear" w:color="auto" w:fill="D4F1F5"/>
          </w:tcPr>
          <w:p>
            <w:pPr>
              <w:spacing w:after="0"/>
              <w:rPr>
                <w:sz w:val="18"/>
                <w:szCs w:val="18"/>
                <w:color w:val="auto"/>
              </w:rPr>
            </w:pPr>
          </w:p>
        </w:tc>
        <w:tc>
          <w:tcPr>
            <w:tcW w:w="1240" w:type="dxa"/>
            <w:vAlign w:val="bottom"/>
            <w:shd w:val="clear" w:color="auto" w:fill="D4F1F5"/>
          </w:tcPr>
          <w:p>
            <w:pPr>
              <w:spacing w:after="0"/>
              <w:rPr>
                <w:sz w:val="18"/>
                <w:szCs w:val="18"/>
                <w:color w:val="auto"/>
              </w:rPr>
            </w:pPr>
          </w:p>
        </w:tc>
      </w:tr>
      <w:tr>
        <w:trPr>
          <w:trHeight w:val="215"/>
        </w:trPr>
        <w:tc>
          <w:tcPr>
            <w:tcW w:w="8300" w:type="dxa"/>
            <w:vAlign w:val="bottom"/>
          </w:tcPr>
          <w:p>
            <w:pPr>
              <w:ind w:left="240"/>
              <w:spacing w:after="0"/>
              <w:rPr>
                <w:sz w:val="20"/>
                <w:szCs w:val="20"/>
                <w:color w:val="auto"/>
              </w:rPr>
            </w:pPr>
            <w:r>
              <w:rPr>
                <w:rFonts w:ascii="Arial" w:cs="Arial" w:eastAsia="Arial" w:hAnsi="Arial"/>
                <w:sz w:val="16"/>
                <w:szCs w:val="16"/>
                <w:color w:val="auto"/>
              </w:rPr>
              <w:t>Property, plant and equipment</w:t>
            </w:r>
          </w:p>
        </w:tc>
        <w:tc>
          <w:tcPr>
            <w:tcW w:w="220" w:type="dxa"/>
            <w:vAlign w:val="bottom"/>
          </w:tcPr>
          <w:p>
            <w:pPr>
              <w:spacing w:after="0"/>
              <w:rPr>
                <w:sz w:val="18"/>
                <w:szCs w:val="18"/>
                <w:color w:val="auto"/>
              </w:rPr>
            </w:pPr>
          </w:p>
        </w:tc>
        <w:tc>
          <w:tcPr>
            <w:tcW w:w="1240" w:type="dxa"/>
            <w:vAlign w:val="bottom"/>
          </w:tcPr>
          <w:p>
            <w:pPr>
              <w:jc w:val="right"/>
              <w:ind w:right="40"/>
              <w:spacing w:after="0"/>
              <w:rPr>
                <w:sz w:val="20"/>
                <w:szCs w:val="20"/>
                <w:color w:val="auto"/>
              </w:rPr>
            </w:pPr>
            <w:r>
              <w:rPr>
                <w:rFonts w:ascii="Arial" w:cs="Arial" w:eastAsia="Arial" w:hAnsi="Arial"/>
                <w:sz w:val="16"/>
                <w:szCs w:val="16"/>
                <w:color w:val="auto"/>
              </w:rPr>
              <w:t>31,249</w:t>
            </w:r>
          </w:p>
        </w:tc>
        <w:tc>
          <w:tcPr>
            <w:tcW w:w="2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31,078</w:t>
            </w:r>
          </w:p>
        </w:tc>
      </w:tr>
      <w:tr>
        <w:trPr>
          <w:trHeight w:val="217"/>
        </w:trPr>
        <w:tc>
          <w:tcPr>
            <w:tcW w:w="8300" w:type="dxa"/>
            <w:vAlign w:val="bottom"/>
            <w:shd w:val="clear" w:color="auto" w:fill="D4F1F5"/>
          </w:tcPr>
          <w:p>
            <w:pPr>
              <w:ind w:left="240"/>
              <w:spacing w:after="0"/>
              <w:rPr>
                <w:sz w:val="20"/>
                <w:szCs w:val="20"/>
                <w:color w:val="auto"/>
              </w:rPr>
            </w:pPr>
            <w:r>
              <w:rPr>
                <w:rFonts w:ascii="Arial" w:cs="Arial" w:eastAsia="Arial" w:hAnsi="Arial"/>
                <w:sz w:val="16"/>
                <w:szCs w:val="16"/>
                <w:color w:val="auto"/>
              </w:rPr>
              <w:t>Less accumulated depreciation and amortization</w:t>
            </w:r>
          </w:p>
        </w:tc>
        <w:tc>
          <w:tcPr>
            <w:tcW w:w="220" w:type="dxa"/>
            <w:vAlign w:val="bottom"/>
            <w:tcBorders>
              <w:bottom w:val="single" w:sz="8" w:color="auto"/>
            </w:tcBorders>
            <w:shd w:val="clear" w:color="auto" w:fill="D4F1F5"/>
          </w:tcPr>
          <w:p>
            <w:pPr>
              <w:spacing w:after="0"/>
              <w:rPr>
                <w:sz w:val="18"/>
                <w:szCs w:val="18"/>
                <w:color w:val="auto"/>
              </w:rPr>
            </w:pPr>
          </w:p>
        </w:tc>
        <w:tc>
          <w:tcPr>
            <w:tcW w:w="1240" w:type="dxa"/>
            <w:vAlign w:val="bottom"/>
            <w:tcBorders>
              <w:bottom w:val="single" w:sz="8" w:color="auto"/>
            </w:tcBorders>
            <w:shd w:val="clear" w:color="auto" w:fill="D4F1F5"/>
          </w:tcPr>
          <w:p>
            <w:pPr>
              <w:jc w:val="right"/>
              <w:spacing w:after="0"/>
              <w:rPr>
                <w:sz w:val="20"/>
                <w:szCs w:val="20"/>
                <w:color w:val="auto"/>
              </w:rPr>
            </w:pPr>
            <w:r>
              <w:rPr>
                <w:rFonts w:ascii="Arial" w:cs="Arial" w:eastAsia="Arial" w:hAnsi="Arial"/>
                <w:sz w:val="16"/>
                <w:szCs w:val="16"/>
                <w:color w:val="auto"/>
              </w:rPr>
              <w:t>(9,127)</w:t>
            </w:r>
          </w:p>
        </w:tc>
        <w:tc>
          <w:tcPr>
            <w:tcW w:w="240" w:type="dxa"/>
            <w:vAlign w:val="bottom"/>
            <w:tcBorders>
              <w:bottom w:val="single" w:sz="8" w:color="auto"/>
            </w:tcBorders>
            <w:shd w:val="clear" w:color="auto" w:fill="D4F1F5"/>
          </w:tcPr>
          <w:p>
            <w:pPr>
              <w:spacing w:after="0"/>
              <w:rPr>
                <w:sz w:val="18"/>
                <w:szCs w:val="18"/>
                <w:color w:val="auto"/>
              </w:rPr>
            </w:pPr>
          </w:p>
        </w:tc>
        <w:tc>
          <w:tcPr>
            <w:tcW w:w="1240" w:type="dxa"/>
            <w:vAlign w:val="bottom"/>
            <w:tcBorders>
              <w:bottom w:val="single" w:sz="8" w:color="auto"/>
            </w:tcBorders>
            <w:shd w:val="clear" w:color="auto" w:fill="D4F1F5"/>
          </w:tcPr>
          <w:p>
            <w:pPr>
              <w:jc w:val="right"/>
              <w:spacing w:after="0"/>
              <w:rPr>
                <w:sz w:val="20"/>
                <w:szCs w:val="20"/>
                <w:color w:val="auto"/>
              </w:rPr>
            </w:pPr>
            <w:r>
              <w:rPr>
                <w:rFonts w:ascii="Arial" w:cs="Arial" w:eastAsia="Arial" w:hAnsi="Arial"/>
                <w:sz w:val="16"/>
                <w:szCs w:val="16"/>
                <w:color w:val="auto"/>
              </w:rPr>
              <w:t>(8,948)</w:t>
            </w:r>
          </w:p>
        </w:tc>
      </w:tr>
      <w:tr>
        <w:trPr>
          <w:trHeight w:val="209"/>
        </w:trPr>
        <w:tc>
          <w:tcPr>
            <w:tcW w:w="8300" w:type="dxa"/>
            <w:vAlign w:val="bottom"/>
            <w:tcBorders>
              <w:bottom w:val="single" w:sz="8" w:color="D4F1F5"/>
            </w:tcBorders>
          </w:tcPr>
          <w:p>
            <w:pPr>
              <w:ind w:left="460"/>
              <w:spacing w:after="0"/>
              <w:rPr>
                <w:sz w:val="20"/>
                <w:szCs w:val="20"/>
                <w:color w:val="auto"/>
              </w:rPr>
            </w:pPr>
            <w:r>
              <w:rPr>
                <w:rFonts w:ascii="Arial" w:cs="Arial" w:eastAsia="Arial" w:hAnsi="Arial"/>
                <w:sz w:val="16"/>
                <w:szCs w:val="16"/>
                <w:color w:val="auto"/>
              </w:rPr>
              <w:t>Property, plant and equipment, net</w:t>
            </w:r>
          </w:p>
        </w:tc>
        <w:tc>
          <w:tcPr>
            <w:tcW w:w="2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22,122</w:t>
            </w:r>
          </w:p>
        </w:tc>
        <w:tc>
          <w:tcPr>
            <w:tcW w:w="2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22,130</w:t>
            </w:r>
          </w:p>
        </w:tc>
      </w:tr>
      <w:tr>
        <w:trPr>
          <w:trHeight w:val="217"/>
        </w:trPr>
        <w:tc>
          <w:tcPr>
            <w:tcW w:w="8300" w:type="dxa"/>
            <w:vAlign w:val="bottom"/>
            <w:tcBorders>
              <w:bottom w:val="single" w:sz="8" w:color="auto"/>
            </w:tcBorders>
            <w:shd w:val="clear" w:color="auto" w:fill="D4F1F5"/>
          </w:tcPr>
          <w:p>
            <w:pPr>
              <w:ind w:left="20"/>
              <w:spacing w:after="0"/>
              <w:rPr>
                <w:sz w:val="20"/>
                <w:szCs w:val="20"/>
                <w:color w:val="auto"/>
              </w:rPr>
            </w:pPr>
            <w:r>
              <w:rPr>
                <w:rFonts w:ascii="Arial" w:cs="Arial" w:eastAsia="Arial" w:hAnsi="Arial"/>
                <w:sz w:val="16"/>
                <w:szCs w:val="16"/>
                <w:color w:val="auto"/>
              </w:rPr>
              <w:t>Total assets</w:t>
            </w:r>
          </w:p>
        </w:tc>
        <w:tc>
          <w:tcPr>
            <w:tcW w:w="220" w:type="dxa"/>
            <w:vAlign w:val="bottom"/>
            <w:tcBorders>
              <w:bottom w:val="single" w:sz="8" w:color="auto"/>
            </w:tcBorders>
            <w:shd w:val="clear" w:color="auto" w:fill="D4F1F5"/>
          </w:tcPr>
          <w:p>
            <w:pPr>
              <w:jc w:val="right"/>
              <w:ind w:right="39"/>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shd w:val="clear" w:color="auto" w:fill="D4F1F5"/>
          </w:tcPr>
          <w:p>
            <w:pPr>
              <w:jc w:val="right"/>
              <w:ind w:right="40"/>
              <w:spacing w:after="0"/>
              <w:rPr>
                <w:sz w:val="20"/>
                <w:szCs w:val="20"/>
                <w:color w:val="auto"/>
              </w:rPr>
            </w:pPr>
            <w:r>
              <w:rPr>
                <w:rFonts w:ascii="Arial" w:cs="Arial" w:eastAsia="Arial" w:hAnsi="Arial"/>
                <w:sz w:val="16"/>
                <w:szCs w:val="16"/>
                <w:color w:val="auto"/>
              </w:rPr>
              <w:t>27,602</w:t>
            </w:r>
          </w:p>
        </w:tc>
        <w:tc>
          <w:tcPr>
            <w:tcW w:w="240" w:type="dxa"/>
            <w:vAlign w:val="bottom"/>
            <w:tcBorders>
              <w:bottom w:val="single" w:sz="8" w:color="auto"/>
            </w:tcBorders>
            <w:shd w:val="clear" w:color="auto" w:fill="D4F1F5"/>
          </w:tcPr>
          <w:p>
            <w:pPr>
              <w:jc w:val="right"/>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shd w:val="clear" w:color="auto" w:fill="D4F1F5"/>
          </w:tcPr>
          <w:p>
            <w:pPr>
              <w:jc w:val="right"/>
              <w:spacing w:after="0"/>
              <w:rPr>
                <w:sz w:val="20"/>
                <w:szCs w:val="20"/>
                <w:color w:val="auto"/>
              </w:rPr>
            </w:pPr>
            <w:r>
              <w:rPr>
                <w:rFonts w:ascii="Arial" w:cs="Arial" w:eastAsia="Arial" w:hAnsi="Arial"/>
                <w:sz w:val="16"/>
                <w:szCs w:val="16"/>
                <w:color w:val="auto"/>
              </w:rPr>
              <w:t>27,688</w:t>
            </w:r>
          </w:p>
        </w:tc>
      </w:tr>
    </w:tbl>
    <w:p>
      <w:pPr>
        <w:spacing w:after="0" w:line="46" w:lineRule="exact"/>
        <w:rPr>
          <w:sz w:val="20"/>
          <w:szCs w:val="20"/>
          <w:color w:val="auto"/>
        </w:rPr>
      </w:pPr>
    </w:p>
    <w:p>
      <w:pPr>
        <w:spacing w:after="0"/>
        <w:tabs>
          <w:tab w:leader="none" w:pos="240" w:val="left"/>
        </w:tabs>
        <w:rPr>
          <w:sz w:val="20"/>
          <w:szCs w:val="20"/>
          <w:color w:val="auto"/>
        </w:rPr>
      </w:pPr>
      <w:r>
        <w:rPr>
          <w:rFonts w:ascii="Arial" w:cs="Arial" w:eastAsia="Arial" w:hAnsi="Arial"/>
          <w:sz w:val="21"/>
          <w:szCs w:val="21"/>
          <w:i w:val="1"/>
          <w:iCs w:val="1"/>
          <w:color w:val="auto"/>
          <w:vertAlign w:val="superscript"/>
        </w:rPr>
        <w:t>(1)</w:t>
      </w:r>
      <w:r>
        <w:rPr>
          <w:sz w:val="20"/>
          <w:szCs w:val="20"/>
          <w:color w:val="auto"/>
        </w:rPr>
        <w:tab/>
      </w:r>
      <w:r>
        <w:rPr>
          <w:rFonts w:ascii="Arial" w:cs="Arial" w:eastAsia="Arial" w:hAnsi="Arial"/>
          <w:sz w:val="14"/>
          <w:szCs w:val="14"/>
          <w:i w:val="1"/>
          <w:iCs w:val="1"/>
          <w:color w:val="auto"/>
        </w:rPr>
        <w:t>Derived from audited financial statements.</w:t>
      </w:r>
    </w:p>
    <w:p>
      <w:pPr>
        <w:spacing w:after="0" w:line="55"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See Notes to Condensed Financial Statements.</w:t>
      </w: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150495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FFFFFF"/>
        </w:rPr>
        <w:t>SOUTHERN CALIFORNIA GAS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-115570</wp:posOffset>
            </wp:positionV>
            <wp:extent cx="7132320" cy="4025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402590"/>
                    </a:xfrm>
                    <a:prstGeom prst="rect">
                      <a:avLst/>
                    </a:prstGeom>
                    <a:noFill/>
                  </pic:spPr>
                </pic:pic>
              </a:graphicData>
            </a:graphic>
          </wp:anchor>
        </w:drawing>
      </w:r>
    </w:p>
    <w:p>
      <w:pPr>
        <w:spacing w:after="0" w:line="19"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FFFFFF"/>
        </w:rPr>
        <w:t>CONDENSED BALANCE SHEETS (CONTINUED)</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4"/>
          <w:szCs w:val="14"/>
          <w:i w:val="1"/>
          <w:iCs w:val="1"/>
          <w:color w:val="FFFFFF"/>
        </w:rPr>
        <w:t>(Dollars in millions)</w:t>
      </w:r>
    </w:p>
    <w:p>
      <w:pPr>
        <w:spacing w:after="0" w:line="5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80" w:type="dxa"/>
            <w:vAlign w:val="bottom"/>
          </w:tcPr>
          <w:p>
            <w:pPr>
              <w:spacing w:after="0"/>
              <w:rPr>
                <w:sz w:val="16"/>
                <w:szCs w:val="16"/>
                <w:color w:val="auto"/>
              </w:rPr>
            </w:pPr>
          </w:p>
        </w:tc>
        <w:tc>
          <w:tcPr>
            <w:tcW w:w="8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40" w:type="dxa"/>
            <w:vAlign w:val="bottom"/>
          </w:tcPr>
          <w:p>
            <w:pPr>
              <w:jc w:val="center"/>
              <w:ind w:right="200"/>
              <w:spacing w:after="0"/>
              <w:rPr>
                <w:sz w:val="20"/>
                <w:szCs w:val="20"/>
                <w:color w:val="auto"/>
              </w:rPr>
            </w:pPr>
            <w:r>
              <w:rPr>
                <w:rFonts w:ascii="Arial" w:cs="Arial" w:eastAsia="Arial" w:hAnsi="Arial"/>
                <w:sz w:val="14"/>
                <w:szCs w:val="14"/>
                <w:color w:val="auto"/>
              </w:rPr>
              <w:t>March 31,</w:t>
            </w:r>
          </w:p>
        </w:tc>
        <w:tc>
          <w:tcPr>
            <w:tcW w:w="240" w:type="dxa"/>
            <w:vAlign w:val="bottom"/>
          </w:tcPr>
          <w:p>
            <w:pPr>
              <w:spacing w:after="0"/>
              <w:rPr>
                <w:sz w:val="16"/>
                <w:szCs w:val="16"/>
                <w:color w:val="auto"/>
              </w:rPr>
            </w:pPr>
          </w:p>
        </w:tc>
        <w:tc>
          <w:tcPr>
            <w:tcW w:w="1240" w:type="dxa"/>
            <w:vAlign w:val="bottom"/>
          </w:tcPr>
          <w:p>
            <w:pPr>
              <w:jc w:val="right"/>
              <w:ind w:right="180"/>
              <w:spacing w:after="0"/>
              <w:rPr>
                <w:sz w:val="20"/>
                <w:szCs w:val="20"/>
                <w:color w:val="auto"/>
              </w:rPr>
            </w:pPr>
            <w:r>
              <w:rPr>
                <w:rFonts w:ascii="Arial" w:cs="Arial" w:eastAsia="Arial" w:hAnsi="Arial"/>
                <w:sz w:val="14"/>
                <w:szCs w:val="14"/>
                <w:color w:val="auto"/>
              </w:rPr>
              <w:t>December 31,</w:t>
            </w:r>
          </w:p>
        </w:tc>
        <w:tc>
          <w:tcPr>
            <w:tcW w:w="0" w:type="dxa"/>
            <w:vAlign w:val="bottom"/>
          </w:tcPr>
          <w:p>
            <w:pPr>
              <w:spacing w:after="0"/>
              <w:rPr>
                <w:sz w:val="1"/>
                <w:szCs w:val="1"/>
                <w:color w:val="auto"/>
              </w:rPr>
            </w:pPr>
          </w:p>
        </w:tc>
      </w:tr>
      <w:tr>
        <w:trPr>
          <w:trHeight w:val="224"/>
        </w:trPr>
        <w:tc>
          <w:tcPr>
            <w:tcW w:w="180" w:type="dxa"/>
            <w:vAlign w:val="bottom"/>
            <w:tcBorders>
              <w:bottom w:val="single" w:sz="8" w:color="auto"/>
            </w:tcBorders>
          </w:tcPr>
          <w:p>
            <w:pPr>
              <w:spacing w:after="0"/>
              <w:rPr>
                <w:sz w:val="19"/>
                <w:szCs w:val="19"/>
                <w:color w:val="auto"/>
              </w:rPr>
            </w:pPr>
          </w:p>
        </w:tc>
        <w:tc>
          <w:tcPr>
            <w:tcW w:w="81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center"/>
              <w:ind w:right="200"/>
              <w:spacing w:after="0"/>
              <w:rPr>
                <w:sz w:val="20"/>
                <w:szCs w:val="20"/>
                <w:color w:val="auto"/>
              </w:rPr>
            </w:pPr>
            <w:r>
              <w:rPr>
                <w:rFonts w:ascii="Arial" w:cs="Arial" w:eastAsia="Arial" w:hAnsi="Arial"/>
                <w:sz w:val="14"/>
                <w:szCs w:val="14"/>
                <w:color w:val="auto"/>
              </w:rPr>
              <w:t>2026</w:t>
            </w:r>
          </w:p>
        </w:tc>
        <w:tc>
          <w:tcPr>
            <w:tcW w:w="2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420"/>
              <w:spacing w:after="0"/>
              <w:rPr>
                <w:sz w:val="20"/>
                <w:szCs w:val="20"/>
                <w:color w:val="auto"/>
              </w:rPr>
            </w:pPr>
            <w:r>
              <w:rPr>
                <w:rFonts w:ascii="Arial" w:cs="Arial" w:eastAsia="Arial" w:hAnsi="Arial"/>
                <w:sz w:val="14"/>
                <w:szCs w:val="14"/>
                <w:color w:val="auto"/>
              </w:rPr>
              <w:t>2025</w:t>
            </w:r>
            <w:r>
              <w:rPr>
                <w:rFonts w:ascii="Arial" w:cs="Arial" w:eastAsia="Arial" w:hAnsi="Arial"/>
                <w:sz w:val="18"/>
                <w:szCs w:val="18"/>
                <w:color w:val="auto"/>
                <w:vertAlign w:val="superscript"/>
              </w:rPr>
              <w:t>(1)</w:t>
            </w:r>
          </w:p>
        </w:tc>
        <w:tc>
          <w:tcPr>
            <w:tcW w:w="0" w:type="dxa"/>
            <w:vAlign w:val="bottom"/>
          </w:tcPr>
          <w:p>
            <w:pPr>
              <w:spacing w:after="0"/>
              <w:rPr>
                <w:sz w:val="1"/>
                <w:szCs w:val="1"/>
                <w:color w:val="auto"/>
              </w:rPr>
            </w:pPr>
          </w:p>
        </w:tc>
      </w:tr>
      <w:tr>
        <w:trPr>
          <w:trHeight w:val="196"/>
        </w:trPr>
        <w:tc>
          <w:tcPr>
            <w:tcW w:w="180" w:type="dxa"/>
            <w:vAlign w:val="bottom"/>
            <w:shd w:val="clear" w:color="auto" w:fill="D4F1F5"/>
          </w:tcPr>
          <w:p>
            <w:pPr>
              <w:spacing w:after="0"/>
              <w:rPr>
                <w:sz w:val="17"/>
                <w:szCs w:val="17"/>
                <w:color w:val="auto"/>
              </w:rPr>
            </w:pPr>
          </w:p>
        </w:tc>
        <w:tc>
          <w:tcPr>
            <w:tcW w:w="8120" w:type="dxa"/>
            <w:vAlign w:val="bottom"/>
            <w:shd w:val="clear" w:color="auto" w:fill="D4F1F5"/>
          </w:tcPr>
          <w:p>
            <w:pPr>
              <w:spacing w:after="0"/>
              <w:rPr>
                <w:sz w:val="17"/>
                <w:szCs w:val="17"/>
                <w:color w:val="auto"/>
              </w:rPr>
            </w:pPr>
          </w:p>
        </w:tc>
        <w:tc>
          <w:tcPr>
            <w:tcW w:w="220" w:type="dxa"/>
            <w:vAlign w:val="bottom"/>
            <w:shd w:val="clear" w:color="auto" w:fill="D4F1F5"/>
          </w:tcPr>
          <w:p>
            <w:pPr>
              <w:spacing w:after="0"/>
              <w:rPr>
                <w:sz w:val="17"/>
                <w:szCs w:val="17"/>
                <w:color w:val="auto"/>
              </w:rPr>
            </w:pPr>
          </w:p>
        </w:tc>
        <w:tc>
          <w:tcPr>
            <w:tcW w:w="1240" w:type="dxa"/>
            <w:vAlign w:val="bottom"/>
            <w:shd w:val="clear" w:color="auto" w:fill="D4F1F5"/>
          </w:tcPr>
          <w:p>
            <w:pPr>
              <w:jc w:val="center"/>
              <w:ind w:right="200"/>
              <w:spacing w:after="0"/>
              <w:rPr>
                <w:sz w:val="20"/>
                <w:szCs w:val="20"/>
                <w:color w:val="auto"/>
              </w:rPr>
            </w:pPr>
            <w:r>
              <w:rPr>
                <w:rFonts w:ascii="Arial" w:cs="Arial" w:eastAsia="Arial" w:hAnsi="Arial"/>
                <w:sz w:val="14"/>
                <w:szCs w:val="14"/>
                <w:color w:val="auto"/>
              </w:rPr>
              <w:t>(unaudited)</w:t>
            </w:r>
          </w:p>
        </w:tc>
        <w:tc>
          <w:tcPr>
            <w:tcW w:w="240" w:type="dxa"/>
            <w:vAlign w:val="bottom"/>
            <w:shd w:val="clear" w:color="auto" w:fill="D4F1F5"/>
          </w:tcPr>
          <w:p>
            <w:pPr>
              <w:spacing w:after="0"/>
              <w:rPr>
                <w:sz w:val="17"/>
                <w:szCs w:val="17"/>
                <w:color w:val="auto"/>
              </w:rPr>
            </w:pPr>
          </w:p>
        </w:tc>
        <w:tc>
          <w:tcPr>
            <w:tcW w:w="1240" w:type="dxa"/>
            <w:vAlign w:val="bottom"/>
            <w:shd w:val="clear" w:color="auto" w:fill="D4F1F5"/>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8300" w:type="dxa"/>
            <w:vAlign w:val="bottom"/>
            <w:gridSpan w:val="2"/>
          </w:tcPr>
          <w:p>
            <w:pPr>
              <w:ind w:left="20"/>
              <w:spacing w:after="0"/>
              <w:rPr>
                <w:sz w:val="20"/>
                <w:szCs w:val="20"/>
                <w:color w:val="auto"/>
              </w:rPr>
            </w:pPr>
            <w:r>
              <w:rPr>
                <w:rFonts w:ascii="Arial" w:cs="Arial" w:eastAsia="Arial" w:hAnsi="Arial"/>
                <w:sz w:val="16"/>
                <w:szCs w:val="16"/>
                <w:color w:val="auto"/>
              </w:rPr>
              <w:t>LIABILITIES AND SHAREHOLDERS’ EQUITY</w:t>
            </w: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8300" w:type="dxa"/>
            <w:vAlign w:val="bottom"/>
            <w:gridSpan w:val="2"/>
            <w:shd w:val="clear" w:color="auto" w:fill="D4F1F5"/>
          </w:tcPr>
          <w:p>
            <w:pPr>
              <w:ind w:left="20"/>
              <w:spacing w:after="0"/>
              <w:rPr>
                <w:sz w:val="20"/>
                <w:szCs w:val="20"/>
                <w:color w:val="auto"/>
              </w:rPr>
            </w:pPr>
            <w:r>
              <w:rPr>
                <w:rFonts w:ascii="Arial" w:cs="Arial" w:eastAsia="Arial" w:hAnsi="Arial"/>
                <w:sz w:val="16"/>
                <w:szCs w:val="16"/>
                <w:color w:val="auto"/>
              </w:rPr>
              <w:t>Current liabilities:</w:t>
            </w:r>
          </w:p>
        </w:tc>
        <w:tc>
          <w:tcPr>
            <w:tcW w:w="220" w:type="dxa"/>
            <w:vAlign w:val="bottom"/>
            <w:shd w:val="clear" w:color="auto" w:fill="D4F1F5"/>
          </w:tcPr>
          <w:p>
            <w:pPr>
              <w:spacing w:after="0"/>
              <w:rPr>
                <w:sz w:val="18"/>
                <w:szCs w:val="18"/>
                <w:color w:val="auto"/>
              </w:rPr>
            </w:pPr>
          </w:p>
        </w:tc>
        <w:tc>
          <w:tcPr>
            <w:tcW w:w="1240" w:type="dxa"/>
            <w:vAlign w:val="bottom"/>
            <w:shd w:val="clear" w:color="auto" w:fill="D4F1F5"/>
          </w:tcPr>
          <w:p>
            <w:pPr>
              <w:spacing w:after="0"/>
              <w:rPr>
                <w:sz w:val="18"/>
                <w:szCs w:val="18"/>
                <w:color w:val="auto"/>
              </w:rPr>
            </w:pPr>
          </w:p>
        </w:tc>
        <w:tc>
          <w:tcPr>
            <w:tcW w:w="240" w:type="dxa"/>
            <w:vAlign w:val="bottom"/>
            <w:shd w:val="clear" w:color="auto" w:fill="D4F1F5"/>
          </w:tcPr>
          <w:p>
            <w:pPr>
              <w:spacing w:after="0"/>
              <w:rPr>
                <w:sz w:val="18"/>
                <w:szCs w:val="18"/>
                <w:color w:val="auto"/>
              </w:rPr>
            </w:pPr>
          </w:p>
        </w:tc>
        <w:tc>
          <w:tcPr>
            <w:tcW w:w="1240" w:type="dxa"/>
            <w:vAlign w:val="bottom"/>
            <w:shd w:val="clear" w:color="auto" w:fill="D4F1F5"/>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80" w:type="dxa"/>
            <w:vAlign w:val="bottom"/>
          </w:tcPr>
          <w:p>
            <w:pPr>
              <w:spacing w:after="0"/>
              <w:rPr>
                <w:sz w:val="18"/>
                <w:szCs w:val="18"/>
                <w:color w:val="auto"/>
              </w:rPr>
            </w:pPr>
          </w:p>
        </w:tc>
        <w:tc>
          <w:tcPr>
            <w:tcW w:w="8120" w:type="dxa"/>
            <w:vAlign w:val="bottom"/>
          </w:tcPr>
          <w:p>
            <w:pPr>
              <w:ind w:left="40"/>
              <w:spacing w:after="0"/>
              <w:rPr>
                <w:sz w:val="20"/>
                <w:szCs w:val="20"/>
                <w:color w:val="auto"/>
              </w:rPr>
            </w:pPr>
            <w:r>
              <w:rPr>
                <w:rFonts w:ascii="Arial" w:cs="Arial" w:eastAsia="Arial" w:hAnsi="Arial"/>
                <w:sz w:val="16"/>
                <w:szCs w:val="16"/>
                <w:color w:val="auto"/>
              </w:rPr>
              <w:t>Short-term debt</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240" w:type="dxa"/>
            <w:vAlign w:val="bottom"/>
          </w:tcPr>
          <w:p>
            <w:pPr>
              <w:jc w:val="right"/>
              <w:ind w:right="40"/>
              <w:spacing w:after="0"/>
              <w:rPr>
                <w:sz w:val="20"/>
                <w:szCs w:val="20"/>
                <w:color w:val="auto"/>
              </w:rPr>
            </w:pPr>
            <w:r>
              <w:rPr>
                <w:rFonts w:ascii="Arial" w:cs="Arial" w:eastAsia="Arial" w:hAnsi="Arial"/>
                <w:sz w:val="16"/>
                <w:szCs w:val="16"/>
                <w:color w:val="auto"/>
              </w:rPr>
              <w:t>499</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903</w:t>
            </w:r>
          </w:p>
        </w:tc>
        <w:tc>
          <w:tcPr>
            <w:tcW w:w="0" w:type="dxa"/>
            <w:vAlign w:val="bottom"/>
          </w:tcPr>
          <w:p>
            <w:pPr>
              <w:spacing w:after="0"/>
              <w:rPr>
                <w:sz w:val="1"/>
                <w:szCs w:val="1"/>
                <w:color w:val="auto"/>
              </w:rPr>
            </w:pPr>
          </w:p>
        </w:tc>
      </w:tr>
      <w:tr>
        <w:trPr>
          <w:trHeight w:val="217"/>
        </w:trPr>
        <w:tc>
          <w:tcPr>
            <w:tcW w:w="180" w:type="dxa"/>
            <w:vAlign w:val="bottom"/>
            <w:shd w:val="clear" w:color="auto" w:fill="D4F1F5"/>
          </w:tcPr>
          <w:p>
            <w:pPr>
              <w:spacing w:after="0"/>
              <w:rPr>
                <w:sz w:val="18"/>
                <w:szCs w:val="18"/>
                <w:color w:val="auto"/>
              </w:rPr>
            </w:pPr>
          </w:p>
        </w:tc>
        <w:tc>
          <w:tcPr>
            <w:tcW w:w="8120" w:type="dxa"/>
            <w:vAlign w:val="bottom"/>
            <w:shd w:val="clear" w:color="auto" w:fill="D4F1F5"/>
          </w:tcPr>
          <w:p>
            <w:pPr>
              <w:ind w:left="40"/>
              <w:spacing w:after="0"/>
              <w:rPr>
                <w:sz w:val="20"/>
                <w:szCs w:val="20"/>
                <w:color w:val="auto"/>
              </w:rPr>
            </w:pPr>
            <w:r>
              <w:rPr>
                <w:rFonts w:ascii="Arial" w:cs="Arial" w:eastAsia="Arial" w:hAnsi="Arial"/>
                <w:sz w:val="16"/>
                <w:szCs w:val="16"/>
                <w:color w:val="auto"/>
              </w:rPr>
              <w:t>Accounts payable – trade</w:t>
            </w:r>
          </w:p>
        </w:tc>
        <w:tc>
          <w:tcPr>
            <w:tcW w:w="220" w:type="dxa"/>
            <w:vAlign w:val="bottom"/>
            <w:shd w:val="clear" w:color="auto" w:fill="D4F1F5"/>
          </w:tcPr>
          <w:p>
            <w:pPr>
              <w:spacing w:after="0"/>
              <w:rPr>
                <w:sz w:val="18"/>
                <w:szCs w:val="18"/>
                <w:color w:val="auto"/>
              </w:rPr>
            </w:pPr>
          </w:p>
        </w:tc>
        <w:tc>
          <w:tcPr>
            <w:tcW w:w="1240" w:type="dxa"/>
            <w:vAlign w:val="bottom"/>
            <w:shd w:val="clear" w:color="auto" w:fill="D4F1F5"/>
          </w:tcPr>
          <w:p>
            <w:pPr>
              <w:jc w:val="right"/>
              <w:ind w:right="40"/>
              <w:spacing w:after="0"/>
              <w:rPr>
                <w:sz w:val="20"/>
                <w:szCs w:val="20"/>
                <w:color w:val="auto"/>
              </w:rPr>
            </w:pPr>
            <w:r>
              <w:rPr>
                <w:rFonts w:ascii="Arial" w:cs="Arial" w:eastAsia="Arial" w:hAnsi="Arial"/>
                <w:sz w:val="16"/>
                <w:szCs w:val="16"/>
                <w:color w:val="auto"/>
              </w:rPr>
              <w:t>473</w:t>
            </w:r>
          </w:p>
        </w:tc>
        <w:tc>
          <w:tcPr>
            <w:tcW w:w="240" w:type="dxa"/>
            <w:vAlign w:val="bottom"/>
            <w:shd w:val="clear" w:color="auto" w:fill="D4F1F5"/>
          </w:tcPr>
          <w:p>
            <w:pPr>
              <w:spacing w:after="0"/>
              <w:rPr>
                <w:sz w:val="18"/>
                <w:szCs w:val="18"/>
                <w:color w:val="auto"/>
              </w:rPr>
            </w:pPr>
          </w:p>
        </w:tc>
        <w:tc>
          <w:tcPr>
            <w:tcW w:w="1240" w:type="dxa"/>
            <w:vAlign w:val="bottom"/>
            <w:shd w:val="clear" w:color="auto" w:fill="D4F1F5"/>
          </w:tcPr>
          <w:p>
            <w:pPr>
              <w:jc w:val="right"/>
              <w:spacing w:after="0"/>
              <w:rPr>
                <w:sz w:val="20"/>
                <w:szCs w:val="20"/>
                <w:color w:val="auto"/>
              </w:rPr>
            </w:pPr>
            <w:r>
              <w:rPr>
                <w:rFonts w:ascii="Arial" w:cs="Arial" w:eastAsia="Arial" w:hAnsi="Arial"/>
                <w:sz w:val="16"/>
                <w:szCs w:val="16"/>
                <w:color w:val="auto"/>
              </w:rPr>
              <w:t>727</w:t>
            </w:r>
          </w:p>
        </w:tc>
        <w:tc>
          <w:tcPr>
            <w:tcW w:w="0" w:type="dxa"/>
            <w:vAlign w:val="bottom"/>
          </w:tcPr>
          <w:p>
            <w:pPr>
              <w:spacing w:after="0"/>
              <w:rPr>
                <w:sz w:val="1"/>
                <w:szCs w:val="1"/>
                <w:color w:val="auto"/>
              </w:rPr>
            </w:pPr>
          </w:p>
        </w:tc>
      </w:tr>
      <w:tr>
        <w:trPr>
          <w:trHeight w:val="215"/>
        </w:trPr>
        <w:tc>
          <w:tcPr>
            <w:tcW w:w="180" w:type="dxa"/>
            <w:vAlign w:val="bottom"/>
          </w:tcPr>
          <w:p>
            <w:pPr>
              <w:spacing w:after="0"/>
              <w:rPr>
                <w:sz w:val="18"/>
                <w:szCs w:val="18"/>
                <w:color w:val="auto"/>
              </w:rPr>
            </w:pPr>
          </w:p>
        </w:tc>
        <w:tc>
          <w:tcPr>
            <w:tcW w:w="8120" w:type="dxa"/>
            <w:vAlign w:val="bottom"/>
          </w:tcPr>
          <w:p>
            <w:pPr>
              <w:ind w:left="40"/>
              <w:spacing w:after="0"/>
              <w:rPr>
                <w:sz w:val="20"/>
                <w:szCs w:val="20"/>
                <w:color w:val="auto"/>
              </w:rPr>
            </w:pPr>
            <w:r>
              <w:rPr>
                <w:rFonts w:ascii="Arial" w:cs="Arial" w:eastAsia="Arial" w:hAnsi="Arial"/>
                <w:sz w:val="16"/>
                <w:szCs w:val="16"/>
                <w:color w:val="auto"/>
              </w:rPr>
              <w:t>Accounts payable – other</w:t>
            </w:r>
          </w:p>
        </w:tc>
        <w:tc>
          <w:tcPr>
            <w:tcW w:w="220" w:type="dxa"/>
            <w:vAlign w:val="bottom"/>
          </w:tcPr>
          <w:p>
            <w:pPr>
              <w:spacing w:after="0"/>
              <w:rPr>
                <w:sz w:val="18"/>
                <w:szCs w:val="18"/>
                <w:color w:val="auto"/>
              </w:rPr>
            </w:pPr>
          </w:p>
        </w:tc>
        <w:tc>
          <w:tcPr>
            <w:tcW w:w="1240" w:type="dxa"/>
            <w:vAlign w:val="bottom"/>
          </w:tcPr>
          <w:p>
            <w:pPr>
              <w:jc w:val="right"/>
              <w:ind w:right="40"/>
              <w:spacing w:after="0"/>
              <w:rPr>
                <w:sz w:val="20"/>
                <w:szCs w:val="20"/>
                <w:color w:val="auto"/>
              </w:rPr>
            </w:pPr>
            <w:r>
              <w:rPr>
                <w:rFonts w:ascii="Arial" w:cs="Arial" w:eastAsia="Arial" w:hAnsi="Arial"/>
                <w:sz w:val="16"/>
                <w:szCs w:val="16"/>
                <w:color w:val="auto"/>
              </w:rPr>
              <w:t>139</w:t>
            </w:r>
          </w:p>
        </w:tc>
        <w:tc>
          <w:tcPr>
            <w:tcW w:w="2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161</w:t>
            </w:r>
          </w:p>
        </w:tc>
        <w:tc>
          <w:tcPr>
            <w:tcW w:w="0" w:type="dxa"/>
            <w:vAlign w:val="bottom"/>
          </w:tcPr>
          <w:p>
            <w:pPr>
              <w:spacing w:after="0"/>
              <w:rPr>
                <w:sz w:val="1"/>
                <w:szCs w:val="1"/>
                <w:color w:val="auto"/>
              </w:rPr>
            </w:pPr>
          </w:p>
        </w:tc>
      </w:tr>
      <w:tr>
        <w:trPr>
          <w:trHeight w:val="217"/>
        </w:trPr>
        <w:tc>
          <w:tcPr>
            <w:tcW w:w="180" w:type="dxa"/>
            <w:vAlign w:val="bottom"/>
            <w:shd w:val="clear" w:color="auto" w:fill="D4F1F5"/>
          </w:tcPr>
          <w:p>
            <w:pPr>
              <w:spacing w:after="0"/>
              <w:rPr>
                <w:sz w:val="18"/>
                <w:szCs w:val="18"/>
                <w:color w:val="auto"/>
              </w:rPr>
            </w:pPr>
          </w:p>
        </w:tc>
        <w:tc>
          <w:tcPr>
            <w:tcW w:w="8120" w:type="dxa"/>
            <w:vAlign w:val="bottom"/>
            <w:shd w:val="clear" w:color="auto" w:fill="D4F1F5"/>
          </w:tcPr>
          <w:p>
            <w:pPr>
              <w:ind w:left="40"/>
              <w:spacing w:after="0"/>
              <w:rPr>
                <w:sz w:val="20"/>
                <w:szCs w:val="20"/>
                <w:color w:val="auto"/>
              </w:rPr>
            </w:pPr>
            <w:r>
              <w:rPr>
                <w:rFonts w:ascii="Arial" w:cs="Arial" w:eastAsia="Arial" w:hAnsi="Arial"/>
                <w:sz w:val="16"/>
                <w:szCs w:val="16"/>
                <w:color w:val="auto"/>
              </w:rPr>
              <w:t>Due to unconsolidated affiliates</w:t>
            </w:r>
          </w:p>
        </w:tc>
        <w:tc>
          <w:tcPr>
            <w:tcW w:w="220" w:type="dxa"/>
            <w:vAlign w:val="bottom"/>
            <w:shd w:val="clear" w:color="auto" w:fill="D4F1F5"/>
          </w:tcPr>
          <w:p>
            <w:pPr>
              <w:spacing w:after="0"/>
              <w:rPr>
                <w:sz w:val="18"/>
                <w:szCs w:val="18"/>
                <w:color w:val="auto"/>
              </w:rPr>
            </w:pPr>
          </w:p>
        </w:tc>
        <w:tc>
          <w:tcPr>
            <w:tcW w:w="1240" w:type="dxa"/>
            <w:vAlign w:val="bottom"/>
            <w:shd w:val="clear" w:color="auto" w:fill="D4F1F5"/>
          </w:tcPr>
          <w:p>
            <w:pPr>
              <w:jc w:val="right"/>
              <w:ind w:right="40"/>
              <w:spacing w:after="0"/>
              <w:rPr>
                <w:sz w:val="20"/>
                <w:szCs w:val="20"/>
                <w:color w:val="auto"/>
              </w:rPr>
            </w:pPr>
            <w:r>
              <w:rPr>
                <w:rFonts w:ascii="Arial" w:cs="Arial" w:eastAsia="Arial" w:hAnsi="Arial"/>
                <w:sz w:val="16"/>
                <w:szCs w:val="16"/>
                <w:color w:val="auto"/>
              </w:rPr>
              <w:t>44</w:t>
            </w:r>
          </w:p>
        </w:tc>
        <w:tc>
          <w:tcPr>
            <w:tcW w:w="240" w:type="dxa"/>
            <w:vAlign w:val="bottom"/>
            <w:shd w:val="clear" w:color="auto" w:fill="D4F1F5"/>
          </w:tcPr>
          <w:p>
            <w:pPr>
              <w:spacing w:after="0"/>
              <w:rPr>
                <w:sz w:val="18"/>
                <w:szCs w:val="18"/>
                <w:color w:val="auto"/>
              </w:rPr>
            </w:pPr>
          </w:p>
        </w:tc>
        <w:tc>
          <w:tcPr>
            <w:tcW w:w="1240" w:type="dxa"/>
            <w:vAlign w:val="bottom"/>
            <w:shd w:val="clear" w:color="auto" w:fill="D4F1F5"/>
          </w:tcPr>
          <w:p>
            <w:pPr>
              <w:jc w:val="right"/>
              <w:spacing w:after="0"/>
              <w:rPr>
                <w:sz w:val="20"/>
                <w:szCs w:val="20"/>
                <w:color w:val="auto"/>
              </w:rPr>
            </w:pPr>
            <w:r>
              <w:rPr>
                <w:rFonts w:ascii="Arial" w:cs="Arial" w:eastAsia="Arial" w:hAnsi="Arial"/>
                <w:sz w:val="16"/>
                <w:szCs w:val="16"/>
                <w:color w:val="auto"/>
              </w:rPr>
              <w:t>35</w:t>
            </w:r>
          </w:p>
        </w:tc>
        <w:tc>
          <w:tcPr>
            <w:tcW w:w="0" w:type="dxa"/>
            <w:vAlign w:val="bottom"/>
          </w:tcPr>
          <w:p>
            <w:pPr>
              <w:spacing w:after="0"/>
              <w:rPr>
                <w:sz w:val="1"/>
                <w:szCs w:val="1"/>
                <w:color w:val="auto"/>
              </w:rPr>
            </w:pPr>
          </w:p>
        </w:tc>
      </w:tr>
      <w:tr>
        <w:trPr>
          <w:trHeight w:val="215"/>
        </w:trPr>
        <w:tc>
          <w:tcPr>
            <w:tcW w:w="180" w:type="dxa"/>
            <w:vAlign w:val="bottom"/>
          </w:tcPr>
          <w:p>
            <w:pPr>
              <w:spacing w:after="0"/>
              <w:rPr>
                <w:sz w:val="18"/>
                <w:szCs w:val="18"/>
                <w:color w:val="auto"/>
              </w:rPr>
            </w:pPr>
          </w:p>
        </w:tc>
        <w:tc>
          <w:tcPr>
            <w:tcW w:w="8120" w:type="dxa"/>
            <w:vAlign w:val="bottom"/>
          </w:tcPr>
          <w:p>
            <w:pPr>
              <w:ind w:left="40"/>
              <w:spacing w:after="0"/>
              <w:rPr>
                <w:sz w:val="20"/>
                <w:szCs w:val="20"/>
                <w:color w:val="auto"/>
              </w:rPr>
            </w:pPr>
            <w:r>
              <w:rPr>
                <w:rFonts w:ascii="Arial" w:cs="Arial" w:eastAsia="Arial" w:hAnsi="Arial"/>
                <w:sz w:val="16"/>
                <w:szCs w:val="16"/>
                <w:color w:val="auto"/>
              </w:rPr>
              <w:t>Accrued compensation and benefits</w:t>
            </w:r>
          </w:p>
        </w:tc>
        <w:tc>
          <w:tcPr>
            <w:tcW w:w="220" w:type="dxa"/>
            <w:vAlign w:val="bottom"/>
          </w:tcPr>
          <w:p>
            <w:pPr>
              <w:spacing w:after="0"/>
              <w:rPr>
                <w:sz w:val="18"/>
                <w:szCs w:val="18"/>
                <w:color w:val="auto"/>
              </w:rPr>
            </w:pPr>
          </w:p>
        </w:tc>
        <w:tc>
          <w:tcPr>
            <w:tcW w:w="1240" w:type="dxa"/>
            <w:vAlign w:val="bottom"/>
          </w:tcPr>
          <w:p>
            <w:pPr>
              <w:jc w:val="right"/>
              <w:ind w:right="40"/>
              <w:spacing w:after="0"/>
              <w:rPr>
                <w:sz w:val="20"/>
                <w:szCs w:val="20"/>
                <w:color w:val="auto"/>
              </w:rPr>
            </w:pPr>
            <w:r>
              <w:rPr>
                <w:rFonts w:ascii="Arial" w:cs="Arial" w:eastAsia="Arial" w:hAnsi="Arial"/>
                <w:sz w:val="16"/>
                <w:szCs w:val="16"/>
                <w:color w:val="auto"/>
              </w:rPr>
              <w:t>155</w:t>
            </w:r>
          </w:p>
        </w:tc>
        <w:tc>
          <w:tcPr>
            <w:tcW w:w="2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219</w:t>
            </w:r>
          </w:p>
        </w:tc>
        <w:tc>
          <w:tcPr>
            <w:tcW w:w="0" w:type="dxa"/>
            <w:vAlign w:val="bottom"/>
          </w:tcPr>
          <w:p>
            <w:pPr>
              <w:spacing w:after="0"/>
              <w:rPr>
                <w:sz w:val="1"/>
                <w:szCs w:val="1"/>
                <w:color w:val="auto"/>
              </w:rPr>
            </w:pPr>
          </w:p>
        </w:tc>
      </w:tr>
      <w:tr>
        <w:trPr>
          <w:trHeight w:val="217"/>
        </w:trPr>
        <w:tc>
          <w:tcPr>
            <w:tcW w:w="180" w:type="dxa"/>
            <w:vAlign w:val="bottom"/>
            <w:shd w:val="clear" w:color="auto" w:fill="D4F1F5"/>
          </w:tcPr>
          <w:p>
            <w:pPr>
              <w:spacing w:after="0"/>
              <w:rPr>
                <w:sz w:val="18"/>
                <w:szCs w:val="18"/>
                <w:color w:val="auto"/>
              </w:rPr>
            </w:pPr>
          </w:p>
        </w:tc>
        <w:tc>
          <w:tcPr>
            <w:tcW w:w="8120" w:type="dxa"/>
            <w:vAlign w:val="bottom"/>
            <w:shd w:val="clear" w:color="auto" w:fill="D4F1F5"/>
          </w:tcPr>
          <w:p>
            <w:pPr>
              <w:ind w:left="40"/>
              <w:spacing w:after="0"/>
              <w:rPr>
                <w:sz w:val="20"/>
                <w:szCs w:val="20"/>
                <w:color w:val="auto"/>
              </w:rPr>
            </w:pPr>
            <w:r>
              <w:rPr>
                <w:rFonts w:ascii="Arial" w:cs="Arial" w:eastAsia="Arial" w:hAnsi="Arial"/>
                <w:sz w:val="16"/>
                <w:szCs w:val="16"/>
                <w:color w:val="auto"/>
              </w:rPr>
              <w:t>Current portion of long-term debt and finance leases</w:t>
            </w:r>
          </w:p>
        </w:tc>
        <w:tc>
          <w:tcPr>
            <w:tcW w:w="220" w:type="dxa"/>
            <w:vAlign w:val="bottom"/>
            <w:shd w:val="clear" w:color="auto" w:fill="D4F1F5"/>
          </w:tcPr>
          <w:p>
            <w:pPr>
              <w:spacing w:after="0"/>
              <w:rPr>
                <w:sz w:val="18"/>
                <w:szCs w:val="18"/>
                <w:color w:val="auto"/>
              </w:rPr>
            </w:pPr>
          </w:p>
        </w:tc>
        <w:tc>
          <w:tcPr>
            <w:tcW w:w="1240" w:type="dxa"/>
            <w:vAlign w:val="bottom"/>
            <w:shd w:val="clear" w:color="auto" w:fill="D4F1F5"/>
          </w:tcPr>
          <w:p>
            <w:pPr>
              <w:jc w:val="right"/>
              <w:ind w:right="40"/>
              <w:spacing w:after="0"/>
              <w:rPr>
                <w:sz w:val="20"/>
                <w:szCs w:val="20"/>
                <w:color w:val="auto"/>
              </w:rPr>
            </w:pPr>
            <w:r>
              <w:rPr>
                <w:rFonts w:ascii="Arial" w:cs="Arial" w:eastAsia="Arial" w:hAnsi="Arial"/>
                <w:sz w:val="16"/>
                <w:szCs w:val="16"/>
                <w:color w:val="auto"/>
              </w:rPr>
              <w:t>529</w:t>
            </w:r>
          </w:p>
        </w:tc>
        <w:tc>
          <w:tcPr>
            <w:tcW w:w="240" w:type="dxa"/>
            <w:vAlign w:val="bottom"/>
            <w:shd w:val="clear" w:color="auto" w:fill="D4F1F5"/>
          </w:tcPr>
          <w:p>
            <w:pPr>
              <w:spacing w:after="0"/>
              <w:rPr>
                <w:sz w:val="18"/>
                <w:szCs w:val="18"/>
                <w:color w:val="auto"/>
              </w:rPr>
            </w:pPr>
          </w:p>
        </w:tc>
        <w:tc>
          <w:tcPr>
            <w:tcW w:w="1240" w:type="dxa"/>
            <w:vAlign w:val="bottom"/>
            <w:shd w:val="clear" w:color="auto" w:fill="D4F1F5"/>
          </w:tcPr>
          <w:p>
            <w:pPr>
              <w:jc w:val="right"/>
              <w:spacing w:after="0"/>
              <w:rPr>
                <w:sz w:val="20"/>
                <w:szCs w:val="20"/>
                <w:color w:val="auto"/>
              </w:rPr>
            </w:pPr>
            <w:r>
              <w:rPr>
                <w:rFonts w:ascii="Arial" w:cs="Arial" w:eastAsia="Arial" w:hAnsi="Arial"/>
                <w:sz w:val="16"/>
                <w:szCs w:val="16"/>
                <w:color w:val="auto"/>
              </w:rPr>
              <w:t>529</w:t>
            </w:r>
          </w:p>
        </w:tc>
        <w:tc>
          <w:tcPr>
            <w:tcW w:w="0" w:type="dxa"/>
            <w:vAlign w:val="bottom"/>
          </w:tcPr>
          <w:p>
            <w:pPr>
              <w:spacing w:after="0"/>
              <w:rPr>
                <w:sz w:val="1"/>
                <w:szCs w:val="1"/>
                <w:color w:val="auto"/>
              </w:rPr>
            </w:pPr>
          </w:p>
        </w:tc>
      </w:tr>
      <w:tr>
        <w:trPr>
          <w:trHeight w:val="215"/>
        </w:trPr>
        <w:tc>
          <w:tcPr>
            <w:tcW w:w="180" w:type="dxa"/>
            <w:vAlign w:val="bottom"/>
          </w:tcPr>
          <w:p>
            <w:pPr>
              <w:spacing w:after="0"/>
              <w:rPr>
                <w:sz w:val="18"/>
                <w:szCs w:val="18"/>
                <w:color w:val="auto"/>
              </w:rPr>
            </w:pPr>
          </w:p>
        </w:tc>
        <w:tc>
          <w:tcPr>
            <w:tcW w:w="8120" w:type="dxa"/>
            <w:vAlign w:val="bottom"/>
          </w:tcPr>
          <w:p>
            <w:pPr>
              <w:ind w:left="40"/>
              <w:spacing w:after="0"/>
              <w:rPr>
                <w:sz w:val="20"/>
                <w:szCs w:val="20"/>
                <w:color w:val="auto"/>
              </w:rPr>
            </w:pPr>
            <w:r>
              <w:rPr>
                <w:rFonts w:ascii="Arial" w:cs="Arial" w:eastAsia="Arial" w:hAnsi="Arial"/>
                <w:sz w:val="16"/>
                <w:szCs w:val="16"/>
                <w:color w:val="auto"/>
              </w:rPr>
              <w:t>Greenhouse gas obligations</w:t>
            </w:r>
          </w:p>
        </w:tc>
        <w:tc>
          <w:tcPr>
            <w:tcW w:w="220" w:type="dxa"/>
            <w:vAlign w:val="bottom"/>
          </w:tcPr>
          <w:p>
            <w:pPr>
              <w:spacing w:after="0"/>
              <w:rPr>
                <w:sz w:val="18"/>
                <w:szCs w:val="18"/>
                <w:color w:val="auto"/>
              </w:rPr>
            </w:pPr>
          </w:p>
        </w:tc>
        <w:tc>
          <w:tcPr>
            <w:tcW w:w="1240" w:type="dxa"/>
            <w:vAlign w:val="bottom"/>
          </w:tcPr>
          <w:p>
            <w:pPr>
              <w:jc w:val="right"/>
              <w:ind w:right="40"/>
              <w:spacing w:after="0"/>
              <w:rPr>
                <w:sz w:val="20"/>
                <w:szCs w:val="20"/>
                <w:color w:val="auto"/>
              </w:rPr>
            </w:pPr>
            <w:r>
              <w:rPr>
                <w:rFonts w:ascii="Arial" w:cs="Arial" w:eastAsia="Arial" w:hAnsi="Arial"/>
                <w:sz w:val="16"/>
                <w:szCs w:val="16"/>
                <w:color w:val="auto"/>
              </w:rPr>
              <w:t>175</w:t>
            </w:r>
          </w:p>
        </w:tc>
        <w:tc>
          <w:tcPr>
            <w:tcW w:w="2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175</w:t>
            </w:r>
          </w:p>
        </w:tc>
        <w:tc>
          <w:tcPr>
            <w:tcW w:w="0" w:type="dxa"/>
            <w:vAlign w:val="bottom"/>
          </w:tcPr>
          <w:p>
            <w:pPr>
              <w:spacing w:after="0"/>
              <w:rPr>
                <w:sz w:val="1"/>
                <w:szCs w:val="1"/>
                <w:color w:val="auto"/>
              </w:rPr>
            </w:pPr>
          </w:p>
        </w:tc>
      </w:tr>
      <w:tr>
        <w:trPr>
          <w:trHeight w:val="217"/>
        </w:trPr>
        <w:tc>
          <w:tcPr>
            <w:tcW w:w="180" w:type="dxa"/>
            <w:vAlign w:val="bottom"/>
            <w:shd w:val="clear" w:color="auto" w:fill="D4F1F5"/>
          </w:tcPr>
          <w:p>
            <w:pPr>
              <w:spacing w:after="0"/>
              <w:rPr>
                <w:sz w:val="18"/>
                <w:szCs w:val="18"/>
                <w:color w:val="auto"/>
              </w:rPr>
            </w:pPr>
          </w:p>
        </w:tc>
        <w:tc>
          <w:tcPr>
            <w:tcW w:w="8120" w:type="dxa"/>
            <w:vAlign w:val="bottom"/>
            <w:shd w:val="clear" w:color="auto" w:fill="D4F1F5"/>
          </w:tcPr>
          <w:p>
            <w:pPr>
              <w:ind w:left="40"/>
              <w:spacing w:after="0"/>
              <w:rPr>
                <w:sz w:val="20"/>
                <w:szCs w:val="20"/>
                <w:color w:val="auto"/>
              </w:rPr>
            </w:pPr>
            <w:r>
              <w:rPr>
                <w:rFonts w:ascii="Arial" w:cs="Arial" w:eastAsia="Arial" w:hAnsi="Arial"/>
                <w:sz w:val="16"/>
                <w:szCs w:val="16"/>
                <w:color w:val="auto"/>
              </w:rPr>
              <w:t>Asset retirement obligations</w:t>
            </w:r>
          </w:p>
        </w:tc>
        <w:tc>
          <w:tcPr>
            <w:tcW w:w="220" w:type="dxa"/>
            <w:vAlign w:val="bottom"/>
            <w:shd w:val="clear" w:color="auto" w:fill="D4F1F5"/>
          </w:tcPr>
          <w:p>
            <w:pPr>
              <w:spacing w:after="0"/>
              <w:rPr>
                <w:sz w:val="18"/>
                <w:szCs w:val="18"/>
                <w:color w:val="auto"/>
              </w:rPr>
            </w:pPr>
          </w:p>
        </w:tc>
        <w:tc>
          <w:tcPr>
            <w:tcW w:w="1240" w:type="dxa"/>
            <w:vAlign w:val="bottom"/>
            <w:shd w:val="clear" w:color="auto" w:fill="D4F1F5"/>
          </w:tcPr>
          <w:p>
            <w:pPr>
              <w:jc w:val="right"/>
              <w:ind w:right="40"/>
              <w:spacing w:after="0"/>
              <w:rPr>
                <w:sz w:val="20"/>
                <w:szCs w:val="20"/>
                <w:color w:val="auto"/>
              </w:rPr>
            </w:pPr>
            <w:r>
              <w:rPr>
                <w:rFonts w:ascii="Arial" w:cs="Arial" w:eastAsia="Arial" w:hAnsi="Arial"/>
                <w:sz w:val="16"/>
                <w:szCs w:val="16"/>
                <w:color w:val="auto"/>
              </w:rPr>
              <w:t>96</w:t>
            </w:r>
          </w:p>
        </w:tc>
        <w:tc>
          <w:tcPr>
            <w:tcW w:w="240" w:type="dxa"/>
            <w:vAlign w:val="bottom"/>
            <w:shd w:val="clear" w:color="auto" w:fill="D4F1F5"/>
          </w:tcPr>
          <w:p>
            <w:pPr>
              <w:spacing w:after="0"/>
              <w:rPr>
                <w:sz w:val="18"/>
                <w:szCs w:val="18"/>
                <w:color w:val="auto"/>
              </w:rPr>
            </w:pPr>
          </w:p>
        </w:tc>
        <w:tc>
          <w:tcPr>
            <w:tcW w:w="1240" w:type="dxa"/>
            <w:vAlign w:val="bottom"/>
            <w:shd w:val="clear" w:color="auto" w:fill="D4F1F5"/>
          </w:tcPr>
          <w:p>
            <w:pPr>
              <w:jc w:val="right"/>
              <w:spacing w:after="0"/>
              <w:rPr>
                <w:sz w:val="20"/>
                <w:szCs w:val="20"/>
                <w:color w:val="auto"/>
              </w:rPr>
            </w:pPr>
            <w:r>
              <w:rPr>
                <w:rFonts w:ascii="Arial" w:cs="Arial" w:eastAsia="Arial" w:hAnsi="Arial"/>
                <w:sz w:val="16"/>
                <w:szCs w:val="16"/>
                <w:color w:val="auto"/>
              </w:rPr>
              <w:t>98</w:t>
            </w:r>
          </w:p>
        </w:tc>
        <w:tc>
          <w:tcPr>
            <w:tcW w:w="0" w:type="dxa"/>
            <w:vAlign w:val="bottom"/>
          </w:tcPr>
          <w:p>
            <w:pPr>
              <w:spacing w:after="0"/>
              <w:rPr>
                <w:sz w:val="1"/>
                <w:szCs w:val="1"/>
                <w:color w:val="auto"/>
              </w:rPr>
            </w:pPr>
          </w:p>
        </w:tc>
      </w:tr>
      <w:tr>
        <w:trPr>
          <w:trHeight w:val="215"/>
        </w:trPr>
        <w:tc>
          <w:tcPr>
            <w:tcW w:w="180" w:type="dxa"/>
            <w:vAlign w:val="bottom"/>
            <w:tcBorders>
              <w:bottom w:val="single" w:sz="8" w:color="D4F1F5"/>
            </w:tcBorders>
          </w:tcPr>
          <w:p>
            <w:pPr>
              <w:spacing w:after="0"/>
              <w:rPr>
                <w:sz w:val="18"/>
                <w:szCs w:val="18"/>
                <w:color w:val="auto"/>
              </w:rPr>
            </w:pPr>
          </w:p>
        </w:tc>
        <w:tc>
          <w:tcPr>
            <w:tcW w:w="8120" w:type="dxa"/>
            <w:vAlign w:val="bottom"/>
            <w:tcBorders>
              <w:bottom w:val="single" w:sz="8" w:color="D4F1F5"/>
            </w:tcBorders>
          </w:tcPr>
          <w:p>
            <w:pPr>
              <w:ind w:left="40"/>
              <w:spacing w:after="0"/>
              <w:rPr>
                <w:sz w:val="20"/>
                <w:szCs w:val="20"/>
                <w:color w:val="auto"/>
              </w:rPr>
            </w:pPr>
            <w:r>
              <w:rPr>
                <w:rFonts w:ascii="Arial" w:cs="Arial" w:eastAsia="Arial" w:hAnsi="Arial"/>
                <w:sz w:val="16"/>
                <w:szCs w:val="16"/>
                <w:color w:val="auto"/>
              </w:rPr>
              <w:t>Other current liabilities</w:t>
            </w:r>
          </w:p>
        </w:tc>
        <w:tc>
          <w:tcPr>
            <w:tcW w:w="2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434</w:t>
            </w:r>
          </w:p>
        </w:tc>
        <w:tc>
          <w:tcPr>
            <w:tcW w:w="2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536</w:t>
            </w:r>
          </w:p>
        </w:tc>
        <w:tc>
          <w:tcPr>
            <w:tcW w:w="0" w:type="dxa"/>
            <w:vAlign w:val="bottom"/>
          </w:tcPr>
          <w:p>
            <w:pPr>
              <w:spacing w:after="0"/>
              <w:rPr>
                <w:sz w:val="1"/>
                <w:szCs w:val="1"/>
                <w:color w:val="auto"/>
              </w:rPr>
            </w:pPr>
          </w:p>
        </w:tc>
      </w:tr>
      <w:tr>
        <w:trPr>
          <w:trHeight w:val="209"/>
        </w:trPr>
        <w:tc>
          <w:tcPr>
            <w:tcW w:w="180" w:type="dxa"/>
            <w:vAlign w:val="bottom"/>
            <w:shd w:val="clear" w:color="auto" w:fill="D4F1F5"/>
          </w:tcPr>
          <w:p>
            <w:pPr>
              <w:spacing w:after="0"/>
              <w:rPr>
                <w:sz w:val="18"/>
                <w:szCs w:val="18"/>
                <w:color w:val="auto"/>
              </w:rPr>
            </w:pPr>
          </w:p>
        </w:tc>
        <w:tc>
          <w:tcPr>
            <w:tcW w:w="8120" w:type="dxa"/>
            <w:vAlign w:val="bottom"/>
            <w:shd w:val="clear" w:color="auto" w:fill="D4F1F5"/>
          </w:tcPr>
          <w:p>
            <w:pPr>
              <w:ind w:left="300"/>
              <w:spacing w:after="0"/>
              <w:rPr>
                <w:sz w:val="20"/>
                <w:szCs w:val="20"/>
                <w:color w:val="auto"/>
              </w:rPr>
            </w:pPr>
            <w:r>
              <w:rPr>
                <w:rFonts w:ascii="Arial" w:cs="Arial" w:eastAsia="Arial" w:hAnsi="Arial"/>
                <w:sz w:val="16"/>
                <w:szCs w:val="16"/>
                <w:color w:val="auto"/>
              </w:rPr>
              <w:t>Total current liabilities</w:t>
            </w:r>
          </w:p>
        </w:tc>
        <w:tc>
          <w:tcPr>
            <w:tcW w:w="220" w:type="dxa"/>
            <w:vAlign w:val="bottom"/>
            <w:tcBorders>
              <w:bottom w:val="single" w:sz="8" w:color="auto"/>
            </w:tcBorders>
            <w:shd w:val="clear" w:color="auto" w:fill="D4F1F5"/>
          </w:tcPr>
          <w:p>
            <w:pPr>
              <w:spacing w:after="0"/>
              <w:rPr>
                <w:sz w:val="18"/>
                <w:szCs w:val="18"/>
                <w:color w:val="auto"/>
              </w:rPr>
            </w:pPr>
          </w:p>
        </w:tc>
        <w:tc>
          <w:tcPr>
            <w:tcW w:w="1240" w:type="dxa"/>
            <w:vAlign w:val="bottom"/>
            <w:tcBorders>
              <w:bottom w:val="single" w:sz="8" w:color="auto"/>
            </w:tcBorders>
            <w:shd w:val="clear" w:color="auto" w:fill="D4F1F5"/>
          </w:tcPr>
          <w:p>
            <w:pPr>
              <w:jc w:val="right"/>
              <w:ind w:right="40"/>
              <w:spacing w:after="0"/>
              <w:rPr>
                <w:sz w:val="20"/>
                <w:szCs w:val="20"/>
                <w:color w:val="auto"/>
              </w:rPr>
            </w:pPr>
            <w:r>
              <w:rPr>
                <w:rFonts w:ascii="Arial" w:cs="Arial" w:eastAsia="Arial" w:hAnsi="Arial"/>
                <w:sz w:val="16"/>
                <w:szCs w:val="16"/>
                <w:color w:val="auto"/>
              </w:rPr>
              <w:t>2,544</w:t>
            </w:r>
          </w:p>
        </w:tc>
        <w:tc>
          <w:tcPr>
            <w:tcW w:w="240" w:type="dxa"/>
            <w:vAlign w:val="bottom"/>
            <w:tcBorders>
              <w:bottom w:val="single" w:sz="8" w:color="auto"/>
            </w:tcBorders>
            <w:shd w:val="clear" w:color="auto" w:fill="D4F1F5"/>
          </w:tcPr>
          <w:p>
            <w:pPr>
              <w:spacing w:after="0"/>
              <w:rPr>
                <w:sz w:val="18"/>
                <w:szCs w:val="18"/>
                <w:color w:val="auto"/>
              </w:rPr>
            </w:pPr>
          </w:p>
        </w:tc>
        <w:tc>
          <w:tcPr>
            <w:tcW w:w="1240" w:type="dxa"/>
            <w:vAlign w:val="bottom"/>
            <w:tcBorders>
              <w:bottom w:val="single" w:sz="8" w:color="auto"/>
            </w:tcBorders>
            <w:shd w:val="clear" w:color="auto" w:fill="D4F1F5"/>
          </w:tcPr>
          <w:p>
            <w:pPr>
              <w:jc w:val="right"/>
              <w:spacing w:after="0"/>
              <w:rPr>
                <w:sz w:val="20"/>
                <w:szCs w:val="20"/>
                <w:color w:val="auto"/>
              </w:rPr>
            </w:pPr>
            <w:r>
              <w:rPr>
                <w:rFonts w:ascii="Arial" w:cs="Arial" w:eastAsia="Arial" w:hAnsi="Arial"/>
                <w:sz w:val="16"/>
                <w:szCs w:val="16"/>
                <w:color w:val="auto"/>
              </w:rPr>
              <w:t>3,383</w:t>
            </w:r>
          </w:p>
        </w:tc>
        <w:tc>
          <w:tcPr>
            <w:tcW w:w="0" w:type="dxa"/>
            <w:vAlign w:val="bottom"/>
          </w:tcPr>
          <w:p>
            <w:pPr>
              <w:spacing w:after="0"/>
              <w:rPr>
                <w:sz w:val="1"/>
                <w:szCs w:val="1"/>
                <w:color w:val="auto"/>
              </w:rPr>
            </w:pPr>
          </w:p>
        </w:tc>
      </w:tr>
      <w:tr>
        <w:trPr>
          <w:trHeight w:val="197"/>
        </w:trPr>
        <w:tc>
          <w:tcPr>
            <w:tcW w:w="180" w:type="dxa"/>
            <w:vAlign w:val="bottom"/>
          </w:tcPr>
          <w:p>
            <w:pPr>
              <w:spacing w:after="0"/>
              <w:rPr>
                <w:sz w:val="17"/>
                <w:szCs w:val="17"/>
                <w:color w:val="auto"/>
              </w:rPr>
            </w:pPr>
          </w:p>
        </w:tc>
        <w:tc>
          <w:tcPr>
            <w:tcW w:w="8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8300" w:type="dxa"/>
            <w:vAlign w:val="bottom"/>
            <w:gridSpan w:val="2"/>
            <w:shd w:val="clear" w:color="auto" w:fill="D4F1F5"/>
          </w:tcPr>
          <w:p>
            <w:pPr>
              <w:ind w:left="20"/>
              <w:spacing w:after="0"/>
              <w:rPr>
                <w:sz w:val="20"/>
                <w:szCs w:val="20"/>
                <w:color w:val="auto"/>
              </w:rPr>
            </w:pPr>
            <w:r>
              <w:rPr>
                <w:rFonts w:ascii="Arial" w:cs="Arial" w:eastAsia="Arial" w:hAnsi="Arial"/>
                <w:sz w:val="16"/>
                <w:szCs w:val="16"/>
                <w:color w:val="auto"/>
              </w:rPr>
              <w:t>Long-term debt and finance leases</w:t>
            </w:r>
          </w:p>
        </w:tc>
        <w:tc>
          <w:tcPr>
            <w:tcW w:w="220" w:type="dxa"/>
            <w:vAlign w:val="bottom"/>
            <w:tcBorders>
              <w:bottom w:val="single" w:sz="8" w:color="auto"/>
            </w:tcBorders>
            <w:shd w:val="clear" w:color="auto" w:fill="D4F1F5"/>
          </w:tcPr>
          <w:p>
            <w:pPr>
              <w:spacing w:after="0"/>
              <w:rPr>
                <w:sz w:val="18"/>
                <w:szCs w:val="18"/>
                <w:color w:val="auto"/>
              </w:rPr>
            </w:pPr>
          </w:p>
        </w:tc>
        <w:tc>
          <w:tcPr>
            <w:tcW w:w="1240" w:type="dxa"/>
            <w:vAlign w:val="bottom"/>
            <w:tcBorders>
              <w:bottom w:val="single" w:sz="8" w:color="auto"/>
            </w:tcBorders>
            <w:shd w:val="clear" w:color="auto" w:fill="D4F1F5"/>
          </w:tcPr>
          <w:p>
            <w:pPr>
              <w:jc w:val="right"/>
              <w:ind w:right="40"/>
              <w:spacing w:after="0"/>
              <w:rPr>
                <w:sz w:val="20"/>
                <w:szCs w:val="20"/>
                <w:color w:val="auto"/>
              </w:rPr>
            </w:pPr>
            <w:r>
              <w:rPr>
                <w:rFonts w:ascii="Arial" w:cs="Arial" w:eastAsia="Arial" w:hAnsi="Arial"/>
                <w:sz w:val="16"/>
                <w:szCs w:val="16"/>
                <w:color w:val="auto"/>
              </w:rPr>
              <w:t>7,615</w:t>
            </w:r>
          </w:p>
        </w:tc>
        <w:tc>
          <w:tcPr>
            <w:tcW w:w="240" w:type="dxa"/>
            <w:vAlign w:val="bottom"/>
            <w:tcBorders>
              <w:bottom w:val="single" w:sz="8" w:color="auto"/>
            </w:tcBorders>
            <w:shd w:val="clear" w:color="auto" w:fill="D4F1F5"/>
          </w:tcPr>
          <w:p>
            <w:pPr>
              <w:spacing w:after="0"/>
              <w:rPr>
                <w:sz w:val="18"/>
                <w:szCs w:val="18"/>
                <w:color w:val="auto"/>
              </w:rPr>
            </w:pPr>
          </w:p>
        </w:tc>
        <w:tc>
          <w:tcPr>
            <w:tcW w:w="1240" w:type="dxa"/>
            <w:vAlign w:val="bottom"/>
            <w:tcBorders>
              <w:bottom w:val="single" w:sz="8" w:color="auto"/>
            </w:tcBorders>
            <w:shd w:val="clear" w:color="auto" w:fill="D4F1F5"/>
          </w:tcPr>
          <w:p>
            <w:pPr>
              <w:jc w:val="right"/>
              <w:spacing w:after="0"/>
              <w:rPr>
                <w:sz w:val="20"/>
                <w:szCs w:val="20"/>
                <w:color w:val="auto"/>
              </w:rPr>
            </w:pPr>
            <w:r>
              <w:rPr>
                <w:rFonts w:ascii="Arial" w:cs="Arial" w:eastAsia="Arial" w:hAnsi="Arial"/>
                <w:sz w:val="16"/>
                <w:szCs w:val="16"/>
                <w:color w:val="auto"/>
              </w:rPr>
              <w:t>7,619</w:t>
            </w:r>
          </w:p>
        </w:tc>
        <w:tc>
          <w:tcPr>
            <w:tcW w:w="0" w:type="dxa"/>
            <w:vAlign w:val="bottom"/>
          </w:tcPr>
          <w:p>
            <w:pPr>
              <w:spacing w:after="0"/>
              <w:rPr>
                <w:sz w:val="1"/>
                <w:szCs w:val="1"/>
                <w:color w:val="auto"/>
              </w:rPr>
            </w:pPr>
          </w:p>
        </w:tc>
      </w:tr>
      <w:tr>
        <w:trPr>
          <w:trHeight w:val="197"/>
        </w:trPr>
        <w:tc>
          <w:tcPr>
            <w:tcW w:w="180" w:type="dxa"/>
            <w:vAlign w:val="bottom"/>
          </w:tcPr>
          <w:p>
            <w:pPr>
              <w:spacing w:after="0"/>
              <w:rPr>
                <w:sz w:val="17"/>
                <w:szCs w:val="17"/>
                <w:color w:val="auto"/>
              </w:rPr>
            </w:pPr>
          </w:p>
        </w:tc>
        <w:tc>
          <w:tcPr>
            <w:tcW w:w="8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300" w:type="dxa"/>
            <w:vAlign w:val="bottom"/>
            <w:gridSpan w:val="2"/>
            <w:shd w:val="clear" w:color="auto" w:fill="D4F1F5"/>
          </w:tcPr>
          <w:p>
            <w:pPr>
              <w:ind w:left="20"/>
              <w:spacing w:after="0"/>
              <w:rPr>
                <w:sz w:val="20"/>
                <w:szCs w:val="20"/>
                <w:color w:val="auto"/>
              </w:rPr>
            </w:pPr>
            <w:r>
              <w:rPr>
                <w:rFonts w:ascii="Arial" w:cs="Arial" w:eastAsia="Arial" w:hAnsi="Arial"/>
                <w:sz w:val="16"/>
                <w:szCs w:val="16"/>
                <w:color w:val="auto"/>
              </w:rPr>
              <w:t>Deferred credits and other liabilities:</w:t>
            </w:r>
          </w:p>
        </w:tc>
        <w:tc>
          <w:tcPr>
            <w:tcW w:w="220" w:type="dxa"/>
            <w:vAlign w:val="bottom"/>
            <w:shd w:val="clear" w:color="auto" w:fill="D4F1F5"/>
          </w:tcPr>
          <w:p>
            <w:pPr>
              <w:spacing w:after="0"/>
              <w:rPr>
                <w:sz w:val="18"/>
                <w:szCs w:val="18"/>
                <w:color w:val="auto"/>
              </w:rPr>
            </w:pPr>
          </w:p>
        </w:tc>
        <w:tc>
          <w:tcPr>
            <w:tcW w:w="1240" w:type="dxa"/>
            <w:vAlign w:val="bottom"/>
            <w:shd w:val="clear" w:color="auto" w:fill="D4F1F5"/>
          </w:tcPr>
          <w:p>
            <w:pPr>
              <w:spacing w:after="0"/>
              <w:rPr>
                <w:sz w:val="18"/>
                <w:szCs w:val="18"/>
                <w:color w:val="auto"/>
              </w:rPr>
            </w:pPr>
          </w:p>
        </w:tc>
        <w:tc>
          <w:tcPr>
            <w:tcW w:w="240" w:type="dxa"/>
            <w:vAlign w:val="bottom"/>
            <w:shd w:val="clear" w:color="auto" w:fill="D4F1F5"/>
          </w:tcPr>
          <w:p>
            <w:pPr>
              <w:spacing w:after="0"/>
              <w:rPr>
                <w:sz w:val="18"/>
                <w:szCs w:val="18"/>
                <w:color w:val="auto"/>
              </w:rPr>
            </w:pPr>
          </w:p>
        </w:tc>
        <w:tc>
          <w:tcPr>
            <w:tcW w:w="1240" w:type="dxa"/>
            <w:vAlign w:val="bottom"/>
            <w:shd w:val="clear" w:color="auto" w:fill="D4F1F5"/>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80" w:type="dxa"/>
            <w:vAlign w:val="bottom"/>
          </w:tcPr>
          <w:p>
            <w:pPr>
              <w:spacing w:after="0"/>
              <w:rPr>
                <w:sz w:val="18"/>
                <w:szCs w:val="18"/>
                <w:color w:val="auto"/>
              </w:rPr>
            </w:pPr>
          </w:p>
        </w:tc>
        <w:tc>
          <w:tcPr>
            <w:tcW w:w="8120" w:type="dxa"/>
            <w:vAlign w:val="bottom"/>
          </w:tcPr>
          <w:p>
            <w:pPr>
              <w:ind w:left="40"/>
              <w:spacing w:after="0"/>
              <w:rPr>
                <w:sz w:val="20"/>
                <w:szCs w:val="20"/>
                <w:color w:val="auto"/>
              </w:rPr>
            </w:pPr>
            <w:r>
              <w:rPr>
                <w:rFonts w:ascii="Arial" w:cs="Arial" w:eastAsia="Arial" w:hAnsi="Arial"/>
                <w:sz w:val="16"/>
                <w:szCs w:val="16"/>
                <w:color w:val="auto"/>
              </w:rPr>
              <w:t>Regulatory liabilities</w:t>
            </w:r>
          </w:p>
        </w:tc>
        <w:tc>
          <w:tcPr>
            <w:tcW w:w="220" w:type="dxa"/>
            <w:vAlign w:val="bottom"/>
          </w:tcPr>
          <w:p>
            <w:pPr>
              <w:spacing w:after="0"/>
              <w:rPr>
                <w:sz w:val="18"/>
                <w:szCs w:val="18"/>
                <w:color w:val="auto"/>
              </w:rPr>
            </w:pPr>
          </w:p>
        </w:tc>
        <w:tc>
          <w:tcPr>
            <w:tcW w:w="1240" w:type="dxa"/>
            <w:vAlign w:val="bottom"/>
          </w:tcPr>
          <w:p>
            <w:pPr>
              <w:jc w:val="right"/>
              <w:ind w:right="40"/>
              <w:spacing w:after="0"/>
              <w:rPr>
                <w:sz w:val="20"/>
                <w:szCs w:val="20"/>
                <w:color w:val="auto"/>
              </w:rPr>
            </w:pPr>
            <w:r>
              <w:rPr>
                <w:rFonts w:ascii="Arial" w:cs="Arial" w:eastAsia="Arial" w:hAnsi="Arial"/>
                <w:sz w:val="16"/>
                <w:szCs w:val="16"/>
                <w:color w:val="auto"/>
              </w:rPr>
              <w:t>1,300</w:t>
            </w:r>
          </w:p>
        </w:tc>
        <w:tc>
          <w:tcPr>
            <w:tcW w:w="2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1,290</w:t>
            </w:r>
          </w:p>
        </w:tc>
        <w:tc>
          <w:tcPr>
            <w:tcW w:w="0" w:type="dxa"/>
            <w:vAlign w:val="bottom"/>
          </w:tcPr>
          <w:p>
            <w:pPr>
              <w:spacing w:after="0"/>
              <w:rPr>
                <w:sz w:val="1"/>
                <w:szCs w:val="1"/>
                <w:color w:val="auto"/>
              </w:rPr>
            </w:pPr>
          </w:p>
        </w:tc>
      </w:tr>
      <w:tr>
        <w:trPr>
          <w:trHeight w:val="217"/>
        </w:trPr>
        <w:tc>
          <w:tcPr>
            <w:tcW w:w="180" w:type="dxa"/>
            <w:vAlign w:val="bottom"/>
            <w:shd w:val="clear" w:color="auto" w:fill="D4F1F5"/>
          </w:tcPr>
          <w:p>
            <w:pPr>
              <w:spacing w:after="0"/>
              <w:rPr>
                <w:sz w:val="18"/>
                <w:szCs w:val="18"/>
                <w:color w:val="auto"/>
              </w:rPr>
            </w:pPr>
          </w:p>
        </w:tc>
        <w:tc>
          <w:tcPr>
            <w:tcW w:w="8120" w:type="dxa"/>
            <w:vAlign w:val="bottom"/>
            <w:shd w:val="clear" w:color="auto" w:fill="D4F1F5"/>
          </w:tcPr>
          <w:p>
            <w:pPr>
              <w:ind w:left="40"/>
              <w:spacing w:after="0"/>
              <w:rPr>
                <w:sz w:val="20"/>
                <w:szCs w:val="20"/>
                <w:color w:val="auto"/>
              </w:rPr>
            </w:pPr>
            <w:r>
              <w:rPr>
                <w:rFonts w:ascii="Arial" w:cs="Arial" w:eastAsia="Arial" w:hAnsi="Arial"/>
                <w:sz w:val="16"/>
                <w:szCs w:val="16"/>
                <w:color w:val="auto"/>
              </w:rPr>
              <w:t>Greenhouse gas obligations</w:t>
            </w:r>
          </w:p>
        </w:tc>
        <w:tc>
          <w:tcPr>
            <w:tcW w:w="220" w:type="dxa"/>
            <w:vAlign w:val="bottom"/>
            <w:shd w:val="clear" w:color="auto" w:fill="D4F1F5"/>
          </w:tcPr>
          <w:p>
            <w:pPr>
              <w:spacing w:after="0"/>
              <w:rPr>
                <w:sz w:val="18"/>
                <w:szCs w:val="18"/>
                <w:color w:val="auto"/>
              </w:rPr>
            </w:pPr>
          </w:p>
        </w:tc>
        <w:tc>
          <w:tcPr>
            <w:tcW w:w="1240" w:type="dxa"/>
            <w:vAlign w:val="bottom"/>
            <w:shd w:val="clear" w:color="auto" w:fill="D4F1F5"/>
          </w:tcPr>
          <w:p>
            <w:pPr>
              <w:jc w:val="right"/>
              <w:ind w:right="40"/>
              <w:spacing w:after="0"/>
              <w:rPr>
                <w:sz w:val="20"/>
                <w:szCs w:val="20"/>
                <w:color w:val="auto"/>
              </w:rPr>
            </w:pPr>
            <w:r>
              <w:rPr>
                <w:rFonts w:ascii="Arial" w:cs="Arial" w:eastAsia="Arial" w:hAnsi="Arial"/>
                <w:sz w:val="16"/>
                <w:szCs w:val="16"/>
                <w:color w:val="auto"/>
              </w:rPr>
              <w:t>924</w:t>
            </w:r>
          </w:p>
        </w:tc>
        <w:tc>
          <w:tcPr>
            <w:tcW w:w="240" w:type="dxa"/>
            <w:vAlign w:val="bottom"/>
            <w:shd w:val="clear" w:color="auto" w:fill="D4F1F5"/>
          </w:tcPr>
          <w:p>
            <w:pPr>
              <w:spacing w:after="0"/>
              <w:rPr>
                <w:sz w:val="18"/>
                <w:szCs w:val="18"/>
                <w:color w:val="auto"/>
              </w:rPr>
            </w:pPr>
          </w:p>
        </w:tc>
        <w:tc>
          <w:tcPr>
            <w:tcW w:w="1240" w:type="dxa"/>
            <w:vAlign w:val="bottom"/>
            <w:shd w:val="clear" w:color="auto" w:fill="D4F1F5"/>
          </w:tcPr>
          <w:p>
            <w:pPr>
              <w:jc w:val="right"/>
              <w:spacing w:after="0"/>
              <w:rPr>
                <w:sz w:val="20"/>
                <w:szCs w:val="20"/>
                <w:color w:val="auto"/>
              </w:rPr>
            </w:pPr>
            <w:r>
              <w:rPr>
                <w:rFonts w:ascii="Arial" w:cs="Arial" w:eastAsia="Arial" w:hAnsi="Arial"/>
                <w:sz w:val="16"/>
                <w:szCs w:val="16"/>
                <w:color w:val="auto"/>
              </w:rPr>
              <w:t>820</w:t>
            </w:r>
          </w:p>
        </w:tc>
        <w:tc>
          <w:tcPr>
            <w:tcW w:w="0" w:type="dxa"/>
            <w:vAlign w:val="bottom"/>
          </w:tcPr>
          <w:p>
            <w:pPr>
              <w:spacing w:after="0"/>
              <w:rPr>
                <w:sz w:val="1"/>
                <w:szCs w:val="1"/>
                <w:color w:val="auto"/>
              </w:rPr>
            </w:pPr>
          </w:p>
        </w:tc>
      </w:tr>
      <w:tr>
        <w:trPr>
          <w:trHeight w:val="215"/>
        </w:trPr>
        <w:tc>
          <w:tcPr>
            <w:tcW w:w="180" w:type="dxa"/>
            <w:vAlign w:val="bottom"/>
          </w:tcPr>
          <w:p>
            <w:pPr>
              <w:spacing w:after="0"/>
              <w:rPr>
                <w:sz w:val="18"/>
                <w:szCs w:val="18"/>
                <w:color w:val="auto"/>
              </w:rPr>
            </w:pPr>
          </w:p>
        </w:tc>
        <w:tc>
          <w:tcPr>
            <w:tcW w:w="8120" w:type="dxa"/>
            <w:vAlign w:val="bottom"/>
          </w:tcPr>
          <w:p>
            <w:pPr>
              <w:ind w:left="40"/>
              <w:spacing w:after="0"/>
              <w:rPr>
                <w:sz w:val="20"/>
                <w:szCs w:val="20"/>
                <w:color w:val="auto"/>
              </w:rPr>
            </w:pPr>
            <w:r>
              <w:rPr>
                <w:rFonts w:ascii="Arial" w:cs="Arial" w:eastAsia="Arial" w:hAnsi="Arial"/>
                <w:sz w:val="16"/>
                <w:szCs w:val="16"/>
                <w:color w:val="auto"/>
              </w:rPr>
              <w:t>Pension obligation, net of plan assets</w:t>
            </w:r>
          </w:p>
        </w:tc>
        <w:tc>
          <w:tcPr>
            <w:tcW w:w="220" w:type="dxa"/>
            <w:vAlign w:val="bottom"/>
          </w:tcPr>
          <w:p>
            <w:pPr>
              <w:spacing w:after="0"/>
              <w:rPr>
                <w:sz w:val="18"/>
                <w:szCs w:val="18"/>
                <w:color w:val="auto"/>
              </w:rPr>
            </w:pPr>
          </w:p>
        </w:tc>
        <w:tc>
          <w:tcPr>
            <w:tcW w:w="1240" w:type="dxa"/>
            <w:vAlign w:val="bottom"/>
          </w:tcPr>
          <w:p>
            <w:pPr>
              <w:jc w:val="right"/>
              <w:ind w:right="40"/>
              <w:spacing w:after="0"/>
              <w:rPr>
                <w:sz w:val="20"/>
                <w:szCs w:val="20"/>
                <w:color w:val="auto"/>
              </w:rPr>
            </w:pPr>
            <w:r>
              <w:rPr>
                <w:rFonts w:ascii="Arial" w:cs="Arial" w:eastAsia="Arial" w:hAnsi="Arial"/>
                <w:sz w:val="16"/>
                <w:szCs w:val="16"/>
                <w:color w:val="auto"/>
              </w:rPr>
              <w:t>18</w:t>
            </w:r>
          </w:p>
        </w:tc>
        <w:tc>
          <w:tcPr>
            <w:tcW w:w="2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18</w:t>
            </w:r>
          </w:p>
        </w:tc>
        <w:tc>
          <w:tcPr>
            <w:tcW w:w="0" w:type="dxa"/>
            <w:vAlign w:val="bottom"/>
          </w:tcPr>
          <w:p>
            <w:pPr>
              <w:spacing w:after="0"/>
              <w:rPr>
                <w:sz w:val="1"/>
                <w:szCs w:val="1"/>
                <w:color w:val="auto"/>
              </w:rPr>
            </w:pPr>
          </w:p>
        </w:tc>
      </w:tr>
      <w:tr>
        <w:trPr>
          <w:trHeight w:val="217"/>
        </w:trPr>
        <w:tc>
          <w:tcPr>
            <w:tcW w:w="180" w:type="dxa"/>
            <w:vAlign w:val="bottom"/>
            <w:shd w:val="clear" w:color="auto" w:fill="D4F1F5"/>
          </w:tcPr>
          <w:p>
            <w:pPr>
              <w:spacing w:after="0"/>
              <w:rPr>
                <w:sz w:val="18"/>
                <w:szCs w:val="18"/>
                <w:color w:val="auto"/>
              </w:rPr>
            </w:pPr>
          </w:p>
        </w:tc>
        <w:tc>
          <w:tcPr>
            <w:tcW w:w="8120" w:type="dxa"/>
            <w:vAlign w:val="bottom"/>
            <w:shd w:val="clear" w:color="auto" w:fill="D4F1F5"/>
          </w:tcPr>
          <w:p>
            <w:pPr>
              <w:ind w:left="40"/>
              <w:spacing w:after="0"/>
              <w:rPr>
                <w:sz w:val="20"/>
                <w:szCs w:val="20"/>
                <w:color w:val="auto"/>
              </w:rPr>
            </w:pPr>
            <w:r>
              <w:rPr>
                <w:rFonts w:ascii="Arial" w:cs="Arial" w:eastAsia="Arial" w:hAnsi="Arial"/>
                <w:sz w:val="16"/>
                <w:szCs w:val="16"/>
                <w:color w:val="auto"/>
              </w:rPr>
              <w:t>Deferred income taxes</w:t>
            </w:r>
          </w:p>
        </w:tc>
        <w:tc>
          <w:tcPr>
            <w:tcW w:w="220" w:type="dxa"/>
            <w:vAlign w:val="bottom"/>
            <w:shd w:val="clear" w:color="auto" w:fill="D4F1F5"/>
          </w:tcPr>
          <w:p>
            <w:pPr>
              <w:spacing w:after="0"/>
              <w:rPr>
                <w:sz w:val="18"/>
                <w:szCs w:val="18"/>
                <w:color w:val="auto"/>
              </w:rPr>
            </w:pPr>
          </w:p>
        </w:tc>
        <w:tc>
          <w:tcPr>
            <w:tcW w:w="1240" w:type="dxa"/>
            <w:vAlign w:val="bottom"/>
            <w:shd w:val="clear" w:color="auto" w:fill="D4F1F5"/>
          </w:tcPr>
          <w:p>
            <w:pPr>
              <w:jc w:val="right"/>
              <w:ind w:right="40"/>
              <w:spacing w:after="0"/>
              <w:rPr>
                <w:sz w:val="20"/>
                <w:szCs w:val="20"/>
                <w:color w:val="auto"/>
              </w:rPr>
            </w:pPr>
            <w:r>
              <w:rPr>
                <w:rFonts w:ascii="Arial" w:cs="Arial" w:eastAsia="Arial" w:hAnsi="Arial"/>
                <w:sz w:val="16"/>
                <w:szCs w:val="16"/>
                <w:color w:val="auto"/>
              </w:rPr>
              <w:t>2,397</w:t>
            </w:r>
          </w:p>
        </w:tc>
        <w:tc>
          <w:tcPr>
            <w:tcW w:w="240" w:type="dxa"/>
            <w:vAlign w:val="bottom"/>
            <w:shd w:val="clear" w:color="auto" w:fill="D4F1F5"/>
          </w:tcPr>
          <w:p>
            <w:pPr>
              <w:spacing w:after="0"/>
              <w:rPr>
                <w:sz w:val="18"/>
                <w:szCs w:val="18"/>
                <w:color w:val="auto"/>
              </w:rPr>
            </w:pPr>
          </w:p>
        </w:tc>
        <w:tc>
          <w:tcPr>
            <w:tcW w:w="1240" w:type="dxa"/>
            <w:vAlign w:val="bottom"/>
            <w:shd w:val="clear" w:color="auto" w:fill="D4F1F5"/>
          </w:tcPr>
          <w:p>
            <w:pPr>
              <w:jc w:val="right"/>
              <w:spacing w:after="0"/>
              <w:rPr>
                <w:sz w:val="20"/>
                <w:szCs w:val="20"/>
                <w:color w:val="auto"/>
              </w:rPr>
            </w:pPr>
            <w:r>
              <w:rPr>
                <w:rFonts w:ascii="Arial" w:cs="Arial" w:eastAsia="Arial" w:hAnsi="Arial"/>
                <w:sz w:val="16"/>
                <w:szCs w:val="16"/>
                <w:color w:val="auto"/>
              </w:rPr>
              <w:t>2,271</w:t>
            </w:r>
          </w:p>
        </w:tc>
        <w:tc>
          <w:tcPr>
            <w:tcW w:w="0" w:type="dxa"/>
            <w:vAlign w:val="bottom"/>
          </w:tcPr>
          <w:p>
            <w:pPr>
              <w:spacing w:after="0"/>
              <w:rPr>
                <w:sz w:val="1"/>
                <w:szCs w:val="1"/>
                <w:color w:val="auto"/>
              </w:rPr>
            </w:pPr>
          </w:p>
        </w:tc>
      </w:tr>
      <w:tr>
        <w:trPr>
          <w:trHeight w:val="215"/>
        </w:trPr>
        <w:tc>
          <w:tcPr>
            <w:tcW w:w="180" w:type="dxa"/>
            <w:vAlign w:val="bottom"/>
          </w:tcPr>
          <w:p>
            <w:pPr>
              <w:spacing w:after="0"/>
              <w:rPr>
                <w:sz w:val="18"/>
                <w:szCs w:val="18"/>
                <w:color w:val="auto"/>
              </w:rPr>
            </w:pPr>
          </w:p>
        </w:tc>
        <w:tc>
          <w:tcPr>
            <w:tcW w:w="8120" w:type="dxa"/>
            <w:vAlign w:val="bottom"/>
          </w:tcPr>
          <w:p>
            <w:pPr>
              <w:ind w:left="40"/>
              <w:spacing w:after="0"/>
              <w:rPr>
                <w:sz w:val="20"/>
                <w:szCs w:val="20"/>
                <w:color w:val="auto"/>
              </w:rPr>
            </w:pPr>
            <w:r>
              <w:rPr>
                <w:rFonts w:ascii="Arial" w:cs="Arial" w:eastAsia="Arial" w:hAnsi="Arial"/>
                <w:sz w:val="16"/>
                <w:szCs w:val="16"/>
                <w:color w:val="auto"/>
              </w:rPr>
              <w:t>Asset retirement obligations</w:t>
            </w:r>
          </w:p>
        </w:tc>
        <w:tc>
          <w:tcPr>
            <w:tcW w:w="220" w:type="dxa"/>
            <w:vAlign w:val="bottom"/>
          </w:tcPr>
          <w:p>
            <w:pPr>
              <w:spacing w:after="0"/>
              <w:rPr>
                <w:sz w:val="18"/>
                <w:szCs w:val="18"/>
                <w:color w:val="auto"/>
              </w:rPr>
            </w:pPr>
          </w:p>
        </w:tc>
        <w:tc>
          <w:tcPr>
            <w:tcW w:w="1240" w:type="dxa"/>
            <w:vAlign w:val="bottom"/>
          </w:tcPr>
          <w:p>
            <w:pPr>
              <w:jc w:val="right"/>
              <w:ind w:right="40"/>
              <w:spacing w:after="0"/>
              <w:rPr>
                <w:sz w:val="20"/>
                <w:szCs w:val="20"/>
                <w:color w:val="auto"/>
              </w:rPr>
            </w:pPr>
            <w:r>
              <w:rPr>
                <w:rFonts w:ascii="Arial" w:cs="Arial" w:eastAsia="Arial" w:hAnsi="Arial"/>
                <w:sz w:val="16"/>
                <w:szCs w:val="16"/>
                <w:color w:val="auto"/>
              </w:rPr>
              <w:t>3,023</w:t>
            </w:r>
          </w:p>
        </w:tc>
        <w:tc>
          <w:tcPr>
            <w:tcW w:w="2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2,994</w:t>
            </w:r>
          </w:p>
        </w:tc>
        <w:tc>
          <w:tcPr>
            <w:tcW w:w="0" w:type="dxa"/>
            <w:vAlign w:val="bottom"/>
          </w:tcPr>
          <w:p>
            <w:pPr>
              <w:spacing w:after="0"/>
              <w:rPr>
                <w:sz w:val="1"/>
                <w:szCs w:val="1"/>
                <w:color w:val="auto"/>
              </w:rPr>
            </w:pPr>
          </w:p>
        </w:tc>
      </w:tr>
      <w:tr>
        <w:trPr>
          <w:trHeight w:val="217"/>
        </w:trPr>
        <w:tc>
          <w:tcPr>
            <w:tcW w:w="180" w:type="dxa"/>
            <w:vAlign w:val="bottom"/>
            <w:shd w:val="clear" w:color="auto" w:fill="D4F1F5"/>
          </w:tcPr>
          <w:p>
            <w:pPr>
              <w:spacing w:after="0"/>
              <w:rPr>
                <w:sz w:val="18"/>
                <w:szCs w:val="18"/>
                <w:color w:val="auto"/>
              </w:rPr>
            </w:pPr>
          </w:p>
        </w:tc>
        <w:tc>
          <w:tcPr>
            <w:tcW w:w="8120" w:type="dxa"/>
            <w:vAlign w:val="bottom"/>
            <w:shd w:val="clear" w:color="auto" w:fill="D4F1F5"/>
          </w:tcPr>
          <w:p>
            <w:pPr>
              <w:ind w:left="40"/>
              <w:spacing w:after="0"/>
              <w:rPr>
                <w:sz w:val="20"/>
                <w:szCs w:val="20"/>
                <w:color w:val="auto"/>
              </w:rPr>
            </w:pPr>
            <w:r>
              <w:rPr>
                <w:rFonts w:ascii="Arial" w:cs="Arial" w:eastAsia="Arial" w:hAnsi="Arial"/>
                <w:sz w:val="16"/>
                <w:szCs w:val="16"/>
                <w:color w:val="auto"/>
              </w:rPr>
              <w:t>Deferred credits and other</w:t>
            </w:r>
          </w:p>
        </w:tc>
        <w:tc>
          <w:tcPr>
            <w:tcW w:w="220" w:type="dxa"/>
            <w:vAlign w:val="bottom"/>
            <w:tcBorders>
              <w:bottom w:val="single" w:sz="8" w:color="auto"/>
            </w:tcBorders>
            <w:shd w:val="clear" w:color="auto" w:fill="D4F1F5"/>
          </w:tcPr>
          <w:p>
            <w:pPr>
              <w:spacing w:after="0"/>
              <w:rPr>
                <w:sz w:val="18"/>
                <w:szCs w:val="18"/>
                <w:color w:val="auto"/>
              </w:rPr>
            </w:pPr>
          </w:p>
        </w:tc>
        <w:tc>
          <w:tcPr>
            <w:tcW w:w="1240" w:type="dxa"/>
            <w:vAlign w:val="bottom"/>
            <w:tcBorders>
              <w:bottom w:val="single" w:sz="8" w:color="auto"/>
            </w:tcBorders>
            <w:shd w:val="clear" w:color="auto" w:fill="D4F1F5"/>
          </w:tcPr>
          <w:p>
            <w:pPr>
              <w:jc w:val="right"/>
              <w:ind w:right="40"/>
              <w:spacing w:after="0"/>
              <w:rPr>
                <w:sz w:val="20"/>
                <w:szCs w:val="20"/>
                <w:color w:val="auto"/>
              </w:rPr>
            </w:pPr>
            <w:r>
              <w:rPr>
                <w:rFonts w:ascii="Arial" w:cs="Arial" w:eastAsia="Arial" w:hAnsi="Arial"/>
                <w:sz w:val="16"/>
                <w:szCs w:val="16"/>
                <w:color w:val="auto"/>
              </w:rPr>
              <w:t>521</w:t>
            </w:r>
          </w:p>
        </w:tc>
        <w:tc>
          <w:tcPr>
            <w:tcW w:w="240" w:type="dxa"/>
            <w:vAlign w:val="bottom"/>
            <w:tcBorders>
              <w:bottom w:val="single" w:sz="8" w:color="auto"/>
            </w:tcBorders>
            <w:shd w:val="clear" w:color="auto" w:fill="D4F1F5"/>
          </w:tcPr>
          <w:p>
            <w:pPr>
              <w:spacing w:after="0"/>
              <w:rPr>
                <w:sz w:val="18"/>
                <w:szCs w:val="18"/>
                <w:color w:val="auto"/>
              </w:rPr>
            </w:pPr>
          </w:p>
        </w:tc>
        <w:tc>
          <w:tcPr>
            <w:tcW w:w="1240" w:type="dxa"/>
            <w:vAlign w:val="bottom"/>
            <w:tcBorders>
              <w:bottom w:val="single" w:sz="8" w:color="auto"/>
            </w:tcBorders>
            <w:shd w:val="clear" w:color="auto" w:fill="D4F1F5"/>
          </w:tcPr>
          <w:p>
            <w:pPr>
              <w:jc w:val="right"/>
              <w:spacing w:after="0"/>
              <w:rPr>
                <w:sz w:val="20"/>
                <w:szCs w:val="20"/>
                <w:color w:val="auto"/>
              </w:rPr>
            </w:pPr>
            <w:r>
              <w:rPr>
                <w:rFonts w:ascii="Arial" w:cs="Arial" w:eastAsia="Arial" w:hAnsi="Arial"/>
                <w:sz w:val="16"/>
                <w:szCs w:val="16"/>
                <w:color w:val="auto"/>
              </w:rPr>
              <w:t>457</w:t>
            </w:r>
          </w:p>
        </w:tc>
        <w:tc>
          <w:tcPr>
            <w:tcW w:w="0" w:type="dxa"/>
            <w:vAlign w:val="bottom"/>
          </w:tcPr>
          <w:p>
            <w:pPr>
              <w:spacing w:after="0"/>
              <w:rPr>
                <w:sz w:val="1"/>
                <w:szCs w:val="1"/>
                <w:color w:val="auto"/>
              </w:rPr>
            </w:pPr>
          </w:p>
        </w:tc>
      </w:tr>
      <w:tr>
        <w:trPr>
          <w:trHeight w:val="209"/>
        </w:trPr>
        <w:tc>
          <w:tcPr>
            <w:tcW w:w="180" w:type="dxa"/>
            <w:vAlign w:val="bottom"/>
            <w:tcBorders>
              <w:bottom w:val="single" w:sz="8" w:color="D4F1F5"/>
            </w:tcBorders>
          </w:tcPr>
          <w:p>
            <w:pPr>
              <w:spacing w:after="0"/>
              <w:rPr>
                <w:sz w:val="18"/>
                <w:szCs w:val="18"/>
                <w:color w:val="auto"/>
              </w:rPr>
            </w:pPr>
          </w:p>
        </w:tc>
        <w:tc>
          <w:tcPr>
            <w:tcW w:w="8120" w:type="dxa"/>
            <w:vAlign w:val="bottom"/>
            <w:tcBorders>
              <w:bottom w:val="single" w:sz="8" w:color="D4F1F5"/>
            </w:tcBorders>
          </w:tcPr>
          <w:p>
            <w:pPr>
              <w:ind w:left="300"/>
              <w:spacing w:after="0"/>
              <w:rPr>
                <w:sz w:val="20"/>
                <w:szCs w:val="20"/>
                <w:color w:val="auto"/>
              </w:rPr>
            </w:pPr>
            <w:r>
              <w:rPr>
                <w:rFonts w:ascii="Arial" w:cs="Arial" w:eastAsia="Arial" w:hAnsi="Arial"/>
                <w:sz w:val="16"/>
                <w:szCs w:val="16"/>
                <w:color w:val="auto"/>
              </w:rPr>
              <w:t>Total deferred credits and other liabilities</w:t>
            </w:r>
          </w:p>
        </w:tc>
        <w:tc>
          <w:tcPr>
            <w:tcW w:w="2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8,183</w:t>
            </w:r>
          </w:p>
        </w:tc>
        <w:tc>
          <w:tcPr>
            <w:tcW w:w="2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7,850</w:t>
            </w:r>
          </w:p>
        </w:tc>
        <w:tc>
          <w:tcPr>
            <w:tcW w:w="0" w:type="dxa"/>
            <w:vAlign w:val="bottom"/>
          </w:tcPr>
          <w:p>
            <w:pPr>
              <w:spacing w:after="0"/>
              <w:rPr>
                <w:sz w:val="1"/>
                <w:szCs w:val="1"/>
                <w:color w:val="auto"/>
              </w:rPr>
            </w:pPr>
          </w:p>
        </w:tc>
      </w:tr>
      <w:tr>
        <w:trPr>
          <w:trHeight w:val="197"/>
        </w:trPr>
        <w:tc>
          <w:tcPr>
            <w:tcW w:w="180" w:type="dxa"/>
            <w:vAlign w:val="bottom"/>
            <w:shd w:val="clear" w:color="auto" w:fill="D4F1F5"/>
          </w:tcPr>
          <w:p>
            <w:pPr>
              <w:spacing w:after="0"/>
              <w:rPr>
                <w:sz w:val="17"/>
                <w:szCs w:val="17"/>
                <w:color w:val="auto"/>
              </w:rPr>
            </w:pPr>
          </w:p>
        </w:tc>
        <w:tc>
          <w:tcPr>
            <w:tcW w:w="8120" w:type="dxa"/>
            <w:vAlign w:val="bottom"/>
            <w:shd w:val="clear" w:color="auto" w:fill="D4F1F5"/>
          </w:tcPr>
          <w:p>
            <w:pPr>
              <w:spacing w:after="0"/>
              <w:rPr>
                <w:sz w:val="17"/>
                <w:szCs w:val="17"/>
                <w:color w:val="auto"/>
              </w:rPr>
            </w:pPr>
          </w:p>
        </w:tc>
        <w:tc>
          <w:tcPr>
            <w:tcW w:w="220" w:type="dxa"/>
            <w:vAlign w:val="bottom"/>
            <w:shd w:val="clear" w:color="auto" w:fill="D4F1F5"/>
          </w:tcPr>
          <w:p>
            <w:pPr>
              <w:spacing w:after="0"/>
              <w:rPr>
                <w:sz w:val="17"/>
                <w:szCs w:val="17"/>
                <w:color w:val="auto"/>
              </w:rPr>
            </w:pPr>
          </w:p>
        </w:tc>
        <w:tc>
          <w:tcPr>
            <w:tcW w:w="1240" w:type="dxa"/>
            <w:vAlign w:val="bottom"/>
            <w:shd w:val="clear" w:color="auto" w:fill="D4F1F5"/>
          </w:tcPr>
          <w:p>
            <w:pPr>
              <w:spacing w:after="0"/>
              <w:rPr>
                <w:sz w:val="17"/>
                <w:szCs w:val="17"/>
                <w:color w:val="auto"/>
              </w:rPr>
            </w:pPr>
          </w:p>
        </w:tc>
        <w:tc>
          <w:tcPr>
            <w:tcW w:w="240" w:type="dxa"/>
            <w:vAlign w:val="bottom"/>
            <w:shd w:val="clear" w:color="auto" w:fill="D4F1F5"/>
          </w:tcPr>
          <w:p>
            <w:pPr>
              <w:spacing w:after="0"/>
              <w:rPr>
                <w:sz w:val="17"/>
                <w:szCs w:val="17"/>
                <w:color w:val="auto"/>
              </w:rPr>
            </w:pPr>
          </w:p>
        </w:tc>
        <w:tc>
          <w:tcPr>
            <w:tcW w:w="1240" w:type="dxa"/>
            <w:vAlign w:val="bottom"/>
            <w:shd w:val="clear" w:color="auto" w:fill="D4F1F5"/>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8300" w:type="dxa"/>
            <w:vAlign w:val="bottom"/>
            <w:gridSpan w:val="2"/>
          </w:tcPr>
          <w:p>
            <w:pPr>
              <w:ind w:left="20"/>
              <w:spacing w:after="0"/>
              <w:rPr>
                <w:sz w:val="20"/>
                <w:szCs w:val="20"/>
                <w:color w:val="auto"/>
              </w:rPr>
            </w:pPr>
            <w:r>
              <w:rPr>
                <w:rFonts w:ascii="Arial" w:cs="Arial" w:eastAsia="Arial" w:hAnsi="Arial"/>
                <w:sz w:val="16"/>
                <w:szCs w:val="16"/>
                <w:color w:val="auto"/>
              </w:rPr>
              <w:t>Commitments and contingencies (Note 13)</w:t>
            </w: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8300" w:type="dxa"/>
            <w:vAlign w:val="bottom"/>
            <w:gridSpan w:val="2"/>
            <w:shd w:val="clear" w:color="auto" w:fill="D4F1F5"/>
          </w:tcPr>
          <w:p>
            <w:pPr>
              <w:spacing w:after="0"/>
              <w:rPr>
                <w:sz w:val="18"/>
                <w:szCs w:val="18"/>
                <w:color w:val="auto"/>
              </w:rPr>
            </w:pPr>
          </w:p>
        </w:tc>
        <w:tc>
          <w:tcPr>
            <w:tcW w:w="220" w:type="dxa"/>
            <w:vAlign w:val="bottom"/>
            <w:shd w:val="clear" w:color="auto" w:fill="D4F1F5"/>
          </w:tcPr>
          <w:p>
            <w:pPr>
              <w:spacing w:after="0"/>
              <w:rPr>
                <w:sz w:val="18"/>
                <w:szCs w:val="18"/>
                <w:color w:val="auto"/>
              </w:rPr>
            </w:pPr>
          </w:p>
        </w:tc>
        <w:tc>
          <w:tcPr>
            <w:tcW w:w="1240" w:type="dxa"/>
            <w:vAlign w:val="bottom"/>
            <w:shd w:val="clear" w:color="auto" w:fill="D4F1F5"/>
          </w:tcPr>
          <w:p>
            <w:pPr>
              <w:spacing w:after="0"/>
              <w:rPr>
                <w:sz w:val="18"/>
                <w:szCs w:val="18"/>
                <w:color w:val="auto"/>
              </w:rPr>
            </w:pPr>
          </w:p>
        </w:tc>
        <w:tc>
          <w:tcPr>
            <w:tcW w:w="240" w:type="dxa"/>
            <w:vAlign w:val="bottom"/>
            <w:shd w:val="clear" w:color="auto" w:fill="D4F1F5"/>
          </w:tcPr>
          <w:p>
            <w:pPr>
              <w:spacing w:after="0"/>
              <w:rPr>
                <w:sz w:val="18"/>
                <w:szCs w:val="18"/>
                <w:color w:val="auto"/>
              </w:rPr>
            </w:pPr>
          </w:p>
        </w:tc>
        <w:tc>
          <w:tcPr>
            <w:tcW w:w="1240" w:type="dxa"/>
            <w:vAlign w:val="bottom"/>
            <w:shd w:val="clear" w:color="auto" w:fill="D4F1F5"/>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8300" w:type="dxa"/>
            <w:vAlign w:val="bottom"/>
            <w:gridSpan w:val="2"/>
          </w:tcPr>
          <w:p>
            <w:pPr>
              <w:ind w:left="20"/>
              <w:spacing w:after="0"/>
              <w:rPr>
                <w:sz w:val="20"/>
                <w:szCs w:val="20"/>
                <w:color w:val="auto"/>
              </w:rPr>
            </w:pPr>
            <w:r>
              <w:rPr>
                <w:rFonts w:ascii="Arial" w:cs="Arial" w:eastAsia="Arial" w:hAnsi="Arial"/>
                <w:sz w:val="16"/>
                <w:szCs w:val="16"/>
                <w:color w:val="auto"/>
              </w:rPr>
              <w:t>Shareholders’ equity:</w:t>
            </w: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180" w:type="dxa"/>
            <w:vAlign w:val="bottom"/>
            <w:shd w:val="clear" w:color="auto" w:fill="D4F1F5"/>
          </w:tcPr>
          <w:p>
            <w:pPr>
              <w:spacing w:after="0"/>
              <w:rPr>
                <w:sz w:val="18"/>
                <w:szCs w:val="18"/>
                <w:color w:val="auto"/>
              </w:rPr>
            </w:pPr>
          </w:p>
        </w:tc>
        <w:tc>
          <w:tcPr>
            <w:tcW w:w="8120" w:type="dxa"/>
            <w:vAlign w:val="bottom"/>
            <w:shd w:val="clear" w:color="auto" w:fill="D4F1F5"/>
          </w:tcPr>
          <w:p>
            <w:pPr>
              <w:ind w:left="40"/>
              <w:spacing w:after="0"/>
              <w:rPr>
                <w:sz w:val="20"/>
                <w:szCs w:val="20"/>
                <w:color w:val="auto"/>
              </w:rPr>
            </w:pPr>
            <w:r>
              <w:rPr>
                <w:rFonts w:ascii="Arial" w:cs="Arial" w:eastAsia="Arial" w:hAnsi="Arial"/>
                <w:sz w:val="16"/>
                <w:szCs w:val="16"/>
                <w:color w:val="auto"/>
              </w:rPr>
              <w:t>Preferred stock (11,000,000 shares authorized; 862,043 shares outstanding)</w:t>
            </w:r>
          </w:p>
        </w:tc>
        <w:tc>
          <w:tcPr>
            <w:tcW w:w="220" w:type="dxa"/>
            <w:vAlign w:val="bottom"/>
            <w:shd w:val="clear" w:color="auto" w:fill="D4F1F5"/>
          </w:tcPr>
          <w:p>
            <w:pPr>
              <w:spacing w:after="0"/>
              <w:rPr>
                <w:sz w:val="18"/>
                <w:szCs w:val="18"/>
                <w:color w:val="auto"/>
              </w:rPr>
            </w:pPr>
          </w:p>
        </w:tc>
        <w:tc>
          <w:tcPr>
            <w:tcW w:w="1240" w:type="dxa"/>
            <w:vAlign w:val="bottom"/>
            <w:shd w:val="clear" w:color="auto" w:fill="D4F1F5"/>
          </w:tcPr>
          <w:p>
            <w:pPr>
              <w:jc w:val="right"/>
              <w:ind w:right="40"/>
              <w:spacing w:after="0"/>
              <w:rPr>
                <w:sz w:val="20"/>
                <w:szCs w:val="20"/>
                <w:color w:val="auto"/>
              </w:rPr>
            </w:pPr>
            <w:r>
              <w:rPr>
                <w:rFonts w:ascii="Arial" w:cs="Arial" w:eastAsia="Arial" w:hAnsi="Arial"/>
                <w:sz w:val="16"/>
                <w:szCs w:val="16"/>
                <w:color w:val="auto"/>
              </w:rPr>
              <w:t>22</w:t>
            </w:r>
          </w:p>
        </w:tc>
        <w:tc>
          <w:tcPr>
            <w:tcW w:w="240" w:type="dxa"/>
            <w:vAlign w:val="bottom"/>
            <w:shd w:val="clear" w:color="auto" w:fill="D4F1F5"/>
          </w:tcPr>
          <w:p>
            <w:pPr>
              <w:spacing w:after="0"/>
              <w:rPr>
                <w:sz w:val="18"/>
                <w:szCs w:val="18"/>
                <w:color w:val="auto"/>
              </w:rPr>
            </w:pPr>
          </w:p>
        </w:tc>
        <w:tc>
          <w:tcPr>
            <w:tcW w:w="1240" w:type="dxa"/>
            <w:vAlign w:val="bottom"/>
            <w:shd w:val="clear" w:color="auto" w:fill="D4F1F5"/>
          </w:tcPr>
          <w:p>
            <w:pPr>
              <w:jc w:val="right"/>
              <w:spacing w:after="0"/>
              <w:rPr>
                <w:sz w:val="20"/>
                <w:szCs w:val="20"/>
                <w:color w:val="auto"/>
              </w:rPr>
            </w:pPr>
            <w:r>
              <w:rPr>
                <w:rFonts w:ascii="Arial" w:cs="Arial" w:eastAsia="Arial" w:hAnsi="Arial"/>
                <w:sz w:val="16"/>
                <w:szCs w:val="16"/>
                <w:color w:val="auto"/>
              </w:rPr>
              <w:t>22</w:t>
            </w:r>
          </w:p>
        </w:tc>
        <w:tc>
          <w:tcPr>
            <w:tcW w:w="0" w:type="dxa"/>
            <w:vAlign w:val="bottom"/>
          </w:tcPr>
          <w:p>
            <w:pPr>
              <w:spacing w:after="0"/>
              <w:rPr>
                <w:sz w:val="1"/>
                <w:szCs w:val="1"/>
                <w:color w:val="auto"/>
              </w:rPr>
            </w:pPr>
          </w:p>
        </w:tc>
      </w:tr>
      <w:tr>
        <w:trPr>
          <w:trHeight w:val="162"/>
        </w:trPr>
        <w:tc>
          <w:tcPr>
            <w:tcW w:w="180" w:type="dxa"/>
            <w:vAlign w:val="bottom"/>
          </w:tcPr>
          <w:p>
            <w:pPr>
              <w:spacing w:after="0"/>
              <w:rPr>
                <w:sz w:val="14"/>
                <w:szCs w:val="14"/>
                <w:color w:val="auto"/>
              </w:rPr>
            </w:pPr>
          </w:p>
        </w:tc>
        <w:tc>
          <w:tcPr>
            <w:tcW w:w="8120" w:type="dxa"/>
            <w:vAlign w:val="bottom"/>
          </w:tcPr>
          <w:p>
            <w:pPr>
              <w:ind w:left="40"/>
              <w:spacing w:after="0" w:line="162" w:lineRule="exact"/>
              <w:rPr>
                <w:sz w:val="20"/>
                <w:szCs w:val="20"/>
                <w:color w:val="auto"/>
              </w:rPr>
            </w:pPr>
            <w:r>
              <w:rPr>
                <w:rFonts w:ascii="Arial" w:cs="Arial" w:eastAsia="Arial" w:hAnsi="Arial"/>
                <w:sz w:val="16"/>
                <w:szCs w:val="16"/>
                <w:color w:val="auto"/>
              </w:rPr>
              <w:t>Common stock (100,000,000 shares authorized; 91,300,000 shares outstanding;</w:t>
            </w:r>
          </w:p>
        </w:tc>
        <w:tc>
          <w:tcPr>
            <w:tcW w:w="220" w:type="dxa"/>
            <w:vAlign w:val="bottom"/>
          </w:tcPr>
          <w:p>
            <w:pPr>
              <w:spacing w:after="0"/>
              <w:rPr>
                <w:sz w:val="14"/>
                <w:szCs w:val="14"/>
                <w:color w:val="auto"/>
              </w:rPr>
            </w:pPr>
          </w:p>
        </w:tc>
        <w:tc>
          <w:tcPr>
            <w:tcW w:w="1240" w:type="dxa"/>
            <w:vAlign w:val="bottom"/>
            <w:vMerge w:val="restart"/>
          </w:tcPr>
          <w:p>
            <w:pPr>
              <w:jc w:val="right"/>
              <w:ind w:right="40"/>
              <w:spacing w:after="0"/>
              <w:rPr>
                <w:sz w:val="20"/>
                <w:szCs w:val="20"/>
                <w:color w:val="auto"/>
              </w:rPr>
            </w:pPr>
            <w:r>
              <w:rPr>
                <w:rFonts w:ascii="Arial" w:cs="Arial" w:eastAsia="Arial" w:hAnsi="Arial"/>
                <w:sz w:val="16"/>
                <w:szCs w:val="16"/>
                <w:color w:val="auto"/>
              </w:rPr>
              <w:t>2,316</w:t>
            </w:r>
          </w:p>
        </w:tc>
        <w:tc>
          <w:tcPr>
            <w:tcW w:w="240" w:type="dxa"/>
            <w:vAlign w:val="bottom"/>
          </w:tcPr>
          <w:p>
            <w:pPr>
              <w:spacing w:after="0"/>
              <w:rPr>
                <w:sz w:val="14"/>
                <w:szCs w:val="14"/>
                <w:color w:val="auto"/>
              </w:rPr>
            </w:pPr>
          </w:p>
        </w:tc>
        <w:tc>
          <w:tcPr>
            <w:tcW w:w="1240" w:type="dxa"/>
            <w:vAlign w:val="bottom"/>
            <w:vMerge w:val="restart"/>
          </w:tcPr>
          <w:p>
            <w:pPr>
              <w:jc w:val="right"/>
              <w:spacing w:after="0"/>
              <w:rPr>
                <w:sz w:val="20"/>
                <w:szCs w:val="20"/>
                <w:color w:val="auto"/>
              </w:rPr>
            </w:pPr>
            <w:r>
              <w:rPr>
                <w:rFonts w:ascii="Arial" w:cs="Arial" w:eastAsia="Arial" w:hAnsi="Arial"/>
                <w:sz w:val="16"/>
                <w:szCs w:val="16"/>
                <w:color w:val="auto"/>
              </w:rPr>
              <w:t>2,316</w:t>
            </w:r>
          </w:p>
        </w:tc>
        <w:tc>
          <w:tcPr>
            <w:tcW w:w="0" w:type="dxa"/>
            <w:vAlign w:val="bottom"/>
          </w:tcPr>
          <w:p>
            <w:pPr>
              <w:spacing w:after="0"/>
              <w:rPr>
                <w:sz w:val="1"/>
                <w:szCs w:val="1"/>
                <w:color w:val="auto"/>
              </w:rPr>
            </w:pPr>
          </w:p>
        </w:tc>
      </w:tr>
      <w:tr>
        <w:trPr>
          <w:trHeight w:val="215"/>
        </w:trPr>
        <w:tc>
          <w:tcPr>
            <w:tcW w:w="180" w:type="dxa"/>
            <w:vAlign w:val="bottom"/>
          </w:tcPr>
          <w:p>
            <w:pPr>
              <w:spacing w:after="0"/>
              <w:rPr>
                <w:sz w:val="18"/>
                <w:szCs w:val="18"/>
                <w:color w:val="auto"/>
              </w:rPr>
            </w:pPr>
          </w:p>
        </w:tc>
        <w:tc>
          <w:tcPr>
            <w:tcW w:w="8120" w:type="dxa"/>
            <w:vAlign w:val="bottom"/>
          </w:tcPr>
          <w:p>
            <w:pPr>
              <w:ind w:left="180"/>
              <w:spacing w:after="0"/>
              <w:rPr>
                <w:sz w:val="20"/>
                <w:szCs w:val="20"/>
                <w:color w:val="auto"/>
              </w:rPr>
            </w:pPr>
            <w:r>
              <w:rPr>
                <w:rFonts w:ascii="Arial" w:cs="Arial" w:eastAsia="Arial" w:hAnsi="Arial"/>
                <w:sz w:val="16"/>
                <w:szCs w:val="16"/>
                <w:color w:val="auto"/>
              </w:rPr>
              <w:t>no par value)</w:t>
            </w:r>
          </w:p>
        </w:tc>
        <w:tc>
          <w:tcPr>
            <w:tcW w:w="220" w:type="dxa"/>
            <w:vAlign w:val="bottom"/>
          </w:tcPr>
          <w:p>
            <w:pPr>
              <w:spacing w:after="0"/>
              <w:rPr>
                <w:sz w:val="18"/>
                <w:szCs w:val="18"/>
                <w:color w:val="auto"/>
              </w:rPr>
            </w:pPr>
          </w:p>
        </w:tc>
        <w:tc>
          <w:tcPr>
            <w:tcW w:w="124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180" w:type="dxa"/>
            <w:vAlign w:val="bottom"/>
            <w:shd w:val="clear" w:color="auto" w:fill="D4F1F5"/>
          </w:tcPr>
          <w:p>
            <w:pPr>
              <w:spacing w:after="0"/>
              <w:rPr>
                <w:sz w:val="18"/>
                <w:szCs w:val="18"/>
                <w:color w:val="auto"/>
              </w:rPr>
            </w:pPr>
          </w:p>
        </w:tc>
        <w:tc>
          <w:tcPr>
            <w:tcW w:w="8120" w:type="dxa"/>
            <w:vAlign w:val="bottom"/>
            <w:shd w:val="clear" w:color="auto" w:fill="D4F1F5"/>
          </w:tcPr>
          <w:p>
            <w:pPr>
              <w:ind w:left="40"/>
              <w:spacing w:after="0"/>
              <w:rPr>
                <w:sz w:val="20"/>
                <w:szCs w:val="20"/>
                <w:color w:val="auto"/>
              </w:rPr>
            </w:pPr>
            <w:r>
              <w:rPr>
                <w:rFonts w:ascii="Arial" w:cs="Arial" w:eastAsia="Arial" w:hAnsi="Arial"/>
                <w:sz w:val="16"/>
                <w:szCs w:val="16"/>
                <w:color w:val="auto"/>
              </w:rPr>
              <w:t>Retained earnings</w:t>
            </w:r>
          </w:p>
        </w:tc>
        <w:tc>
          <w:tcPr>
            <w:tcW w:w="220" w:type="dxa"/>
            <w:vAlign w:val="bottom"/>
            <w:shd w:val="clear" w:color="auto" w:fill="D4F1F5"/>
          </w:tcPr>
          <w:p>
            <w:pPr>
              <w:spacing w:after="0"/>
              <w:rPr>
                <w:sz w:val="18"/>
                <w:szCs w:val="18"/>
                <w:color w:val="auto"/>
              </w:rPr>
            </w:pPr>
          </w:p>
        </w:tc>
        <w:tc>
          <w:tcPr>
            <w:tcW w:w="1240" w:type="dxa"/>
            <w:vAlign w:val="bottom"/>
            <w:shd w:val="clear" w:color="auto" w:fill="D4F1F5"/>
          </w:tcPr>
          <w:p>
            <w:pPr>
              <w:jc w:val="right"/>
              <w:ind w:right="40"/>
              <w:spacing w:after="0"/>
              <w:rPr>
                <w:sz w:val="20"/>
                <w:szCs w:val="20"/>
                <w:color w:val="auto"/>
              </w:rPr>
            </w:pPr>
            <w:r>
              <w:rPr>
                <w:rFonts w:ascii="Arial" w:cs="Arial" w:eastAsia="Arial" w:hAnsi="Arial"/>
                <w:sz w:val="16"/>
                <w:szCs w:val="16"/>
                <w:color w:val="auto"/>
              </w:rPr>
              <w:t>6,939</w:t>
            </w:r>
          </w:p>
        </w:tc>
        <w:tc>
          <w:tcPr>
            <w:tcW w:w="240" w:type="dxa"/>
            <w:vAlign w:val="bottom"/>
            <w:shd w:val="clear" w:color="auto" w:fill="D4F1F5"/>
          </w:tcPr>
          <w:p>
            <w:pPr>
              <w:spacing w:after="0"/>
              <w:rPr>
                <w:sz w:val="18"/>
                <w:szCs w:val="18"/>
                <w:color w:val="auto"/>
              </w:rPr>
            </w:pPr>
          </w:p>
        </w:tc>
        <w:tc>
          <w:tcPr>
            <w:tcW w:w="1240" w:type="dxa"/>
            <w:vAlign w:val="bottom"/>
            <w:shd w:val="clear" w:color="auto" w:fill="D4F1F5"/>
          </w:tcPr>
          <w:p>
            <w:pPr>
              <w:jc w:val="right"/>
              <w:spacing w:after="0"/>
              <w:rPr>
                <w:sz w:val="20"/>
                <w:szCs w:val="20"/>
                <w:color w:val="auto"/>
              </w:rPr>
            </w:pPr>
            <w:r>
              <w:rPr>
                <w:rFonts w:ascii="Arial" w:cs="Arial" w:eastAsia="Arial" w:hAnsi="Arial"/>
                <w:sz w:val="16"/>
                <w:szCs w:val="16"/>
                <w:color w:val="auto"/>
              </w:rPr>
              <w:t>6,515</w:t>
            </w:r>
          </w:p>
        </w:tc>
        <w:tc>
          <w:tcPr>
            <w:tcW w:w="0" w:type="dxa"/>
            <w:vAlign w:val="bottom"/>
          </w:tcPr>
          <w:p>
            <w:pPr>
              <w:spacing w:after="0"/>
              <w:rPr>
                <w:sz w:val="1"/>
                <w:szCs w:val="1"/>
                <w:color w:val="auto"/>
              </w:rPr>
            </w:pPr>
          </w:p>
        </w:tc>
      </w:tr>
      <w:tr>
        <w:trPr>
          <w:trHeight w:val="215"/>
        </w:trPr>
        <w:tc>
          <w:tcPr>
            <w:tcW w:w="180" w:type="dxa"/>
            <w:vAlign w:val="bottom"/>
            <w:tcBorders>
              <w:bottom w:val="single" w:sz="8" w:color="D4F1F5"/>
            </w:tcBorders>
          </w:tcPr>
          <w:p>
            <w:pPr>
              <w:spacing w:after="0"/>
              <w:rPr>
                <w:sz w:val="18"/>
                <w:szCs w:val="18"/>
                <w:color w:val="auto"/>
              </w:rPr>
            </w:pPr>
          </w:p>
        </w:tc>
        <w:tc>
          <w:tcPr>
            <w:tcW w:w="8120" w:type="dxa"/>
            <w:vAlign w:val="bottom"/>
            <w:tcBorders>
              <w:bottom w:val="single" w:sz="8" w:color="D4F1F5"/>
            </w:tcBorders>
          </w:tcPr>
          <w:p>
            <w:pPr>
              <w:ind w:left="40"/>
              <w:spacing w:after="0"/>
              <w:rPr>
                <w:sz w:val="20"/>
                <w:szCs w:val="20"/>
                <w:color w:val="auto"/>
              </w:rPr>
            </w:pPr>
            <w:r>
              <w:rPr>
                <w:rFonts w:ascii="Arial" w:cs="Arial" w:eastAsia="Arial" w:hAnsi="Arial"/>
                <w:sz w:val="16"/>
                <w:szCs w:val="16"/>
                <w:color w:val="auto"/>
              </w:rPr>
              <w:t>Accumulated other comprehensive income (loss)</w:t>
            </w:r>
          </w:p>
        </w:tc>
        <w:tc>
          <w:tcPr>
            <w:tcW w:w="2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w:t>
            </w:r>
          </w:p>
        </w:tc>
        <w:tc>
          <w:tcPr>
            <w:tcW w:w="2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w:t>
            </w:r>
          </w:p>
        </w:tc>
        <w:tc>
          <w:tcPr>
            <w:tcW w:w="0" w:type="dxa"/>
            <w:vAlign w:val="bottom"/>
          </w:tcPr>
          <w:p>
            <w:pPr>
              <w:spacing w:after="0"/>
              <w:rPr>
                <w:sz w:val="1"/>
                <w:szCs w:val="1"/>
                <w:color w:val="auto"/>
              </w:rPr>
            </w:pPr>
          </w:p>
        </w:tc>
      </w:tr>
      <w:tr>
        <w:trPr>
          <w:trHeight w:val="210"/>
        </w:trPr>
        <w:tc>
          <w:tcPr>
            <w:tcW w:w="180" w:type="dxa"/>
            <w:vAlign w:val="bottom"/>
            <w:shd w:val="clear" w:color="auto" w:fill="D4F1F5"/>
          </w:tcPr>
          <w:p>
            <w:pPr>
              <w:spacing w:after="0"/>
              <w:rPr>
                <w:sz w:val="18"/>
                <w:szCs w:val="18"/>
                <w:color w:val="auto"/>
              </w:rPr>
            </w:pPr>
          </w:p>
        </w:tc>
        <w:tc>
          <w:tcPr>
            <w:tcW w:w="8120" w:type="dxa"/>
            <w:vAlign w:val="bottom"/>
            <w:shd w:val="clear" w:color="auto" w:fill="D4F1F5"/>
          </w:tcPr>
          <w:p>
            <w:pPr>
              <w:ind w:left="300"/>
              <w:spacing w:after="0"/>
              <w:rPr>
                <w:sz w:val="20"/>
                <w:szCs w:val="20"/>
                <w:color w:val="auto"/>
              </w:rPr>
            </w:pPr>
            <w:r>
              <w:rPr>
                <w:rFonts w:ascii="Arial" w:cs="Arial" w:eastAsia="Arial" w:hAnsi="Arial"/>
                <w:sz w:val="16"/>
                <w:szCs w:val="16"/>
                <w:color w:val="auto"/>
              </w:rPr>
              <w:t>Total shareholders’ equity</w:t>
            </w:r>
          </w:p>
        </w:tc>
        <w:tc>
          <w:tcPr>
            <w:tcW w:w="220" w:type="dxa"/>
            <w:vAlign w:val="bottom"/>
            <w:tcBorders>
              <w:bottom w:val="single" w:sz="8" w:color="auto"/>
            </w:tcBorders>
            <w:shd w:val="clear" w:color="auto" w:fill="D4F1F5"/>
          </w:tcPr>
          <w:p>
            <w:pPr>
              <w:spacing w:after="0"/>
              <w:rPr>
                <w:sz w:val="18"/>
                <w:szCs w:val="18"/>
                <w:color w:val="auto"/>
              </w:rPr>
            </w:pPr>
          </w:p>
        </w:tc>
        <w:tc>
          <w:tcPr>
            <w:tcW w:w="1240" w:type="dxa"/>
            <w:vAlign w:val="bottom"/>
            <w:tcBorders>
              <w:bottom w:val="single" w:sz="8" w:color="auto"/>
            </w:tcBorders>
            <w:shd w:val="clear" w:color="auto" w:fill="D4F1F5"/>
          </w:tcPr>
          <w:p>
            <w:pPr>
              <w:jc w:val="right"/>
              <w:ind w:right="40"/>
              <w:spacing w:after="0"/>
              <w:rPr>
                <w:sz w:val="20"/>
                <w:szCs w:val="20"/>
                <w:color w:val="auto"/>
              </w:rPr>
            </w:pPr>
            <w:r>
              <w:rPr>
                <w:rFonts w:ascii="Arial" w:cs="Arial" w:eastAsia="Arial" w:hAnsi="Arial"/>
                <w:sz w:val="16"/>
                <w:szCs w:val="16"/>
                <w:color w:val="auto"/>
              </w:rPr>
              <w:t>9,260</w:t>
            </w:r>
          </w:p>
        </w:tc>
        <w:tc>
          <w:tcPr>
            <w:tcW w:w="240" w:type="dxa"/>
            <w:vAlign w:val="bottom"/>
            <w:tcBorders>
              <w:bottom w:val="single" w:sz="8" w:color="auto"/>
            </w:tcBorders>
            <w:shd w:val="clear" w:color="auto" w:fill="D4F1F5"/>
          </w:tcPr>
          <w:p>
            <w:pPr>
              <w:spacing w:after="0"/>
              <w:rPr>
                <w:sz w:val="18"/>
                <w:szCs w:val="18"/>
                <w:color w:val="auto"/>
              </w:rPr>
            </w:pPr>
          </w:p>
        </w:tc>
        <w:tc>
          <w:tcPr>
            <w:tcW w:w="1240" w:type="dxa"/>
            <w:vAlign w:val="bottom"/>
            <w:tcBorders>
              <w:bottom w:val="single" w:sz="8" w:color="auto"/>
            </w:tcBorders>
            <w:shd w:val="clear" w:color="auto" w:fill="D4F1F5"/>
          </w:tcPr>
          <w:p>
            <w:pPr>
              <w:jc w:val="right"/>
              <w:spacing w:after="0"/>
              <w:rPr>
                <w:sz w:val="20"/>
                <w:szCs w:val="20"/>
                <w:color w:val="auto"/>
              </w:rPr>
            </w:pPr>
            <w:r>
              <w:rPr>
                <w:rFonts w:ascii="Arial" w:cs="Arial" w:eastAsia="Arial" w:hAnsi="Arial"/>
                <w:sz w:val="16"/>
                <w:szCs w:val="16"/>
                <w:color w:val="auto"/>
              </w:rPr>
              <w:t>8,836</w:t>
            </w:r>
          </w:p>
        </w:tc>
        <w:tc>
          <w:tcPr>
            <w:tcW w:w="0" w:type="dxa"/>
            <w:vAlign w:val="bottom"/>
          </w:tcPr>
          <w:p>
            <w:pPr>
              <w:spacing w:after="0"/>
              <w:rPr>
                <w:sz w:val="1"/>
                <w:szCs w:val="1"/>
                <w:color w:val="auto"/>
              </w:rPr>
            </w:pPr>
          </w:p>
        </w:tc>
      </w:tr>
      <w:tr>
        <w:trPr>
          <w:trHeight w:val="216"/>
        </w:trPr>
        <w:tc>
          <w:tcPr>
            <w:tcW w:w="8300" w:type="dxa"/>
            <w:vAlign w:val="bottom"/>
            <w:tcBorders>
              <w:bottom w:val="single" w:sz="8" w:color="auto"/>
            </w:tcBorders>
            <w:gridSpan w:val="2"/>
          </w:tcPr>
          <w:p>
            <w:pPr>
              <w:ind w:left="20"/>
              <w:spacing w:after="0"/>
              <w:rPr>
                <w:sz w:val="20"/>
                <w:szCs w:val="20"/>
                <w:color w:val="auto"/>
              </w:rPr>
            </w:pPr>
            <w:r>
              <w:rPr>
                <w:rFonts w:ascii="Arial" w:cs="Arial" w:eastAsia="Arial" w:hAnsi="Arial"/>
                <w:sz w:val="16"/>
                <w:szCs w:val="16"/>
                <w:color w:val="auto"/>
              </w:rPr>
              <w:t>Total liabilities and shareholders’ equity</w:t>
            </w: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27,602</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27,688</w:t>
            </w:r>
          </w:p>
        </w:tc>
        <w:tc>
          <w:tcPr>
            <w:tcW w:w="0" w:type="dxa"/>
            <w:vAlign w:val="bottom"/>
          </w:tcPr>
          <w:p>
            <w:pPr>
              <w:spacing w:after="0"/>
              <w:rPr>
                <w:sz w:val="1"/>
                <w:szCs w:val="1"/>
                <w:color w:val="auto"/>
              </w:rPr>
            </w:pPr>
          </w:p>
        </w:tc>
      </w:tr>
      <w:tr>
        <w:trPr>
          <w:trHeight w:val="264"/>
        </w:trPr>
        <w:tc>
          <w:tcPr>
            <w:tcW w:w="180" w:type="dxa"/>
            <w:vAlign w:val="bottom"/>
          </w:tcPr>
          <w:p>
            <w:pPr>
              <w:spacing w:after="0"/>
              <w:rPr>
                <w:sz w:val="20"/>
                <w:szCs w:val="20"/>
                <w:color w:val="auto"/>
              </w:rPr>
            </w:pPr>
            <w:r>
              <w:rPr>
                <w:rFonts w:ascii="Arial" w:cs="Arial" w:eastAsia="Arial" w:hAnsi="Arial"/>
                <w:sz w:val="11"/>
                <w:szCs w:val="11"/>
                <w:i w:val="1"/>
                <w:iCs w:val="1"/>
                <w:color w:val="auto"/>
              </w:rPr>
              <w:t>(1)</w:t>
            </w:r>
          </w:p>
        </w:tc>
        <w:tc>
          <w:tcPr>
            <w:tcW w:w="8120" w:type="dxa"/>
            <w:vAlign w:val="bottom"/>
            <w:vMerge w:val="restart"/>
          </w:tcPr>
          <w:p>
            <w:pPr>
              <w:ind w:left="140"/>
              <w:spacing w:after="0"/>
              <w:rPr>
                <w:sz w:val="20"/>
                <w:szCs w:val="20"/>
                <w:color w:val="auto"/>
              </w:rPr>
            </w:pPr>
            <w:r>
              <w:rPr>
                <w:rFonts w:ascii="Arial" w:cs="Arial" w:eastAsia="Arial" w:hAnsi="Arial"/>
                <w:sz w:val="14"/>
                <w:szCs w:val="14"/>
                <w:i w:val="1"/>
                <w:iCs w:val="1"/>
                <w:color w:val="auto"/>
              </w:rPr>
              <w:t>Derived from audited financial statements.</w:t>
            </w:r>
          </w:p>
        </w:tc>
        <w:tc>
          <w:tcPr>
            <w:tcW w:w="22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79"/>
        </w:trPr>
        <w:tc>
          <w:tcPr>
            <w:tcW w:w="180" w:type="dxa"/>
            <w:vAlign w:val="bottom"/>
          </w:tcPr>
          <w:p>
            <w:pPr>
              <w:spacing w:after="0"/>
              <w:rPr>
                <w:sz w:val="6"/>
                <w:szCs w:val="6"/>
                <w:color w:val="auto"/>
              </w:rPr>
            </w:pPr>
          </w:p>
        </w:tc>
        <w:tc>
          <w:tcPr>
            <w:tcW w:w="8120" w:type="dxa"/>
            <w:vAlign w:val="bottom"/>
            <w:vMerge w:val="continue"/>
          </w:tcPr>
          <w:p>
            <w:pPr>
              <w:spacing w:after="0"/>
              <w:rPr>
                <w:sz w:val="6"/>
                <w:szCs w:val="6"/>
                <w:color w:val="auto"/>
              </w:rPr>
            </w:pPr>
          </w:p>
        </w:tc>
        <w:tc>
          <w:tcPr>
            <w:tcW w:w="220" w:type="dxa"/>
            <w:vAlign w:val="bottom"/>
          </w:tcPr>
          <w:p>
            <w:pPr>
              <w:spacing w:after="0"/>
              <w:rPr>
                <w:sz w:val="6"/>
                <w:szCs w:val="6"/>
                <w:color w:val="auto"/>
              </w:rPr>
            </w:pPr>
          </w:p>
        </w:tc>
        <w:tc>
          <w:tcPr>
            <w:tcW w:w="1240" w:type="dxa"/>
            <w:vAlign w:val="bottom"/>
          </w:tcPr>
          <w:p>
            <w:pPr>
              <w:spacing w:after="0"/>
              <w:rPr>
                <w:sz w:val="6"/>
                <w:szCs w:val="6"/>
                <w:color w:val="auto"/>
              </w:rPr>
            </w:pPr>
          </w:p>
        </w:tc>
        <w:tc>
          <w:tcPr>
            <w:tcW w:w="240" w:type="dxa"/>
            <w:vAlign w:val="bottom"/>
          </w:tcPr>
          <w:p>
            <w:pPr>
              <w:spacing w:after="0"/>
              <w:rPr>
                <w:sz w:val="6"/>
                <w:szCs w:val="6"/>
                <w:color w:val="auto"/>
              </w:rPr>
            </w:pPr>
          </w:p>
        </w:tc>
        <w:tc>
          <w:tcPr>
            <w:tcW w:w="124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28"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See Notes to Condensed Financial Statements.</w:t>
      </w: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150495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480060</wp:posOffset>
            </wp:positionV>
            <wp:extent cx="7132320" cy="45402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4540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FFFFFF"/>
        </w:rPr>
        <w:t>SOUTHERN CALIFORNIA GAS COMPANY</w:t>
      </w:r>
    </w:p>
    <w:p>
      <w:pPr>
        <w:spacing w:after="0" w:line="59"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FFFFFF"/>
        </w:rPr>
        <w:t>CONDENSED STATEMENTS OF CASH FLOWS</w:t>
      </w:r>
    </w:p>
    <w:p>
      <w:pPr>
        <w:spacing w:after="0" w:line="66" w:lineRule="exact"/>
        <w:rPr>
          <w:sz w:val="20"/>
          <w:szCs w:val="20"/>
          <w:color w:val="auto"/>
        </w:rPr>
      </w:pPr>
    </w:p>
    <w:p>
      <w:pPr>
        <w:ind w:left="20"/>
        <w:spacing w:after="0"/>
        <w:rPr>
          <w:sz w:val="20"/>
          <w:szCs w:val="20"/>
          <w:color w:val="auto"/>
        </w:rPr>
      </w:pPr>
      <w:r>
        <w:rPr>
          <w:rFonts w:ascii="Arial" w:cs="Arial" w:eastAsia="Arial" w:hAnsi="Arial"/>
          <w:sz w:val="14"/>
          <w:szCs w:val="14"/>
          <w:i w:val="1"/>
          <w:iCs w:val="1"/>
          <w:color w:val="FFFFFF"/>
        </w:rPr>
        <w:t>(Dollars in millions)</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8240" w:type="dxa"/>
            <w:vAlign w:val="bottom"/>
          </w:tcPr>
          <w:p>
            <w:pPr>
              <w:spacing w:after="0"/>
              <w:rPr>
                <w:sz w:val="16"/>
                <w:szCs w:val="16"/>
                <w:color w:val="auto"/>
              </w:rPr>
            </w:pPr>
          </w:p>
        </w:tc>
        <w:tc>
          <w:tcPr>
            <w:tcW w:w="25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color w:val="auto"/>
              </w:rPr>
              <w:t>Three months ended March 31,</w:t>
            </w:r>
          </w:p>
        </w:tc>
        <w:tc>
          <w:tcPr>
            <w:tcW w:w="440" w:type="dxa"/>
            <w:vAlign w:val="bottom"/>
            <w:tcBorders>
              <w:bottom w:val="single" w:sz="8" w:color="auto"/>
            </w:tcBorders>
          </w:tcPr>
          <w:p>
            <w:pPr>
              <w:spacing w:after="0"/>
              <w:rPr>
                <w:sz w:val="16"/>
                <w:szCs w:val="16"/>
                <w:color w:val="auto"/>
              </w:rPr>
            </w:pPr>
          </w:p>
        </w:tc>
      </w:tr>
      <w:tr>
        <w:trPr>
          <w:trHeight w:val="209"/>
        </w:trPr>
        <w:tc>
          <w:tcPr>
            <w:tcW w:w="82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2"/>
              <w:spacing w:after="0"/>
              <w:rPr>
                <w:sz w:val="20"/>
                <w:szCs w:val="20"/>
                <w:color w:val="auto"/>
              </w:rPr>
            </w:pPr>
            <w:r>
              <w:rPr>
                <w:rFonts w:ascii="Arial" w:cs="Arial" w:eastAsia="Arial" w:hAnsi="Arial"/>
                <w:sz w:val="14"/>
                <w:szCs w:val="14"/>
                <w:color w:val="auto"/>
              </w:rPr>
              <w:t>2026</w:t>
            </w:r>
          </w:p>
        </w:tc>
        <w:tc>
          <w:tcPr>
            <w:tcW w:w="5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1"/>
              <w:spacing w:after="0"/>
              <w:rPr>
                <w:sz w:val="20"/>
                <w:szCs w:val="20"/>
                <w:color w:val="auto"/>
              </w:rPr>
            </w:pPr>
            <w:r>
              <w:rPr>
                <w:rFonts w:ascii="Arial" w:cs="Arial" w:eastAsia="Arial" w:hAnsi="Arial"/>
                <w:sz w:val="14"/>
                <w:szCs w:val="14"/>
                <w:color w:val="auto"/>
              </w:rPr>
              <w:t>2025</w:t>
            </w:r>
          </w:p>
        </w:tc>
        <w:tc>
          <w:tcPr>
            <w:tcW w:w="440" w:type="dxa"/>
            <w:vAlign w:val="bottom"/>
            <w:tcBorders>
              <w:bottom w:val="single" w:sz="8" w:color="auto"/>
            </w:tcBorders>
          </w:tcPr>
          <w:p>
            <w:pPr>
              <w:spacing w:after="0"/>
              <w:rPr>
                <w:sz w:val="18"/>
                <w:szCs w:val="18"/>
                <w:color w:val="auto"/>
              </w:rPr>
            </w:pPr>
          </w:p>
        </w:tc>
      </w:tr>
      <w:tr>
        <w:trPr>
          <w:trHeight w:val="213"/>
        </w:trPr>
        <w:tc>
          <w:tcPr>
            <w:tcW w:w="8240" w:type="dxa"/>
            <w:vAlign w:val="bottom"/>
            <w:shd w:val="clear" w:color="auto" w:fill="D4F1F5"/>
          </w:tcPr>
          <w:p>
            <w:pPr>
              <w:spacing w:after="0"/>
              <w:rPr>
                <w:sz w:val="18"/>
                <w:szCs w:val="18"/>
                <w:color w:val="auto"/>
              </w:rPr>
            </w:pPr>
          </w:p>
        </w:tc>
        <w:tc>
          <w:tcPr>
            <w:tcW w:w="960" w:type="dxa"/>
            <w:vAlign w:val="bottom"/>
            <w:shd w:val="clear" w:color="auto" w:fill="D4F1F5"/>
          </w:tcPr>
          <w:p>
            <w:pPr>
              <w:spacing w:after="0"/>
              <w:rPr>
                <w:sz w:val="18"/>
                <w:szCs w:val="18"/>
                <w:color w:val="auto"/>
              </w:rPr>
            </w:pPr>
          </w:p>
        </w:tc>
        <w:tc>
          <w:tcPr>
            <w:tcW w:w="1600" w:type="dxa"/>
            <w:vAlign w:val="bottom"/>
            <w:gridSpan w:val="2"/>
            <w:shd w:val="clear" w:color="auto" w:fill="D4F1F5"/>
          </w:tcPr>
          <w:p>
            <w:pPr>
              <w:jc w:val="right"/>
              <w:ind w:right="621"/>
              <w:spacing w:after="0"/>
              <w:rPr>
                <w:sz w:val="20"/>
                <w:szCs w:val="20"/>
                <w:color w:val="auto"/>
              </w:rPr>
            </w:pPr>
            <w:r>
              <w:rPr>
                <w:rFonts w:ascii="Arial" w:cs="Arial" w:eastAsia="Arial" w:hAnsi="Arial"/>
                <w:sz w:val="14"/>
                <w:szCs w:val="14"/>
                <w:color w:val="auto"/>
              </w:rPr>
              <w:t>(unaudited)</w:t>
            </w:r>
          </w:p>
        </w:tc>
        <w:tc>
          <w:tcPr>
            <w:tcW w:w="440" w:type="dxa"/>
            <w:vAlign w:val="bottom"/>
            <w:shd w:val="clear" w:color="auto" w:fill="D4F1F5"/>
          </w:tcPr>
          <w:p>
            <w:pPr>
              <w:spacing w:after="0"/>
              <w:rPr>
                <w:sz w:val="18"/>
                <w:szCs w:val="18"/>
                <w:color w:val="auto"/>
              </w:rPr>
            </w:pPr>
          </w:p>
        </w:tc>
      </w:tr>
      <w:tr>
        <w:trPr>
          <w:trHeight w:val="215"/>
        </w:trPr>
        <w:tc>
          <w:tcPr>
            <w:tcW w:w="8240" w:type="dxa"/>
            <w:vAlign w:val="bottom"/>
          </w:tcPr>
          <w:p>
            <w:pPr>
              <w:ind w:left="20"/>
              <w:spacing w:after="0"/>
              <w:rPr>
                <w:sz w:val="20"/>
                <w:szCs w:val="20"/>
                <w:color w:val="auto"/>
              </w:rPr>
            </w:pPr>
            <w:r>
              <w:rPr>
                <w:rFonts w:ascii="Arial" w:cs="Arial" w:eastAsia="Arial" w:hAnsi="Arial"/>
                <w:sz w:val="16"/>
                <w:szCs w:val="16"/>
                <w:color w:val="auto"/>
              </w:rPr>
              <w:t>CASH FLOWS FROM OPERATING ACTIVITIES</w:t>
            </w:r>
          </w:p>
        </w:tc>
        <w:tc>
          <w:tcPr>
            <w:tcW w:w="9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40" w:type="dxa"/>
            <w:vAlign w:val="bottom"/>
          </w:tcPr>
          <w:p>
            <w:pPr>
              <w:spacing w:after="0"/>
              <w:rPr>
                <w:sz w:val="18"/>
                <w:szCs w:val="18"/>
                <w:color w:val="auto"/>
              </w:rPr>
            </w:pPr>
          </w:p>
        </w:tc>
      </w:tr>
      <w:tr>
        <w:trPr>
          <w:trHeight w:val="217"/>
        </w:trPr>
        <w:tc>
          <w:tcPr>
            <w:tcW w:w="8240" w:type="dxa"/>
            <w:vAlign w:val="bottom"/>
            <w:shd w:val="clear" w:color="auto" w:fill="D4F1F5"/>
          </w:tcPr>
          <w:p>
            <w:pPr>
              <w:ind w:left="240"/>
              <w:spacing w:after="0"/>
              <w:rPr>
                <w:sz w:val="20"/>
                <w:szCs w:val="20"/>
                <w:color w:val="auto"/>
              </w:rPr>
            </w:pPr>
            <w:r>
              <w:rPr>
                <w:rFonts w:ascii="Arial" w:cs="Arial" w:eastAsia="Arial" w:hAnsi="Arial"/>
                <w:sz w:val="16"/>
                <w:szCs w:val="16"/>
                <w:color w:val="auto"/>
              </w:rPr>
              <w:t>Net income</w:t>
            </w:r>
          </w:p>
        </w:tc>
        <w:tc>
          <w:tcPr>
            <w:tcW w:w="960" w:type="dxa"/>
            <w:vAlign w:val="bottom"/>
            <w:shd w:val="clear" w:color="auto" w:fill="D4F1F5"/>
          </w:tcPr>
          <w:p>
            <w:pPr>
              <w:jc w:val="right"/>
              <w:ind w:right="762"/>
              <w:spacing w:after="0"/>
              <w:rPr>
                <w:sz w:val="20"/>
                <w:szCs w:val="20"/>
                <w:color w:val="auto"/>
              </w:rPr>
            </w:pPr>
            <w:r>
              <w:rPr>
                <w:rFonts w:ascii="Arial" w:cs="Arial" w:eastAsia="Arial" w:hAnsi="Arial"/>
                <w:sz w:val="16"/>
                <w:szCs w:val="16"/>
                <w:color w:val="auto"/>
              </w:rPr>
              <w:t>$</w:t>
            </w:r>
          </w:p>
        </w:tc>
        <w:tc>
          <w:tcPr>
            <w:tcW w:w="540" w:type="dxa"/>
            <w:vAlign w:val="bottom"/>
            <w:shd w:val="clear" w:color="auto" w:fill="D4F1F5"/>
          </w:tcPr>
          <w:p>
            <w:pPr>
              <w:jc w:val="right"/>
              <w:ind w:right="39"/>
              <w:spacing w:after="0"/>
              <w:rPr>
                <w:sz w:val="20"/>
                <w:szCs w:val="20"/>
                <w:color w:val="auto"/>
              </w:rPr>
            </w:pPr>
            <w:r>
              <w:rPr>
                <w:rFonts w:ascii="Arial" w:cs="Arial" w:eastAsia="Arial" w:hAnsi="Arial"/>
                <w:sz w:val="16"/>
                <w:szCs w:val="16"/>
                <w:color w:val="auto"/>
              </w:rPr>
              <w:t>424</w:t>
            </w:r>
          </w:p>
        </w:tc>
        <w:tc>
          <w:tcPr>
            <w:tcW w:w="1060" w:type="dxa"/>
            <w:vAlign w:val="bottom"/>
            <w:shd w:val="clear" w:color="auto" w:fill="D4F1F5"/>
          </w:tcPr>
          <w:p>
            <w:pPr>
              <w:jc w:val="right"/>
              <w:ind w:right="821"/>
              <w:spacing w:after="0"/>
              <w:rPr>
                <w:sz w:val="20"/>
                <w:szCs w:val="20"/>
                <w:color w:val="auto"/>
              </w:rPr>
            </w:pPr>
            <w:r>
              <w:rPr>
                <w:rFonts w:ascii="Arial" w:cs="Arial" w:eastAsia="Arial" w:hAnsi="Arial"/>
                <w:sz w:val="16"/>
                <w:szCs w:val="16"/>
                <w:color w:val="auto"/>
              </w:rPr>
              <w:t>$</w:t>
            </w:r>
          </w:p>
        </w:tc>
        <w:tc>
          <w:tcPr>
            <w:tcW w:w="440" w:type="dxa"/>
            <w:vAlign w:val="bottom"/>
            <w:shd w:val="clear" w:color="auto" w:fill="D4F1F5"/>
          </w:tcPr>
          <w:p>
            <w:pPr>
              <w:jc w:val="right"/>
              <w:spacing w:after="0"/>
              <w:rPr>
                <w:sz w:val="20"/>
                <w:szCs w:val="20"/>
                <w:color w:val="auto"/>
              </w:rPr>
            </w:pPr>
            <w:r>
              <w:rPr>
                <w:rFonts w:ascii="Arial" w:cs="Arial" w:eastAsia="Arial" w:hAnsi="Arial"/>
                <w:sz w:val="16"/>
                <w:szCs w:val="16"/>
                <w:color w:val="auto"/>
              </w:rPr>
              <w:t>443</w:t>
            </w:r>
          </w:p>
        </w:tc>
      </w:tr>
      <w:tr>
        <w:trPr>
          <w:trHeight w:val="215"/>
        </w:trPr>
        <w:tc>
          <w:tcPr>
            <w:tcW w:w="8240" w:type="dxa"/>
            <w:vAlign w:val="bottom"/>
          </w:tcPr>
          <w:p>
            <w:pPr>
              <w:ind w:left="240"/>
              <w:spacing w:after="0"/>
              <w:rPr>
                <w:sz w:val="20"/>
                <w:szCs w:val="20"/>
                <w:color w:val="auto"/>
              </w:rPr>
            </w:pPr>
            <w:r>
              <w:rPr>
                <w:rFonts w:ascii="Arial" w:cs="Arial" w:eastAsia="Arial" w:hAnsi="Arial"/>
                <w:sz w:val="16"/>
                <w:szCs w:val="16"/>
                <w:color w:val="auto"/>
              </w:rPr>
              <w:t>Adjustments to reconcile net income to net cash provided by operating activities:</w:t>
            </w:r>
          </w:p>
        </w:tc>
        <w:tc>
          <w:tcPr>
            <w:tcW w:w="9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40" w:type="dxa"/>
            <w:vAlign w:val="bottom"/>
          </w:tcPr>
          <w:p>
            <w:pPr>
              <w:spacing w:after="0"/>
              <w:rPr>
                <w:sz w:val="18"/>
                <w:szCs w:val="18"/>
                <w:color w:val="auto"/>
              </w:rPr>
            </w:pPr>
          </w:p>
        </w:tc>
      </w:tr>
      <w:tr>
        <w:trPr>
          <w:trHeight w:val="217"/>
        </w:trPr>
        <w:tc>
          <w:tcPr>
            <w:tcW w:w="8240" w:type="dxa"/>
            <w:vAlign w:val="bottom"/>
            <w:shd w:val="clear" w:color="auto" w:fill="D4F1F5"/>
          </w:tcPr>
          <w:p>
            <w:pPr>
              <w:ind w:left="460"/>
              <w:spacing w:after="0"/>
              <w:rPr>
                <w:sz w:val="20"/>
                <w:szCs w:val="20"/>
                <w:color w:val="auto"/>
              </w:rPr>
            </w:pPr>
            <w:r>
              <w:rPr>
                <w:rFonts w:ascii="Arial" w:cs="Arial" w:eastAsia="Arial" w:hAnsi="Arial"/>
                <w:sz w:val="16"/>
                <w:szCs w:val="16"/>
                <w:color w:val="auto"/>
              </w:rPr>
              <w:t>Depreciation and amortization</w:t>
            </w:r>
          </w:p>
        </w:tc>
        <w:tc>
          <w:tcPr>
            <w:tcW w:w="960" w:type="dxa"/>
            <w:vAlign w:val="bottom"/>
            <w:shd w:val="clear" w:color="auto" w:fill="D4F1F5"/>
          </w:tcPr>
          <w:p>
            <w:pPr>
              <w:spacing w:after="0"/>
              <w:rPr>
                <w:sz w:val="18"/>
                <w:szCs w:val="18"/>
                <w:color w:val="auto"/>
              </w:rPr>
            </w:pPr>
          </w:p>
        </w:tc>
        <w:tc>
          <w:tcPr>
            <w:tcW w:w="540" w:type="dxa"/>
            <w:vAlign w:val="bottom"/>
            <w:shd w:val="clear" w:color="auto" w:fill="D4F1F5"/>
          </w:tcPr>
          <w:p>
            <w:pPr>
              <w:jc w:val="right"/>
              <w:ind w:right="39"/>
              <w:spacing w:after="0"/>
              <w:rPr>
                <w:sz w:val="20"/>
                <w:szCs w:val="20"/>
                <w:color w:val="auto"/>
              </w:rPr>
            </w:pPr>
            <w:r>
              <w:rPr>
                <w:rFonts w:ascii="Arial" w:cs="Arial" w:eastAsia="Arial" w:hAnsi="Arial"/>
                <w:sz w:val="16"/>
                <w:szCs w:val="16"/>
                <w:color w:val="auto"/>
              </w:rPr>
              <w:t>273</w:t>
            </w:r>
          </w:p>
        </w:tc>
        <w:tc>
          <w:tcPr>
            <w:tcW w:w="1060" w:type="dxa"/>
            <w:vAlign w:val="bottom"/>
            <w:shd w:val="clear" w:color="auto" w:fill="D4F1F5"/>
          </w:tcPr>
          <w:p>
            <w:pPr>
              <w:spacing w:after="0"/>
              <w:rPr>
                <w:sz w:val="18"/>
                <w:szCs w:val="18"/>
                <w:color w:val="auto"/>
              </w:rPr>
            </w:pPr>
          </w:p>
        </w:tc>
        <w:tc>
          <w:tcPr>
            <w:tcW w:w="440" w:type="dxa"/>
            <w:vAlign w:val="bottom"/>
            <w:shd w:val="clear" w:color="auto" w:fill="D4F1F5"/>
          </w:tcPr>
          <w:p>
            <w:pPr>
              <w:jc w:val="right"/>
              <w:spacing w:after="0"/>
              <w:rPr>
                <w:sz w:val="20"/>
                <w:szCs w:val="20"/>
                <w:color w:val="auto"/>
              </w:rPr>
            </w:pPr>
            <w:r>
              <w:rPr>
                <w:rFonts w:ascii="Arial" w:cs="Arial" w:eastAsia="Arial" w:hAnsi="Arial"/>
                <w:sz w:val="16"/>
                <w:szCs w:val="16"/>
                <w:color w:val="auto"/>
              </w:rPr>
              <w:t>242</w:t>
            </w:r>
          </w:p>
        </w:tc>
      </w:tr>
      <w:tr>
        <w:trPr>
          <w:trHeight w:val="215"/>
        </w:trPr>
        <w:tc>
          <w:tcPr>
            <w:tcW w:w="8240" w:type="dxa"/>
            <w:vAlign w:val="bottom"/>
          </w:tcPr>
          <w:p>
            <w:pPr>
              <w:ind w:left="460"/>
              <w:spacing w:after="0"/>
              <w:rPr>
                <w:sz w:val="20"/>
                <w:szCs w:val="20"/>
                <w:color w:val="auto"/>
              </w:rPr>
            </w:pPr>
            <w:r>
              <w:rPr>
                <w:rFonts w:ascii="Arial" w:cs="Arial" w:eastAsia="Arial" w:hAnsi="Arial"/>
                <w:sz w:val="16"/>
                <w:szCs w:val="16"/>
                <w:color w:val="auto"/>
              </w:rPr>
              <w:t>Deferred income taxes and investment tax credits</w:t>
            </w:r>
          </w:p>
        </w:tc>
        <w:tc>
          <w:tcPr>
            <w:tcW w:w="9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(20)</w:t>
            </w:r>
          </w:p>
        </w:tc>
        <w:tc>
          <w:tcPr>
            <w:tcW w:w="106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(33)</w:t>
            </w:r>
          </w:p>
        </w:tc>
      </w:tr>
      <w:tr>
        <w:trPr>
          <w:trHeight w:val="217"/>
        </w:trPr>
        <w:tc>
          <w:tcPr>
            <w:tcW w:w="8240" w:type="dxa"/>
            <w:vAlign w:val="bottom"/>
            <w:shd w:val="clear" w:color="auto" w:fill="D4F1F5"/>
          </w:tcPr>
          <w:p>
            <w:pPr>
              <w:ind w:left="460"/>
              <w:spacing w:after="0"/>
              <w:rPr>
                <w:sz w:val="20"/>
                <w:szCs w:val="20"/>
                <w:color w:val="auto"/>
              </w:rPr>
            </w:pPr>
            <w:r>
              <w:rPr>
                <w:rFonts w:ascii="Arial" w:cs="Arial" w:eastAsia="Arial" w:hAnsi="Arial"/>
                <w:sz w:val="16"/>
                <w:szCs w:val="16"/>
                <w:color w:val="auto"/>
              </w:rPr>
              <w:t>Bad debt expense</w:t>
            </w:r>
          </w:p>
        </w:tc>
        <w:tc>
          <w:tcPr>
            <w:tcW w:w="960" w:type="dxa"/>
            <w:vAlign w:val="bottom"/>
            <w:shd w:val="clear" w:color="auto" w:fill="D4F1F5"/>
          </w:tcPr>
          <w:p>
            <w:pPr>
              <w:spacing w:after="0"/>
              <w:rPr>
                <w:sz w:val="18"/>
                <w:szCs w:val="18"/>
                <w:color w:val="auto"/>
              </w:rPr>
            </w:pPr>
          </w:p>
        </w:tc>
        <w:tc>
          <w:tcPr>
            <w:tcW w:w="540" w:type="dxa"/>
            <w:vAlign w:val="bottom"/>
            <w:shd w:val="clear" w:color="auto" w:fill="D4F1F5"/>
          </w:tcPr>
          <w:p>
            <w:pPr>
              <w:jc w:val="right"/>
              <w:ind w:right="39"/>
              <w:spacing w:after="0"/>
              <w:rPr>
                <w:sz w:val="20"/>
                <w:szCs w:val="20"/>
                <w:color w:val="auto"/>
              </w:rPr>
            </w:pPr>
            <w:r>
              <w:rPr>
                <w:rFonts w:ascii="Arial" w:cs="Arial" w:eastAsia="Arial" w:hAnsi="Arial"/>
                <w:sz w:val="16"/>
                <w:szCs w:val="16"/>
                <w:color w:val="auto"/>
              </w:rPr>
              <w:t>7</w:t>
            </w:r>
          </w:p>
        </w:tc>
        <w:tc>
          <w:tcPr>
            <w:tcW w:w="1060" w:type="dxa"/>
            <w:vAlign w:val="bottom"/>
            <w:shd w:val="clear" w:color="auto" w:fill="D4F1F5"/>
          </w:tcPr>
          <w:p>
            <w:pPr>
              <w:spacing w:after="0"/>
              <w:rPr>
                <w:sz w:val="18"/>
                <w:szCs w:val="18"/>
                <w:color w:val="auto"/>
              </w:rPr>
            </w:pPr>
          </w:p>
        </w:tc>
        <w:tc>
          <w:tcPr>
            <w:tcW w:w="440" w:type="dxa"/>
            <w:vAlign w:val="bottom"/>
            <w:shd w:val="clear" w:color="auto" w:fill="D4F1F5"/>
          </w:tcPr>
          <w:p>
            <w:pPr>
              <w:jc w:val="right"/>
              <w:spacing w:after="0"/>
              <w:rPr>
                <w:sz w:val="20"/>
                <w:szCs w:val="20"/>
                <w:color w:val="auto"/>
              </w:rPr>
            </w:pPr>
            <w:r>
              <w:rPr>
                <w:rFonts w:ascii="Arial" w:cs="Arial" w:eastAsia="Arial" w:hAnsi="Arial"/>
                <w:sz w:val="16"/>
                <w:szCs w:val="16"/>
                <w:color w:val="auto"/>
              </w:rPr>
              <w:t>8</w:t>
            </w:r>
          </w:p>
        </w:tc>
      </w:tr>
      <w:tr>
        <w:trPr>
          <w:trHeight w:val="215"/>
        </w:trPr>
        <w:tc>
          <w:tcPr>
            <w:tcW w:w="8240" w:type="dxa"/>
            <w:vAlign w:val="bottom"/>
          </w:tcPr>
          <w:p>
            <w:pPr>
              <w:ind w:left="460"/>
              <w:spacing w:after="0"/>
              <w:rPr>
                <w:sz w:val="20"/>
                <w:szCs w:val="20"/>
                <w:color w:val="auto"/>
              </w:rPr>
            </w:pPr>
            <w:r>
              <w:rPr>
                <w:rFonts w:ascii="Arial" w:cs="Arial" w:eastAsia="Arial" w:hAnsi="Arial"/>
                <w:sz w:val="16"/>
                <w:szCs w:val="16"/>
                <w:color w:val="auto"/>
              </w:rPr>
              <w:t>Other</w:t>
            </w:r>
          </w:p>
        </w:tc>
        <w:tc>
          <w:tcPr>
            <w:tcW w:w="9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(6)</w:t>
            </w:r>
          </w:p>
        </w:tc>
        <w:tc>
          <w:tcPr>
            <w:tcW w:w="106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(5)</w:t>
            </w:r>
          </w:p>
        </w:tc>
      </w:tr>
      <w:tr>
        <w:trPr>
          <w:trHeight w:val="217"/>
        </w:trPr>
        <w:tc>
          <w:tcPr>
            <w:tcW w:w="8240" w:type="dxa"/>
            <w:vAlign w:val="bottom"/>
            <w:shd w:val="clear" w:color="auto" w:fill="D4F1F5"/>
          </w:tcPr>
          <w:p>
            <w:pPr>
              <w:ind w:left="240"/>
              <w:spacing w:after="0"/>
              <w:rPr>
                <w:sz w:val="20"/>
                <w:szCs w:val="20"/>
                <w:color w:val="auto"/>
              </w:rPr>
            </w:pPr>
            <w:r>
              <w:rPr>
                <w:rFonts w:ascii="Arial" w:cs="Arial" w:eastAsia="Arial" w:hAnsi="Arial"/>
                <w:sz w:val="16"/>
                <w:szCs w:val="16"/>
                <w:color w:val="auto"/>
              </w:rPr>
              <w:t>Net change in working capital components</w:t>
            </w:r>
          </w:p>
        </w:tc>
        <w:tc>
          <w:tcPr>
            <w:tcW w:w="960" w:type="dxa"/>
            <w:vAlign w:val="bottom"/>
            <w:shd w:val="clear" w:color="auto" w:fill="D4F1F5"/>
          </w:tcPr>
          <w:p>
            <w:pPr>
              <w:spacing w:after="0"/>
              <w:rPr>
                <w:sz w:val="18"/>
                <w:szCs w:val="18"/>
                <w:color w:val="auto"/>
              </w:rPr>
            </w:pPr>
          </w:p>
        </w:tc>
        <w:tc>
          <w:tcPr>
            <w:tcW w:w="540" w:type="dxa"/>
            <w:vAlign w:val="bottom"/>
            <w:shd w:val="clear" w:color="auto" w:fill="D4F1F5"/>
          </w:tcPr>
          <w:p>
            <w:pPr>
              <w:jc w:val="right"/>
              <w:ind w:right="39"/>
              <w:spacing w:after="0"/>
              <w:rPr>
                <w:sz w:val="20"/>
                <w:szCs w:val="20"/>
                <w:color w:val="auto"/>
              </w:rPr>
            </w:pPr>
            <w:r>
              <w:rPr>
                <w:rFonts w:ascii="Arial" w:cs="Arial" w:eastAsia="Arial" w:hAnsi="Arial"/>
                <w:sz w:val="16"/>
                <w:szCs w:val="16"/>
                <w:color w:val="auto"/>
              </w:rPr>
              <w:t>210</w:t>
            </w:r>
          </w:p>
        </w:tc>
        <w:tc>
          <w:tcPr>
            <w:tcW w:w="1060" w:type="dxa"/>
            <w:vAlign w:val="bottom"/>
            <w:shd w:val="clear" w:color="auto" w:fill="D4F1F5"/>
          </w:tcPr>
          <w:p>
            <w:pPr>
              <w:spacing w:after="0"/>
              <w:rPr>
                <w:sz w:val="18"/>
                <w:szCs w:val="18"/>
                <w:color w:val="auto"/>
              </w:rPr>
            </w:pPr>
          </w:p>
        </w:tc>
        <w:tc>
          <w:tcPr>
            <w:tcW w:w="440" w:type="dxa"/>
            <w:vAlign w:val="bottom"/>
            <w:shd w:val="clear" w:color="auto" w:fill="D4F1F5"/>
          </w:tcPr>
          <w:p>
            <w:pPr>
              <w:jc w:val="right"/>
              <w:spacing w:after="0"/>
              <w:rPr>
                <w:sz w:val="20"/>
                <w:szCs w:val="20"/>
                <w:color w:val="auto"/>
              </w:rPr>
            </w:pPr>
            <w:r>
              <w:rPr>
                <w:rFonts w:ascii="Arial" w:cs="Arial" w:eastAsia="Arial" w:hAnsi="Arial"/>
                <w:sz w:val="16"/>
                <w:szCs w:val="16"/>
                <w:color w:val="auto"/>
              </w:rPr>
              <w:t>76</w:t>
            </w:r>
          </w:p>
        </w:tc>
      </w:tr>
      <w:tr>
        <w:trPr>
          <w:trHeight w:val="215"/>
        </w:trPr>
        <w:tc>
          <w:tcPr>
            <w:tcW w:w="8240" w:type="dxa"/>
            <w:vAlign w:val="bottom"/>
            <w:tcBorders>
              <w:bottom w:val="single" w:sz="8" w:color="D4F1F5"/>
            </w:tcBorders>
          </w:tcPr>
          <w:p>
            <w:pPr>
              <w:ind w:left="240"/>
              <w:spacing w:after="0"/>
              <w:rPr>
                <w:sz w:val="20"/>
                <w:szCs w:val="20"/>
                <w:color w:val="auto"/>
              </w:rPr>
            </w:pPr>
            <w:r>
              <w:rPr>
                <w:rFonts w:ascii="Arial" w:cs="Arial" w:eastAsia="Arial" w:hAnsi="Arial"/>
                <w:sz w:val="16"/>
                <w:szCs w:val="16"/>
                <w:color w:val="auto"/>
              </w:rPr>
              <w:t>Changes in noncurrent assets and liabilities, net</w:t>
            </w:r>
          </w:p>
        </w:tc>
        <w:tc>
          <w:tcPr>
            <w:tcW w:w="96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w:t>
            </w:r>
          </w:p>
        </w:tc>
        <w:tc>
          <w:tcPr>
            <w:tcW w:w="106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w:t>
            </w:r>
          </w:p>
        </w:tc>
      </w:tr>
      <w:tr>
        <w:trPr>
          <w:trHeight w:val="209"/>
        </w:trPr>
        <w:tc>
          <w:tcPr>
            <w:tcW w:w="8240" w:type="dxa"/>
            <w:vAlign w:val="bottom"/>
            <w:shd w:val="clear" w:color="auto" w:fill="D4F1F5"/>
          </w:tcPr>
          <w:p>
            <w:pPr>
              <w:ind w:left="460"/>
              <w:spacing w:after="0"/>
              <w:rPr>
                <w:sz w:val="20"/>
                <w:szCs w:val="20"/>
                <w:color w:val="auto"/>
              </w:rPr>
            </w:pPr>
            <w:r>
              <w:rPr>
                <w:rFonts w:ascii="Arial" w:cs="Arial" w:eastAsia="Arial" w:hAnsi="Arial"/>
                <w:sz w:val="16"/>
                <w:szCs w:val="16"/>
                <w:color w:val="auto"/>
              </w:rPr>
              <w:t>Net cash provided by operating activities</w:t>
            </w:r>
          </w:p>
        </w:tc>
        <w:tc>
          <w:tcPr>
            <w:tcW w:w="960" w:type="dxa"/>
            <w:vAlign w:val="bottom"/>
            <w:tcBorders>
              <w:bottom w:val="single" w:sz="8" w:color="auto"/>
            </w:tcBorders>
            <w:shd w:val="clear" w:color="auto" w:fill="D4F1F5"/>
          </w:tcPr>
          <w:p>
            <w:pPr>
              <w:spacing w:after="0"/>
              <w:rPr>
                <w:sz w:val="18"/>
                <w:szCs w:val="18"/>
                <w:color w:val="auto"/>
              </w:rPr>
            </w:pPr>
          </w:p>
        </w:tc>
        <w:tc>
          <w:tcPr>
            <w:tcW w:w="540" w:type="dxa"/>
            <w:vAlign w:val="bottom"/>
            <w:tcBorders>
              <w:bottom w:val="single" w:sz="8" w:color="auto"/>
            </w:tcBorders>
            <w:shd w:val="clear" w:color="auto" w:fill="D4F1F5"/>
          </w:tcPr>
          <w:p>
            <w:pPr>
              <w:jc w:val="right"/>
              <w:ind w:right="39"/>
              <w:spacing w:after="0"/>
              <w:rPr>
                <w:sz w:val="20"/>
                <w:szCs w:val="20"/>
                <w:color w:val="auto"/>
              </w:rPr>
            </w:pPr>
            <w:r>
              <w:rPr>
                <w:rFonts w:ascii="Arial" w:cs="Arial" w:eastAsia="Arial" w:hAnsi="Arial"/>
                <w:sz w:val="16"/>
                <w:szCs w:val="16"/>
                <w:color w:val="auto"/>
              </w:rPr>
              <w:t>879</w:t>
            </w:r>
          </w:p>
        </w:tc>
        <w:tc>
          <w:tcPr>
            <w:tcW w:w="1060" w:type="dxa"/>
            <w:vAlign w:val="bottom"/>
            <w:tcBorders>
              <w:bottom w:val="single" w:sz="8" w:color="auto"/>
            </w:tcBorders>
            <w:shd w:val="clear" w:color="auto" w:fill="D4F1F5"/>
          </w:tcPr>
          <w:p>
            <w:pPr>
              <w:spacing w:after="0"/>
              <w:rPr>
                <w:sz w:val="18"/>
                <w:szCs w:val="18"/>
                <w:color w:val="auto"/>
              </w:rPr>
            </w:pPr>
          </w:p>
        </w:tc>
        <w:tc>
          <w:tcPr>
            <w:tcW w:w="440" w:type="dxa"/>
            <w:vAlign w:val="bottom"/>
            <w:tcBorders>
              <w:bottom w:val="single" w:sz="8" w:color="auto"/>
            </w:tcBorders>
            <w:shd w:val="clear" w:color="auto" w:fill="D4F1F5"/>
          </w:tcPr>
          <w:p>
            <w:pPr>
              <w:jc w:val="right"/>
              <w:spacing w:after="0"/>
              <w:rPr>
                <w:sz w:val="20"/>
                <w:szCs w:val="20"/>
                <w:color w:val="auto"/>
              </w:rPr>
            </w:pPr>
            <w:r>
              <w:rPr>
                <w:rFonts w:ascii="Arial" w:cs="Arial" w:eastAsia="Arial" w:hAnsi="Arial"/>
                <w:sz w:val="16"/>
                <w:szCs w:val="16"/>
                <w:color w:val="auto"/>
              </w:rPr>
              <w:t>779</w:t>
            </w:r>
          </w:p>
        </w:tc>
      </w:tr>
      <w:tr>
        <w:trPr>
          <w:trHeight w:val="197"/>
        </w:trPr>
        <w:tc>
          <w:tcPr>
            <w:tcW w:w="82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440" w:type="dxa"/>
            <w:vAlign w:val="bottom"/>
          </w:tcPr>
          <w:p>
            <w:pPr>
              <w:spacing w:after="0"/>
              <w:rPr>
                <w:sz w:val="17"/>
                <w:szCs w:val="17"/>
                <w:color w:val="auto"/>
              </w:rPr>
            </w:pPr>
          </w:p>
        </w:tc>
      </w:tr>
      <w:tr>
        <w:trPr>
          <w:trHeight w:val="216"/>
        </w:trPr>
        <w:tc>
          <w:tcPr>
            <w:tcW w:w="8240" w:type="dxa"/>
            <w:vAlign w:val="bottom"/>
            <w:shd w:val="clear" w:color="auto" w:fill="D4F1F5"/>
          </w:tcPr>
          <w:p>
            <w:pPr>
              <w:ind w:left="20"/>
              <w:spacing w:after="0"/>
              <w:rPr>
                <w:sz w:val="20"/>
                <w:szCs w:val="20"/>
                <w:color w:val="auto"/>
              </w:rPr>
            </w:pPr>
            <w:r>
              <w:rPr>
                <w:rFonts w:ascii="Arial" w:cs="Arial" w:eastAsia="Arial" w:hAnsi="Arial"/>
                <w:sz w:val="16"/>
                <w:szCs w:val="16"/>
                <w:color w:val="auto"/>
              </w:rPr>
              <w:t>CASH FLOWS FROM INVESTING ACTIVITIES</w:t>
            </w:r>
          </w:p>
        </w:tc>
        <w:tc>
          <w:tcPr>
            <w:tcW w:w="960" w:type="dxa"/>
            <w:vAlign w:val="bottom"/>
            <w:shd w:val="clear" w:color="auto" w:fill="D4F1F5"/>
          </w:tcPr>
          <w:p>
            <w:pPr>
              <w:spacing w:after="0"/>
              <w:rPr>
                <w:sz w:val="18"/>
                <w:szCs w:val="18"/>
                <w:color w:val="auto"/>
              </w:rPr>
            </w:pPr>
          </w:p>
        </w:tc>
        <w:tc>
          <w:tcPr>
            <w:tcW w:w="540" w:type="dxa"/>
            <w:vAlign w:val="bottom"/>
            <w:shd w:val="clear" w:color="auto" w:fill="D4F1F5"/>
          </w:tcPr>
          <w:p>
            <w:pPr>
              <w:spacing w:after="0"/>
              <w:rPr>
                <w:sz w:val="18"/>
                <w:szCs w:val="18"/>
                <w:color w:val="auto"/>
              </w:rPr>
            </w:pPr>
          </w:p>
        </w:tc>
        <w:tc>
          <w:tcPr>
            <w:tcW w:w="1060" w:type="dxa"/>
            <w:vAlign w:val="bottom"/>
            <w:shd w:val="clear" w:color="auto" w:fill="D4F1F5"/>
          </w:tcPr>
          <w:p>
            <w:pPr>
              <w:spacing w:after="0"/>
              <w:rPr>
                <w:sz w:val="18"/>
                <w:szCs w:val="18"/>
                <w:color w:val="auto"/>
              </w:rPr>
            </w:pPr>
          </w:p>
        </w:tc>
        <w:tc>
          <w:tcPr>
            <w:tcW w:w="440" w:type="dxa"/>
            <w:vAlign w:val="bottom"/>
            <w:shd w:val="clear" w:color="auto" w:fill="D4F1F5"/>
          </w:tcPr>
          <w:p>
            <w:pPr>
              <w:spacing w:after="0"/>
              <w:rPr>
                <w:sz w:val="18"/>
                <w:szCs w:val="18"/>
                <w:color w:val="auto"/>
              </w:rPr>
            </w:pPr>
          </w:p>
        </w:tc>
      </w:tr>
      <w:tr>
        <w:trPr>
          <w:trHeight w:val="215"/>
        </w:trPr>
        <w:tc>
          <w:tcPr>
            <w:tcW w:w="8240" w:type="dxa"/>
            <w:vAlign w:val="bottom"/>
            <w:tcBorders>
              <w:bottom w:val="single" w:sz="8" w:color="D4F1F5"/>
            </w:tcBorders>
          </w:tcPr>
          <w:p>
            <w:pPr>
              <w:ind w:left="240"/>
              <w:spacing w:after="0"/>
              <w:rPr>
                <w:sz w:val="20"/>
                <w:szCs w:val="20"/>
                <w:color w:val="auto"/>
              </w:rPr>
            </w:pPr>
            <w:r>
              <w:rPr>
                <w:rFonts w:ascii="Arial" w:cs="Arial" w:eastAsia="Arial" w:hAnsi="Arial"/>
                <w:sz w:val="16"/>
                <w:szCs w:val="16"/>
                <w:color w:val="auto"/>
              </w:rPr>
              <w:t>Expenditures for property, plant and equipment</w:t>
            </w:r>
          </w:p>
        </w:tc>
        <w:tc>
          <w:tcPr>
            <w:tcW w:w="96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(481)</w:t>
            </w:r>
          </w:p>
        </w:tc>
        <w:tc>
          <w:tcPr>
            <w:tcW w:w="106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(555)</w:t>
            </w:r>
          </w:p>
        </w:tc>
      </w:tr>
      <w:tr>
        <w:trPr>
          <w:trHeight w:val="209"/>
        </w:trPr>
        <w:tc>
          <w:tcPr>
            <w:tcW w:w="8240" w:type="dxa"/>
            <w:vAlign w:val="bottom"/>
            <w:shd w:val="clear" w:color="auto" w:fill="D4F1F5"/>
          </w:tcPr>
          <w:p>
            <w:pPr>
              <w:ind w:left="460"/>
              <w:spacing w:after="0"/>
              <w:rPr>
                <w:sz w:val="20"/>
                <w:szCs w:val="20"/>
                <w:color w:val="auto"/>
              </w:rPr>
            </w:pPr>
            <w:r>
              <w:rPr>
                <w:rFonts w:ascii="Arial" w:cs="Arial" w:eastAsia="Arial" w:hAnsi="Arial"/>
                <w:sz w:val="16"/>
                <w:szCs w:val="16"/>
                <w:color w:val="auto"/>
              </w:rPr>
              <w:t>Net cash used in investing activities</w:t>
            </w:r>
          </w:p>
        </w:tc>
        <w:tc>
          <w:tcPr>
            <w:tcW w:w="960" w:type="dxa"/>
            <w:vAlign w:val="bottom"/>
            <w:tcBorders>
              <w:bottom w:val="single" w:sz="8" w:color="auto"/>
            </w:tcBorders>
            <w:shd w:val="clear" w:color="auto" w:fill="D4F1F5"/>
          </w:tcPr>
          <w:p>
            <w:pPr>
              <w:spacing w:after="0"/>
              <w:rPr>
                <w:sz w:val="18"/>
                <w:szCs w:val="18"/>
                <w:color w:val="auto"/>
              </w:rPr>
            </w:pPr>
          </w:p>
        </w:tc>
        <w:tc>
          <w:tcPr>
            <w:tcW w:w="540" w:type="dxa"/>
            <w:vAlign w:val="bottom"/>
            <w:tcBorders>
              <w:bottom w:val="single" w:sz="8" w:color="auto"/>
            </w:tcBorders>
            <w:shd w:val="clear" w:color="auto" w:fill="D4F1F5"/>
          </w:tcPr>
          <w:p>
            <w:pPr>
              <w:jc w:val="right"/>
              <w:spacing w:after="0"/>
              <w:rPr>
                <w:sz w:val="20"/>
                <w:szCs w:val="20"/>
                <w:color w:val="auto"/>
              </w:rPr>
            </w:pPr>
            <w:r>
              <w:rPr>
                <w:rFonts w:ascii="Arial" w:cs="Arial" w:eastAsia="Arial" w:hAnsi="Arial"/>
                <w:sz w:val="16"/>
                <w:szCs w:val="16"/>
                <w:color w:val="auto"/>
              </w:rPr>
              <w:t>(481)</w:t>
            </w:r>
          </w:p>
        </w:tc>
        <w:tc>
          <w:tcPr>
            <w:tcW w:w="1060" w:type="dxa"/>
            <w:vAlign w:val="bottom"/>
            <w:tcBorders>
              <w:bottom w:val="single" w:sz="8" w:color="auto"/>
            </w:tcBorders>
            <w:shd w:val="clear" w:color="auto" w:fill="D4F1F5"/>
          </w:tcPr>
          <w:p>
            <w:pPr>
              <w:spacing w:after="0"/>
              <w:rPr>
                <w:sz w:val="18"/>
                <w:szCs w:val="18"/>
                <w:color w:val="auto"/>
              </w:rPr>
            </w:pPr>
          </w:p>
        </w:tc>
        <w:tc>
          <w:tcPr>
            <w:tcW w:w="440" w:type="dxa"/>
            <w:vAlign w:val="bottom"/>
            <w:tcBorders>
              <w:bottom w:val="single" w:sz="8" w:color="auto"/>
            </w:tcBorders>
            <w:shd w:val="clear" w:color="auto" w:fill="D4F1F5"/>
          </w:tcPr>
          <w:p>
            <w:pPr>
              <w:jc w:val="right"/>
              <w:spacing w:after="0"/>
              <w:rPr>
                <w:sz w:val="20"/>
                <w:szCs w:val="20"/>
                <w:color w:val="auto"/>
              </w:rPr>
            </w:pPr>
            <w:r>
              <w:rPr>
                <w:rFonts w:ascii="Arial" w:cs="Arial" w:eastAsia="Arial" w:hAnsi="Arial"/>
                <w:sz w:val="16"/>
                <w:szCs w:val="16"/>
                <w:color w:val="auto"/>
              </w:rPr>
              <w:t>(555)</w:t>
            </w:r>
          </w:p>
        </w:tc>
      </w:tr>
      <w:tr>
        <w:trPr>
          <w:trHeight w:val="197"/>
        </w:trPr>
        <w:tc>
          <w:tcPr>
            <w:tcW w:w="82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440" w:type="dxa"/>
            <w:vAlign w:val="bottom"/>
          </w:tcPr>
          <w:p>
            <w:pPr>
              <w:spacing w:after="0"/>
              <w:rPr>
                <w:sz w:val="17"/>
                <w:szCs w:val="17"/>
                <w:color w:val="auto"/>
              </w:rPr>
            </w:pPr>
          </w:p>
        </w:tc>
      </w:tr>
      <w:tr>
        <w:trPr>
          <w:trHeight w:val="216"/>
        </w:trPr>
        <w:tc>
          <w:tcPr>
            <w:tcW w:w="8240" w:type="dxa"/>
            <w:vAlign w:val="bottom"/>
            <w:shd w:val="clear" w:color="auto" w:fill="D4F1F5"/>
          </w:tcPr>
          <w:p>
            <w:pPr>
              <w:ind w:left="20"/>
              <w:spacing w:after="0"/>
              <w:rPr>
                <w:sz w:val="20"/>
                <w:szCs w:val="20"/>
                <w:color w:val="auto"/>
              </w:rPr>
            </w:pPr>
            <w:r>
              <w:rPr>
                <w:rFonts w:ascii="Arial" w:cs="Arial" w:eastAsia="Arial" w:hAnsi="Arial"/>
                <w:sz w:val="16"/>
                <w:szCs w:val="16"/>
                <w:color w:val="auto"/>
              </w:rPr>
              <w:t>CASH FLOWS FROM FINANCING ACTIVITIES</w:t>
            </w:r>
          </w:p>
        </w:tc>
        <w:tc>
          <w:tcPr>
            <w:tcW w:w="960" w:type="dxa"/>
            <w:vAlign w:val="bottom"/>
            <w:shd w:val="clear" w:color="auto" w:fill="D4F1F5"/>
          </w:tcPr>
          <w:p>
            <w:pPr>
              <w:spacing w:after="0"/>
              <w:rPr>
                <w:sz w:val="18"/>
                <w:szCs w:val="18"/>
                <w:color w:val="auto"/>
              </w:rPr>
            </w:pPr>
          </w:p>
        </w:tc>
        <w:tc>
          <w:tcPr>
            <w:tcW w:w="540" w:type="dxa"/>
            <w:vAlign w:val="bottom"/>
            <w:shd w:val="clear" w:color="auto" w:fill="D4F1F5"/>
          </w:tcPr>
          <w:p>
            <w:pPr>
              <w:spacing w:after="0"/>
              <w:rPr>
                <w:sz w:val="18"/>
                <w:szCs w:val="18"/>
                <w:color w:val="auto"/>
              </w:rPr>
            </w:pPr>
          </w:p>
        </w:tc>
        <w:tc>
          <w:tcPr>
            <w:tcW w:w="1060" w:type="dxa"/>
            <w:vAlign w:val="bottom"/>
            <w:shd w:val="clear" w:color="auto" w:fill="D4F1F5"/>
          </w:tcPr>
          <w:p>
            <w:pPr>
              <w:spacing w:after="0"/>
              <w:rPr>
                <w:sz w:val="18"/>
                <w:szCs w:val="18"/>
                <w:color w:val="auto"/>
              </w:rPr>
            </w:pPr>
          </w:p>
        </w:tc>
        <w:tc>
          <w:tcPr>
            <w:tcW w:w="440" w:type="dxa"/>
            <w:vAlign w:val="bottom"/>
            <w:shd w:val="clear" w:color="auto" w:fill="D4F1F5"/>
          </w:tcPr>
          <w:p>
            <w:pPr>
              <w:spacing w:after="0"/>
              <w:rPr>
                <w:sz w:val="18"/>
                <w:szCs w:val="18"/>
                <w:color w:val="auto"/>
              </w:rPr>
            </w:pPr>
          </w:p>
        </w:tc>
      </w:tr>
      <w:tr>
        <w:trPr>
          <w:trHeight w:val="215"/>
        </w:trPr>
        <w:tc>
          <w:tcPr>
            <w:tcW w:w="8240" w:type="dxa"/>
            <w:vAlign w:val="bottom"/>
          </w:tcPr>
          <w:p>
            <w:pPr>
              <w:ind w:left="240"/>
              <w:spacing w:after="0"/>
              <w:rPr>
                <w:sz w:val="20"/>
                <w:szCs w:val="20"/>
                <w:color w:val="auto"/>
              </w:rPr>
            </w:pPr>
            <w:r>
              <w:rPr>
                <w:rFonts w:ascii="Arial" w:cs="Arial" w:eastAsia="Arial" w:hAnsi="Arial"/>
                <w:sz w:val="16"/>
                <w:szCs w:val="16"/>
                <w:color w:val="auto"/>
              </w:rPr>
              <w:t>Payments on finance leases</w:t>
            </w:r>
          </w:p>
        </w:tc>
        <w:tc>
          <w:tcPr>
            <w:tcW w:w="9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(7)</w:t>
            </w:r>
          </w:p>
        </w:tc>
        <w:tc>
          <w:tcPr>
            <w:tcW w:w="106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(6)</w:t>
            </w:r>
          </w:p>
        </w:tc>
      </w:tr>
      <w:tr>
        <w:trPr>
          <w:trHeight w:val="217"/>
        </w:trPr>
        <w:tc>
          <w:tcPr>
            <w:tcW w:w="8240" w:type="dxa"/>
            <w:vAlign w:val="bottom"/>
            <w:shd w:val="clear" w:color="auto" w:fill="D4F1F5"/>
          </w:tcPr>
          <w:p>
            <w:pPr>
              <w:ind w:left="240"/>
              <w:spacing w:after="0"/>
              <w:rPr>
                <w:sz w:val="20"/>
                <w:szCs w:val="20"/>
                <w:color w:val="auto"/>
              </w:rPr>
            </w:pPr>
            <w:r>
              <w:rPr>
                <w:rFonts w:ascii="Arial" w:cs="Arial" w:eastAsia="Arial" w:hAnsi="Arial"/>
                <w:sz w:val="16"/>
                <w:szCs w:val="16"/>
                <w:color w:val="auto"/>
              </w:rPr>
              <w:t>Decrease in short-term debt, net</w:t>
            </w:r>
          </w:p>
        </w:tc>
        <w:tc>
          <w:tcPr>
            <w:tcW w:w="960" w:type="dxa"/>
            <w:vAlign w:val="bottom"/>
            <w:tcBorders>
              <w:bottom w:val="single" w:sz="8" w:color="auto"/>
            </w:tcBorders>
            <w:shd w:val="clear" w:color="auto" w:fill="D4F1F5"/>
          </w:tcPr>
          <w:p>
            <w:pPr>
              <w:spacing w:after="0"/>
              <w:rPr>
                <w:sz w:val="18"/>
                <w:szCs w:val="18"/>
                <w:color w:val="auto"/>
              </w:rPr>
            </w:pPr>
          </w:p>
        </w:tc>
        <w:tc>
          <w:tcPr>
            <w:tcW w:w="540" w:type="dxa"/>
            <w:vAlign w:val="bottom"/>
            <w:tcBorders>
              <w:bottom w:val="single" w:sz="8" w:color="auto"/>
            </w:tcBorders>
            <w:shd w:val="clear" w:color="auto" w:fill="D4F1F5"/>
          </w:tcPr>
          <w:p>
            <w:pPr>
              <w:jc w:val="right"/>
              <w:spacing w:after="0"/>
              <w:rPr>
                <w:sz w:val="20"/>
                <w:szCs w:val="20"/>
                <w:color w:val="auto"/>
              </w:rPr>
            </w:pPr>
            <w:r>
              <w:rPr>
                <w:rFonts w:ascii="Arial" w:cs="Arial" w:eastAsia="Arial" w:hAnsi="Arial"/>
                <w:sz w:val="16"/>
                <w:szCs w:val="16"/>
                <w:color w:val="auto"/>
              </w:rPr>
              <w:t>(404)</w:t>
            </w:r>
          </w:p>
        </w:tc>
        <w:tc>
          <w:tcPr>
            <w:tcW w:w="1060" w:type="dxa"/>
            <w:vAlign w:val="bottom"/>
            <w:tcBorders>
              <w:bottom w:val="single" w:sz="8" w:color="auto"/>
            </w:tcBorders>
            <w:shd w:val="clear" w:color="auto" w:fill="D4F1F5"/>
          </w:tcPr>
          <w:p>
            <w:pPr>
              <w:spacing w:after="0"/>
              <w:rPr>
                <w:sz w:val="18"/>
                <w:szCs w:val="18"/>
                <w:color w:val="auto"/>
              </w:rPr>
            </w:pPr>
          </w:p>
        </w:tc>
        <w:tc>
          <w:tcPr>
            <w:tcW w:w="440" w:type="dxa"/>
            <w:vAlign w:val="bottom"/>
            <w:tcBorders>
              <w:bottom w:val="single" w:sz="8" w:color="auto"/>
            </w:tcBorders>
            <w:shd w:val="clear" w:color="auto" w:fill="D4F1F5"/>
          </w:tcPr>
          <w:p>
            <w:pPr>
              <w:jc w:val="right"/>
              <w:spacing w:after="0"/>
              <w:rPr>
                <w:sz w:val="20"/>
                <w:szCs w:val="20"/>
                <w:color w:val="auto"/>
              </w:rPr>
            </w:pPr>
            <w:r>
              <w:rPr>
                <w:rFonts w:ascii="Arial" w:cs="Arial" w:eastAsia="Arial" w:hAnsi="Arial"/>
                <w:sz w:val="16"/>
                <w:szCs w:val="16"/>
                <w:color w:val="auto"/>
              </w:rPr>
              <w:t>(190)</w:t>
            </w:r>
          </w:p>
        </w:tc>
      </w:tr>
      <w:tr>
        <w:trPr>
          <w:trHeight w:val="209"/>
        </w:trPr>
        <w:tc>
          <w:tcPr>
            <w:tcW w:w="8240" w:type="dxa"/>
            <w:vAlign w:val="bottom"/>
            <w:tcBorders>
              <w:bottom w:val="single" w:sz="8" w:color="D4F1F5"/>
            </w:tcBorders>
          </w:tcPr>
          <w:p>
            <w:pPr>
              <w:ind w:left="460"/>
              <w:spacing w:after="0"/>
              <w:rPr>
                <w:sz w:val="20"/>
                <w:szCs w:val="20"/>
                <w:color w:val="auto"/>
              </w:rPr>
            </w:pPr>
            <w:r>
              <w:rPr>
                <w:rFonts w:ascii="Arial" w:cs="Arial" w:eastAsia="Arial" w:hAnsi="Arial"/>
                <w:sz w:val="16"/>
                <w:szCs w:val="16"/>
                <w:color w:val="auto"/>
              </w:rPr>
              <w:t>Net cash used in financing activities</w:t>
            </w:r>
          </w:p>
        </w:tc>
        <w:tc>
          <w:tcPr>
            <w:tcW w:w="96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(411)</w:t>
            </w:r>
          </w:p>
        </w:tc>
        <w:tc>
          <w:tcPr>
            <w:tcW w:w="106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(196)</w:t>
            </w:r>
          </w:p>
        </w:tc>
      </w:tr>
      <w:tr>
        <w:trPr>
          <w:trHeight w:val="197"/>
        </w:trPr>
        <w:tc>
          <w:tcPr>
            <w:tcW w:w="8240" w:type="dxa"/>
            <w:vAlign w:val="bottom"/>
            <w:shd w:val="clear" w:color="auto" w:fill="D4F1F5"/>
          </w:tcPr>
          <w:p>
            <w:pPr>
              <w:spacing w:after="0"/>
              <w:rPr>
                <w:sz w:val="17"/>
                <w:szCs w:val="17"/>
                <w:color w:val="auto"/>
              </w:rPr>
            </w:pPr>
          </w:p>
        </w:tc>
        <w:tc>
          <w:tcPr>
            <w:tcW w:w="960" w:type="dxa"/>
            <w:vAlign w:val="bottom"/>
            <w:shd w:val="clear" w:color="auto" w:fill="D4F1F5"/>
          </w:tcPr>
          <w:p>
            <w:pPr>
              <w:spacing w:after="0"/>
              <w:rPr>
                <w:sz w:val="17"/>
                <w:szCs w:val="17"/>
                <w:color w:val="auto"/>
              </w:rPr>
            </w:pPr>
          </w:p>
        </w:tc>
        <w:tc>
          <w:tcPr>
            <w:tcW w:w="540" w:type="dxa"/>
            <w:vAlign w:val="bottom"/>
            <w:shd w:val="clear" w:color="auto" w:fill="D4F1F5"/>
          </w:tcPr>
          <w:p>
            <w:pPr>
              <w:spacing w:after="0"/>
              <w:rPr>
                <w:sz w:val="17"/>
                <w:szCs w:val="17"/>
                <w:color w:val="auto"/>
              </w:rPr>
            </w:pPr>
          </w:p>
        </w:tc>
        <w:tc>
          <w:tcPr>
            <w:tcW w:w="1060" w:type="dxa"/>
            <w:vAlign w:val="bottom"/>
            <w:shd w:val="clear" w:color="auto" w:fill="D4F1F5"/>
          </w:tcPr>
          <w:p>
            <w:pPr>
              <w:spacing w:after="0"/>
              <w:rPr>
                <w:sz w:val="17"/>
                <w:szCs w:val="17"/>
                <w:color w:val="auto"/>
              </w:rPr>
            </w:pPr>
          </w:p>
        </w:tc>
        <w:tc>
          <w:tcPr>
            <w:tcW w:w="440" w:type="dxa"/>
            <w:vAlign w:val="bottom"/>
            <w:shd w:val="clear" w:color="auto" w:fill="D4F1F5"/>
          </w:tcPr>
          <w:p>
            <w:pPr>
              <w:spacing w:after="0"/>
              <w:rPr>
                <w:sz w:val="17"/>
                <w:szCs w:val="17"/>
                <w:color w:val="auto"/>
              </w:rPr>
            </w:pPr>
          </w:p>
        </w:tc>
      </w:tr>
      <w:tr>
        <w:trPr>
          <w:trHeight w:val="215"/>
        </w:trPr>
        <w:tc>
          <w:tcPr>
            <w:tcW w:w="8240" w:type="dxa"/>
            <w:vAlign w:val="bottom"/>
          </w:tcPr>
          <w:p>
            <w:pPr>
              <w:ind w:left="20"/>
              <w:spacing w:after="0"/>
              <w:rPr>
                <w:sz w:val="20"/>
                <w:szCs w:val="20"/>
                <w:color w:val="auto"/>
              </w:rPr>
            </w:pPr>
            <w:r>
              <w:rPr>
                <w:rFonts w:ascii="Arial" w:cs="Arial" w:eastAsia="Arial" w:hAnsi="Arial"/>
                <w:sz w:val="16"/>
                <w:szCs w:val="16"/>
                <w:color w:val="auto"/>
              </w:rPr>
              <w:t>(Decrease) increase in cash and cash equivalents</w:t>
            </w:r>
          </w:p>
        </w:tc>
        <w:tc>
          <w:tcPr>
            <w:tcW w:w="9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(13)</w:t>
            </w:r>
          </w:p>
        </w:tc>
        <w:tc>
          <w:tcPr>
            <w:tcW w:w="106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28</w:t>
            </w:r>
          </w:p>
        </w:tc>
      </w:tr>
      <w:tr>
        <w:trPr>
          <w:trHeight w:val="217"/>
        </w:trPr>
        <w:tc>
          <w:tcPr>
            <w:tcW w:w="8240" w:type="dxa"/>
            <w:vAlign w:val="bottom"/>
            <w:shd w:val="clear" w:color="auto" w:fill="D4F1F5"/>
          </w:tcPr>
          <w:p>
            <w:pPr>
              <w:ind w:left="20"/>
              <w:spacing w:after="0"/>
              <w:rPr>
                <w:sz w:val="20"/>
                <w:szCs w:val="20"/>
                <w:color w:val="auto"/>
              </w:rPr>
            </w:pPr>
            <w:r>
              <w:rPr>
                <w:rFonts w:ascii="Arial" w:cs="Arial" w:eastAsia="Arial" w:hAnsi="Arial"/>
                <w:sz w:val="16"/>
                <w:szCs w:val="16"/>
                <w:color w:val="auto"/>
              </w:rPr>
              <w:t>Cash and cash equivalents, January 1</w:t>
            </w:r>
          </w:p>
        </w:tc>
        <w:tc>
          <w:tcPr>
            <w:tcW w:w="960" w:type="dxa"/>
            <w:vAlign w:val="bottom"/>
            <w:tcBorders>
              <w:bottom w:val="single" w:sz="8" w:color="auto"/>
            </w:tcBorders>
            <w:shd w:val="clear" w:color="auto" w:fill="D4F1F5"/>
          </w:tcPr>
          <w:p>
            <w:pPr>
              <w:spacing w:after="0"/>
              <w:rPr>
                <w:sz w:val="18"/>
                <w:szCs w:val="18"/>
                <w:color w:val="auto"/>
              </w:rPr>
            </w:pPr>
          </w:p>
        </w:tc>
        <w:tc>
          <w:tcPr>
            <w:tcW w:w="540" w:type="dxa"/>
            <w:vAlign w:val="bottom"/>
            <w:tcBorders>
              <w:bottom w:val="single" w:sz="8" w:color="auto"/>
            </w:tcBorders>
            <w:shd w:val="clear" w:color="auto" w:fill="D4F1F5"/>
          </w:tcPr>
          <w:p>
            <w:pPr>
              <w:jc w:val="right"/>
              <w:ind w:right="39"/>
              <w:spacing w:after="0"/>
              <w:rPr>
                <w:sz w:val="20"/>
                <w:szCs w:val="20"/>
                <w:color w:val="auto"/>
              </w:rPr>
            </w:pPr>
            <w:r>
              <w:rPr>
                <w:rFonts w:ascii="Arial" w:cs="Arial" w:eastAsia="Arial" w:hAnsi="Arial"/>
                <w:sz w:val="16"/>
                <w:szCs w:val="16"/>
                <w:color w:val="auto"/>
              </w:rPr>
              <w:t>14</w:t>
            </w:r>
          </w:p>
        </w:tc>
        <w:tc>
          <w:tcPr>
            <w:tcW w:w="1060" w:type="dxa"/>
            <w:vAlign w:val="bottom"/>
            <w:tcBorders>
              <w:bottom w:val="single" w:sz="8" w:color="auto"/>
            </w:tcBorders>
            <w:shd w:val="clear" w:color="auto" w:fill="D4F1F5"/>
          </w:tcPr>
          <w:p>
            <w:pPr>
              <w:spacing w:after="0"/>
              <w:rPr>
                <w:sz w:val="18"/>
                <w:szCs w:val="18"/>
                <w:color w:val="auto"/>
              </w:rPr>
            </w:pPr>
          </w:p>
        </w:tc>
        <w:tc>
          <w:tcPr>
            <w:tcW w:w="440" w:type="dxa"/>
            <w:vAlign w:val="bottom"/>
            <w:tcBorders>
              <w:bottom w:val="single" w:sz="8" w:color="auto"/>
            </w:tcBorders>
            <w:shd w:val="clear" w:color="auto" w:fill="D4F1F5"/>
          </w:tcPr>
          <w:p>
            <w:pPr>
              <w:jc w:val="right"/>
              <w:spacing w:after="0"/>
              <w:rPr>
                <w:sz w:val="20"/>
                <w:szCs w:val="20"/>
                <w:color w:val="auto"/>
              </w:rPr>
            </w:pPr>
            <w:r>
              <w:rPr>
                <w:rFonts w:ascii="Arial" w:cs="Arial" w:eastAsia="Arial" w:hAnsi="Arial"/>
                <w:sz w:val="16"/>
                <w:szCs w:val="16"/>
                <w:color w:val="auto"/>
              </w:rPr>
              <w:t>12</w:t>
            </w:r>
          </w:p>
        </w:tc>
      </w:tr>
      <w:tr>
        <w:trPr>
          <w:trHeight w:val="216"/>
        </w:trPr>
        <w:tc>
          <w:tcPr>
            <w:tcW w:w="8240" w:type="dxa"/>
            <w:vAlign w:val="bottom"/>
            <w:tcBorders>
              <w:bottom w:val="single" w:sz="8" w:color="D4F1F5"/>
            </w:tcBorders>
          </w:tcPr>
          <w:p>
            <w:pPr>
              <w:ind w:left="20"/>
              <w:spacing w:after="0"/>
              <w:rPr>
                <w:sz w:val="20"/>
                <w:szCs w:val="20"/>
                <w:color w:val="auto"/>
              </w:rPr>
            </w:pPr>
            <w:r>
              <w:rPr>
                <w:rFonts w:ascii="Arial" w:cs="Arial" w:eastAsia="Arial" w:hAnsi="Arial"/>
                <w:sz w:val="16"/>
                <w:szCs w:val="16"/>
                <w:color w:val="auto"/>
              </w:rPr>
              <w:t>Cash and cash equivalents, March 31</w:t>
            </w:r>
          </w:p>
        </w:tc>
        <w:tc>
          <w:tcPr>
            <w:tcW w:w="960" w:type="dxa"/>
            <w:vAlign w:val="bottom"/>
            <w:tcBorders>
              <w:bottom w:val="single" w:sz="8" w:color="auto"/>
            </w:tcBorders>
          </w:tcPr>
          <w:p>
            <w:pPr>
              <w:jc w:val="right"/>
              <w:ind w:right="762"/>
              <w:spacing w:after="0"/>
              <w:rPr>
                <w:sz w:val="20"/>
                <w:szCs w:val="20"/>
                <w:color w:val="auto"/>
              </w:rPr>
            </w:pPr>
            <w:r>
              <w:rPr>
                <w:rFonts w:ascii="Arial" w:cs="Arial" w:eastAsia="Arial" w:hAnsi="Arial"/>
                <w:sz w:val="16"/>
                <w:szCs w:val="16"/>
                <w:color w:val="auto"/>
              </w:rPr>
              <w:t>$</w:t>
            </w:r>
          </w:p>
        </w:tc>
        <w:tc>
          <w:tcPr>
            <w:tcW w:w="5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w:t>
            </w:r>
          </w:p>
        </w:tc>
        <w:tc>
          <w:tcPr>
            <w:tcW w:w="1060" w:type="dxa"/>
            <w:vAlign w:val="bottom"/>
            <w:tcBorders>
              <w:bottom w:val="single" w:sz="8" w:color="auto"/>
            </w:tcBorders>
          </w:tcPr>
          <w:p>
            <w:pPr>
              <w:jc w:val="right"/>
              <w:ind w:right="821"/>
              <w:spacing w:after="0"/>
              <w:rPr>
                <w:sz w:val="20"/>
                <w:szCs w:val="20"/>
                <w:color w:val="auto"/>
              </w:rPr>
            </w:pPr>
            <w:r>
              <w:rPr>
                <w:rFonts w:ascii="Arial" w:cs="Arial" w:eastAsia="Arial" w:hAnsi="Arial"/>
                <w:sz w:val="16"/>
                <w:szCs w:val="16"/>
                <w:color w:val="auto"/>
              </w:rPr>
              <w:t>$</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w:t>
            </w:r>
          </w:p>
        </w:tc>
      </w:tr>
      <w:tr>
        <w:trPr>
          <w:trHeight w:val="203"/>
        </w:trPr>
        <w:tc>
          <w:tcPr>
            <w:tcW w:w="8240" w:type="dxa"/>
            <w:vAlign w:val="bottom"/>
            <w:shd w:val="clear" w:color="auto" w:fill="D4F1F5"/>
          </w:tcPr>
          <w:p>
            <w:pPr>
              <w:spacing w:after="0"/>
              <w:rPr>
                <w:sz w:val="17"/>
                <w:szCs w:val="17"/>
                <w:color w:val="auto"/>
              </w:rPr>
            </w:pPr>
          </w:p>
        </w:tc>
        <w:tc>
          <w:tcPr>
            <w:tcW w:w="960" w:type="dxa"/>
            <w:vAlign w:val="bottom"/>
            <w:shd w:val="clear" w:color="auto" w:fill="D4F1F5"/>
          </w:tcPr>
          <w:p>
            <w:pPr>
              <w:spacing w:after="0"/>
              <w:rPr>
                <w:sz w:val="17"/>
                <w:szCs w:val="17"/>
                <w:color w:val="auto"/>
              </w:rPr>
            </w:pPr>
          </w:p>
        </w:tc>
        <w:tc>
          <w:tcPr>
            <w:tcW w:w="540" w:type="dxa"/>
            <w:vAlign w:val="bottom"/>
            <w:shd w:val="clear" w:color="auto" w:fill="D4F1F5"/>
          </w:tcPr>
          <w:p>
            <w:pPr>
              <w:spacing w:after="0"/>
              <w:rPr>
                <w:sz w:val="17"/>
                <w:szCs w:val="17"/>
                <w:color w:val="auto"/>
              </w:rPr>
            </w:pPr>
          </w:p>
        </w:tc>
        <w:tc>
          <w:tcPr>
            <w:tcW w:w="1060" w:type="dxa"/>
            <w:vAlign w:val="bottom"/>
            <w:shd w:val="clear" w:color="auto" w:fill="D4F1F5"/>
          </w:tcPr>
          <w:p>
            <w:pPr>
              <w:spacing w:after="0"/>
              <w:rPr>
                <w:sz w:val="17"/>
                <w:szCs w:val="17"/>
                <w:color w:val="auto"/>
              </w:rPr>
            </w:pPr>
          </w:p>
        </w:tc>
        <w:tc>
          <w:tcPr>
            <w:tcW w:w="440" w:type="dxa"/>
            <w:vAlign w:val="bottom"/>
            <w:shd w:val="clear" w:color="auto" w:fill="D4F1F5"/>
          </w:tcPr>
          <w:p>
            <w:pPr>
              <w:spacing w:after="0"/>
              <w:rPr>
                <w:sz w:val="17"/>
                <w:szCs w:val="17"/>
                <w:color w:val="auto"/>
              </w:rPr>
            </w:pPr>
          </w:p>
        </w:tc>
      </w:tr>
      <w:tr>
        <w:trPr>
          <w:trHeight w:val="215"/>
        </w:trPr>
        <w:tc>
          <w:tcPr>
            <w:tcW w:w="8240" w:type="dxa"/>
            <w:vAlign w:val="bottom"/>
          </w:tcPr>
          <w:p>
            <w:pPr>
              <w:ind w:left="20"/>
              <w:spacing w:after="0"/>
              <w:rPr>
                <w:sz w:val="20"/>
                <w:szCs w:val="20"/>
                <w:color w:val="auto"/>
              </w:rPr>
            </w:pPr>
            <w:r>
              <w:rPr>
                <w:rFonts w:ascii="Arial" w:cs="Arial" w:eastAsia="Arial" w:hAnsi="Arial"/>
                <w:sz w:val="16"/>
                <w:szCs w:val="16"/>
                <w:color w:val="auto"/>
              </w:rPr>
              <w:t>SUPPLEMENTAL DISCLOSURE OF CASH FLOW INFORMATION</w:t>
            </w:r>
          </w:p>
        </w:tc>
        <w:tc>
          <w:tcPr>
            <w:tcW w:w="9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40" w:type="dxa"/>
            <w:vAlign w:val="bottom"/>
          </w:tcPr>
          <w:p>
            <w:pPr>
              <w:spacing w:after="0"/>
              <w:rPr>
                <w:sz w:val="18"/>
                <w:szCs w:val="18"/>
                <w:color w:val="auto"/>
              </w:rPr>
            </w:pPr>
          </w:p>
        </w:tc>
      </w:tr>
      <w:tr>
        <w:trPr>
          <w:trHeight w:val="217"/>
        </w:trPr>
        <w:tc>
          <w:tcPr>
            <w:tcW w:w="8240" w:type="dxa"/>
            <w:vAlign w:val="bottom"/>
            <w:shd w:val="clear" w:color="auto" w:fill="D4F1F5"/>
          </w:tcPr>
          <w:p>
            <w:pPr>
              <w:ind w:left="240"/>
              <w:spacing w:after="0"/>
              <w:rPr>
                <w:sz w:val="20"/>
                <w:szCs w:val="20"/>
                <w:color w:val="auto"/>
              </w:rPr>
            </w:pPr>
            <w:r>
              <w:rPr>
                <w:rFonts w:ascii="Arial" w:cs="Arial" w:eastAsia="Arial" w:hAnsi="Arial"/>
                <w:sz w:val="16"/>
                <w:szCs w:val="16"/>
                <w:color w:val="auto"/>
              </w:rPr>
              <w:t>Interest payments, net of amounts capitalized</w:t>
            </w:r>
          </w:p>
        </w:tc>
        <w:tc>
          <w:tcPr>
            <w:tcW w:w="960" w:type="dxa"/>
            <w:vAlign w:val="bottom"/>
            <w:shd w:val="clear" w:color="auto" w:fill="D4F1F5"/>
          </w:tcPr>
          <w:p>
            <w:pPr>
              <w:jc w:val="right"/>
              <w:ind w:right="762"/>
              <w:spacing w:after="0"/>
              <w:rPr>
                <w:sz w:val="20"/>
                <w:szCs w:val="20"/>
                <w:color w:val="auto"/>
              </w:rPr>
            </w:pPr>
            <w:r>
              <w:rPr>
                <w:rFonts w:ascii="Arial" w:cs="Arial" w:eastAsia="Arial" w:hAnsi="Arial"/>
                <w:sz w:val="16"/>
                <w:szCs w:val="16"/>
                <w:color w:val="auto"/>
              </w:rPr>
              <w:t>$</w:t>
            </w:r>
          </w:p>
        </w:tc>
        <w:tc>
          <w:tcPr>
            <w:tcW w:w="540" w:type="dxa"/>
            <w:vAlign w:val="bottom"/>
            <w:shd w:val="clear" w:color="auto" w:fill="D4F1F5"/>
          </w:tcPr>
          <w:p>
            <w:pPr>
              <w:jc w:val="right"/>
              <w:ind w:right="39"/>
              <w:spacing w:after="0"/>
              <w:rPr>
                <w:sz w:val="20"/>
                <w:szCs w:val="20"/>
                <w:color w:val="auto"/>
              </w:rPr>
            </w:pPr>
            <w:r>
              <w:rPr>
                <w:rFonts w:ascii="Arial" w:cs="Arial" w:eastAsia="Arial" w:hAnsi="Arial"/>
                <w:sz w:val="16"/>
                <w:szCs w:val="16"/>
                <w:color w:val="auto"/>
              </w:rPr>
              <w:t>56</w:t>
            </w:r>
          </w:p>
        </w:tc>
        <w:tc>
          <w:tcPr>
            <w:tcW w:w="1060" w:type="dxa"/>
            <w:vAlign w:val="bottom"/>
            <w:shd w:val="clear" w:color="auto" w:fill="D4F1F5"/>
          </w:tcPr>
          <w:p>
            <w:pPr>
              <w:jc w:val="right"/>
              <w:ind w:right="821"/>
              <w:spacing w:after="0"/>
              <w:rPr>
                <w:sz w:val="20"/>
                <w:szCs w:val="20"/>
                <w:color w:val="auto"/>
              </w:rPr>
            </w:pPr>
            <w:r>
              <w:rPr>
                <w:rFonts w:ascii="Arial" w:cs="Arial" w:eastAsia="Arial" w:hAnsi="Arial"/>
                <w:sz w:val="16"/>
                <w:szCs w:val="16"/>
                <w:color w:val="auto"/>
              </w:rPr>
              <w:t>$</w:t>
            </w:r>
          </w:p>
        </w:tc>
        <w:tc>
          <w:tcPr>
            <w:tcW w:w="440" w:type="dxa"/>
            <w:vAlign w:val="bottom"/>
            <w:shd w:val="clear" w:color="auto" w:fill="D4F1F5"/>
          </w:tcPr>
          <w:p>
            <w:pPr>
              <w:jc w:val="right"/>
              <w:spacing w:after="0"/>
              <w:rPr>
                <w:sz w:val="20"/>
                <w:szCs w:val="20"/>
                <w:color w:val="auto"/>
              </w:rPr>
            </w:pPr>
            <w:r>
              <w:rPr>
                <w:rFonts w:ascii="Arial" w:cs="Arial" w:eastAsia="Arial" w:hAnsi="Arial"/>
                <w:sz w:val="16"/>
                <w:szCs w:val="16"/>
                <w:color w:val="auto"/>
              </w:rPr>
              <w:t>64</w:t>
            </w:r>
          </w:p>
        </w:tc>
      </w:tr>
      <w:tr>
        <w:trPr>
          <w:trHeight w:val="216"/>
        </w:trPr>
        <w:tc>
          <w:tcPr>
            <w:tcW w:w="8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40" w:type="dxa"/>
            <w:vAlign w:val="bottom"/>
          </w:tcPr>
          <w:p>
            <w:pPr>
              <w:spacing w:after="0"/>
              <w:rPr>
                <w:sz w:val="18"/>
                <w:szCs w:val="18"/>
                <w:color w:val="auto"/>
              </w:rPr>
            </w:pPr>
          </w:p>
        </w:tc>
      </w:tr>
      <w:tr>
        <w:trPr>
          <w:trHeight w:val="216"/>
        </w:trPr>
        <w:tc>
          <w:tcPr>
            <w:tcW w:w="8240" w:type="dxa"/>
            <w:vAlign w:val="bottom"/>
            <w:shd w:val="clear" w:color="auto" w:fill="D4F1F5"/>
          </w:tcPr>
          <w:p>
            <w:pPr>
              <w:ind w:left="20"/>
              <w:spacing w:after="0"/>
              <w:rPr>
                <w:sz w:val="20"/>
                <w:szCs w:val="20"/>
                <w:color w:val="auto"/>
              </w:rPr>
            </w:pPr>
            <w:r>
              <w:rPr>
                <w:rFonts w:ascii="Arial" w:cs="Arial" w:eastAsia="Arial" w:hAnsi="Arial"/>
                <w:sz w:val="16"/>
                <w:szCs w:val="16"/>
                <w:color w:val="auto"/>
              </w:rPr>
              <w:t>SUPPLEMENTAL DISCLOSURE OF NONCASH INVESTING AND FINANCING ACTIVITIES</w:t>
            </w:r>
          </w:p>
        </w:tc>
        <w:tc>
          <w:tcPr>
            <w:tcW w:w="960" w:type="dxa"/>
            <w:vAlign w:val="bottom"/>
            <w:shd w:val="clear" w:color="auto" w:fill="D4F1F5"/>
          </w:tcPr>
          <w:p>
            <w:pPr>
              <w:spacing w:after="0"/>
              <w:rPr>
                <w:sz w:val="18"/>
                <w:szCs w:val="18"/>
                <w:color w:val="auto"/>
              </w:rPr>
            </w:pPr>
          </w:p>
        </w:tc>
        <w:tc>
          <w:tcPr>
            <w:tcW w:w="540" w:type="dxa"/>
            <w:vAlign w:val="bottom"/>
            <w:shd w:val="clear" w:color="auto" w:fill="D4F1F5"/>
          </w:tcPr>
          <w:p>
            <w:pPr>
              <w:spacing w:after="0"/>
              <w:rPr>
                <w:sz w:val="18"/>
                <w:szCs w:val="18"/>
                <w:color w:val="auto"/>
              </w:rPr>
            </w:pPr>
          </w:p>
        </w:tc>
        <w:tc>
          <w:tcPr>
            <w:tcW w:w="1060" w:type="dxa"/>
            <w:vAlign w:val="bottom"/>
            <w:shd w:val="clear" w:color="auto" w:fill="D4F1F5"/>
          </w:tcPr>
          <w:p>
            <w:pPr>
              <w:spacing w:after="0"/>
              <w:rPr>
                <w:sz w:val="18"/>
                <w:szCs w:val="18"/>
                <w:color w:val="auto"/>
              </w:rPr>
            </w:pPr>
          </w:p>
        </w:tc>
        <w:tc>
          <w:tcPr>
            <w:tcW w:w="440" w:type="dxa"/>
            <w:vAlign w:val="bottom"/>
            <w:shd w:val="clear" w:color="auto" w:fill="D4F1F5"/>
          </w:tcPr>
          <w:p>
            <w:pPr>
              <w:spacing w:after="0"/>
              <w:rPr>
                <w:sz w:val="18"/>
                <w:szCs w:val="18"/>
                <w:color w:val="auto"/>
              </w:rPr>
            </w:pPr>
          </w:p>
        </w:tc>
      </w:tr>
      <w:tr>
        <w:trPr>
          <w:trHeight w:val="215"/>
        </w:trPr>
        <w:tc>
          <w:tcPr>
            <w:tcW w:w="8240" w:type="dxa"/>
            <w:vAlign w:val="bottom"/>
          </w:tcPr>
          <w:p>
            <w:pPr>
              <w:ind w:left="240"/>
              <w:spacing w:after="0"/>
              <w:rPr>
                <w:sz w:val="20"/>
                <w:szCs w:val="20"/>
                <w:color w:val="auto"/>
              </w:rPr>
            </w:pPr>
            <w:r>
              <w:rPr>
                <w:rFonts w:ascii="Arial" w:cs="Arial" w:eastAsia="Arial" w:hAnsi="Arial"/>
                <w:sz w:val="16"/>
                <w:szCs w:val="16"/>
                <w:color w:val="auto"/>
              </w:rPr>
              <w:t>Accrued capital expenditures for PP&amp;E</w:t>
            </w:r>
          </w:p>
        </w:tc>
        <w:tc>
          <w:tcPr>
            <w:tcW w:w="960" w:type="dxa"/>
            <w:vAlign w:val="bottom"/>
          </w:tcPr>
          <w:p>
            <w:pPr>
              <w:jc w:val="right"/>
              <w:ind w:right="762"/>
              <w:spacing w:after="0"/>
              <w:rPr>
                <w:sz w:val="20"/>
                <w:szCs w:val="20"/>
                <w:color w:val="auto"/>
              </w:rPr>
            </w:pPr>
            <w:r>
              <w:rPr>
                <w:rFonts w:ascii="Arial" w:cs="Arial" w:eastAsia="Arial" w:hAnsi="Arial"/>
                <w:sz w:val="16"/>
                <w:szCs w:val="16"/>
                <w:color w:val="auto"/>
              </w:rPr>
              <w:t>$</w:t>
            </w:r>
          </w:p>
        </w:tc>
        <w:tc>
          <w:tcPr>
            <w:tcW w:w="540" w:type="dxa"/>
            <w:vAlign w:val="bottom"/>
          </w:tcPr>
          <w:p>
            <w:pPr>
              <w:jc w:val="right"/>
              <w:ind w:right="39"/>
              <w:spacing w:after="0"/>
              <w:rPr>
                <w:sz w:val="20"/>
                <w:szCs w:val="20"/>
                <w:color w:val="auto"/>
              </w:rPr>
            </w:pPr>
            <w:r>
              <w:rPr>
                <w:rFonts w:ascii="Arial" w:cs="Arial" w:eastAsia="Arial" w:hAnsi="Arial"/>
                <w:sz w:val="16"/>
                <w:szCs w:val="16"/>
                <w:color w:val="auto"/>
              </w:rPr>
              <w:t>189</w:t>
            </w:r>
          </w:p>
        </w:tc>
        <w:tc>
          <w:tcPr>
            <w:tcW w:w="1060" w:type="dxa"/>
            <w:vAlign w:val="bottom"/>
          </w:tcPr>
          <w:p>
            <w:pPr>
              <w:jc w:val="right"/>
              <w:ind w:right="821"/>
              <w:spacing w:after="0"/>
              <w:rPr>
                <w:sz w:val="20"/>
                <w:szCs w:val="20"/>
                <w:color w:val="auto"/>
              </w:rPr>
            </w:pPr>
            <w:r>
              <w:rPr>
                <w:rFonts w:ascii="Arial" w:cs="Arial" w:eastAsia="Arial" w:hAnsi="Arial"/>
                <w:sz w:val="16"/>
                <w:szCs w:val="16"/>
                <w:color w:val="auto"/>
              </w:rPr>
              <w:t>$</w:t>
            </w:r>
          </w:p>
        </w:tc>
        <w:tc>
          <w:tcPr>
            <w:tcW w:w="440" w:type="dxa"/>
            <w:vAlign w:val="bottom"/>
          </w:tcPr>
          <w:p>
            <w:pPr>
              <w:jc w:val="right"/>
              <w:spacing w:after="0"/>
              <w:rPr>
                <w:sz w:val="20"/>
                <w:szCs w:val="20"/>
                <w:color w:val="auto"/>
              </w:rPr>
            </w:pPr>
            <w:r>
              <w:rPr>
                <w:rFonts w:ascii="Arial" w:cs="Arial" w:eastAsia="Arial" w:hAnsi="Arial"/>
                <w:sz w:val="16"/>
                <w:szCs w:val="16"/>
                <w:color w:val="auto"/>
              </w:rPr>
              <w:t>199</w:t>
            </w:r>
          </w:p>
        </w:tc>
      </w:tr>
      <w:tr>
        <w:trPr>
          <w:trHeight w:val="224"/>
        </w:trPr>
        <w:tc>
          <w:tcPr>
            <w:tcW w:w="8240" w:type="dxa"/>
            <w:vAlign w:val="bottom"/>
            <w:tcBorders>
              <w:bottom w:val="single" w:sz="8" w:color="929292"/>
            </w:tcBorders>
            <w:shd w:val="clear" w:color="auto" w:fill="D4F1F5"/>
          </w:tcPr>
          <w:p>
            <w:pPr>
              <w:ind w:left="240"/>
              <w:spacing w:after="0"/>
              <w:rPr>
                <w:sz w:val="20"/>
                <w:szCs w:val="20"/>
                <w:color w:val="auto"/>
              </w:rPr>
            </w:pPr>
            <w:r>
              <w:rPr>
                <w:rFonts w:ascii="Arial" w:cs="Arial" w:eastAsia="Arial" w:hAnsi="Arial"/>
                <w:sz w:val="16"/>
                <w:szCs w:val="16"/>
                <w:color w:val="auto"/>
              </w:rPr>
              <w:t>Increase in finance lease obligations capitalized to PP&amp;E</w:t>
            </w:r>
          </w:p>
        </w:tc>
        <w:tc>
          <w:tcPr>
            <w:tcW w:w="960" w:type="dxa"/>
            <w:vAlign w:val="bottom"/>
            <w:tcBorders>
              <w:bottom w:val="single" w:sz="8" w:color="929292"/>
            </w:tcBorders>
            <w:shd w:val="clear" w:color="auto" w:fill="D4F1F5"/>
          </w:tcPr>
          <w:p>
            <w:pPr>
              <w:spacing w:after="0"/>
              <w:rPr>
                <w:sz w:val="19"/>
                <w:szCs w:val="19"/>
                <w:color w:val="auto"/>
              </w:rPr>
            </w:pPr>
          </w:p>
        </w:tc>
        <w:tc>
          <w:tcPr>
            <w:tcW w:w="540" w:type="dxa"/>
            <w:vAlign w:val="bottom"/>
            <w:tcBorders>
              <w:bottom w:val="single" w:sz="8" w:color="929292"/>
            </w:tcBorders>
            <w:shd w:val="clear" w:color="auto" w:fill="D4F1F5"/>
          </w:tcPr>
          <w:p>
            <w:pPr>
              <w:jc w:val="right"/>
              <w:ind w:right="39"/>
              <w:spacing w:after="0"/>
              <w:rPr>
                <w:sz w:val="20"/>
                <w:szCs w:val="20"/>
                <w:color w:val="auto"/>
              </w:rPr>
            </w:pPr>
            <w:r>
              <w:rPr>
                <w:rFonts w:ascii="Arial" w:cs="Arial" w:eastAsia="Arial" w:hAnsi="Arial"/>
                <w:sz w:val="16"/>
                <w:szCs w:val="16"/>
                <w:color w:val="auto"/>
              </w:rPr>
              <w:t>1</w:t>
            </w:r>
          </w:p>
        </w:tc>
        <w:tc>
          <w:tcPr>
            <w:tcW w:w="1060" w:type="dxa"/>
            <w:vAlign w:val="bottom"/>
            <w:tcBorders>
              <w:bottom w:val="single" w:sz="8" w:color="929292"/>
            </w:tcBorders>
            <w:shd w:val="clear" w:color="auto" w:fill="D4F1F5"/>
          </w:tcPr>
          <w:p>
            <w:pPr>
              <w:spacing w:after="0"/>
              <w:rPr>
                <w:sz w:val="19"/>
                <w:szCs w:val="19"/>
                <w:color w:val="auto"/>
              </w:rPr>
            </w:pPr>
          </w:p>
        </w:tc>
        <w:tc>
          <w:tcPr>
            <w:tcW w:w="440" w:type="dxa"/>
            <w:vAlign w:val="bottom"/>
            <w:tcBorders>
              <w:bottom w:val="single" w:sz="8" w:color="929292"/>
            </w:tcBorders>
            <w:shd w:val="clear" w:color="auto" w:fill="D4F1F5"/>
          </w:tcPr>
          <w:p>
            <w:pPr>
              <w:jc w:val="right"/>
              <w:spacing w:after="0"/>
              <w:rPr>
                <w:sz w:val="20"/>
                <w:szCs w:val="20"/>
                <w:color w:val="auto"/>
              </w:rPr>
            </w:pPr>
            <w:r>
              <w:rPr>
                <w:rFonts w:ascii="Arial" w:cs="Arial" w:eastAsia="Arial" w:hAnsi="Arial"/>
                <w:sz w:val="16"/>
                <w:szCs w:val="16"/>
                <w:color w:val="auto"/>
              </w:rPr>
              <w:t>14</w:t>
            </w:r>
          </w:p>
        </w:tc>
      </w:tr>
    </w:tbl>
    <w:p>
      <w:pPr>
        <w:spacing w:after="0" w:line="128"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See Notes to Condensed Financial Statements.</w:t>
      </w: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480060</wp:posOffset>
            </wp:positionV>
            <wp:extent cx="7098030" cy="45402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098030" cy="4540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FFFFFF"/>
        </w:rPr>
        <w:t>SOUTHERN CALIFORNIA GAS COMPANY</w:t>
      </w:r>
    </w:p>
    <w:p>
      <w:pPr>
        <w:spacing w:after="0" w:line="59"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FFFFFF"/>
        </w:rPr>
        <w:t>CONDENSED STATEMENTS OF CHANGES IN SHAREHOLDERS’ EQUITY</w:t>
      </w:r>
    </w:p>
    <w:p>
      <w:pPr>
        <w:spacing w:after="0" w:line="66" w:lineRule="exact"/>
        <w:rPr>
          <w:sz w:val="20"/>
          <w:szCs w:val="20"/>
          <w:color w:val="auto"/>
        </w:rPr>
      </w:pPr>
    </w:p>
    <w:p>
      <w:pPr>
        <w:ind w:left="20"/>
        <w:spacing w:after="0"/>
        <w:rPr>
          <w:sz w:val="20"/>
          <w:szCs w:val="20"/>
          <w:color w:val="auto"/>
        </w:rPr>
      </w:pPr>
      <w:r>
        <w:rPr>
          <w:rFonts w:ascii="Arial" w:cs="Arial" w:eastAsia="Arial" w:hAnsi="Arial"/>
          <w:sz w:val="14"/>
          <w:szCs w:val="14"/>
          <w:i w:val="1"/>
          <w:iCs w:val="1"/>
          <w:color w:val="FFFFFF"/>
        </w:rPr>
        <w:t>(Dollars in millions)</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tcPr>
          <w:p>
            <w:pPr>
              <w:jc w:val="center"/>
              <w:ind w:right="81"/>
              <w:spacing w:after="0"/>
              <w:rPr>
                <w:sz w:val="20"/>
                <w:szCs w:val="20"/>
                <w:color w:val="auto"/>
              </w:rPr>
            </w:pPr>
            <w:r>
              <w:rPr>
                <w:rFonts w:ascii="Arial" w:cs="Arial" w:eastAsia="Arial" w:hAnsi="Arial"/>
                <w:sz w:val="14"/>
                <w:szCs w:val="14"/>
                <w:color w:val="auto"/>
                <w:w w:val="96"/>
              </w:rPr>
              <w:t>Total</w:t>
            </w:r>
          </w:p>
        </w:tc>
      </w:tr>
      <w:tr>
        <w:trPr>
          <w:trHeight w:val="162"/>
        </w:trPr>
        <w:tc>
          <w:tcPr>
            <w:tcW w:w="4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00" w:type="dxa"/>
            <w:vAlign w:val="bottom"/>
          </w:tcPr>
          <w:p>
            <w:pPr>
              <w:jc w:val="right"/>
              <w:ind w:right="302"/>
              <w:spacing w:after="0"/>
              <w:rPr>
                <w:sz w:val="20"/>
                <w:szCs w:val="20"/>
                <w:color w:val="auto"/>
              </w:rPr>
            </w:pPr>
            <w:r>
              <w:rPr>
                <w:rFonts w:ascii="Arial" w:cs="Arial" w:eastAsia="Arial" w:hAnsi="Arial"/>
                <w:sz w:val="14"/>
                <w:szCs w:val="14"/>
                <w:color w:val="auto"/>
              </w:rPr>
              <w:t>Preferred</w:t>
            </w:r>
          </w:p>
        </w:tc>
        <w:tc>
          <w:tcPr>
            <w:tcW w:w="320" w:type="dxa"/>
            <w:vAlign w:val="bottom"/>
          </w:tcPr>
          <w:p>
            <w:pPr>
              <w:spacing w:after="0"/>
              <w:rPr>
                <w:sz w:val="14"/>
                <w:szCs w:val="14"/>
                <w:color w:val="auto"/>
              </w:rPr>
            </w:pPr>
          </w:p>
        </w:tc>
        <w:tc>
          <w:tcPr>
            <w:tcW w:w="1100" w:type="dxa"/>
            <w:vAlign w:val="bottom"/>
          </w:tcPr>
          <w:p>
            <w:pPr>
              <w:jc w:val="right"/>
              <w:ind w:right="304"/>
              <w:spacing w:after="0"/>
              <w:rPr>
                <w:sz w:val="20"/>
                <w:szCs w:val="20"/>
                <w:color w:val="auto"/>
              </w:rPr>
            </w:pPr>
            <w:r>
              <w:rPr>
                <w:rFonts w:ascii="Arial" w:cs="Arial" w:eastAsia="Arial" w:hAnsi="Arial"/>
                <w:sz w:val="14"/>
                <w:szCs w:val="14"/>
                <w:color w:val="auto"/>
              </w:rPr>
              <w:t>Common</w:t>
            </w:r>
          </w:p>
        </w:tc>
        <w:tc>
          <w:tcPr>
            <w:tcW w:w="280" w:type="dxa"/>
            <w:vAlign w:val="bottom"/>
          </w:tcPr>
          <w:p>
            <w:pPr>
              <w:spacing w:after="0"/>
              <w:rPr>
                <w:sz w:val="14"/>
                <w:szCs w:val="14"/>
                <w:color w:val="auto"/>
              </w:rPr>
            </w:pPr>
          </w:p>
        </w:tc>
        <w:tc>
          <w:tcPr>
            <w:tcW w:w="1140" w:type="dxa"/>
            <w:vAlign w:val="bottom"/>
          </w:tcPr>
          <w:p>
            <w:pPr>
              <w:jc w:val="center"/>
              <w:ind w:right="161"/>
              <w:spacing w:after="0"/>
              <w:rPr>
                <w:sz w:val="20"/>
                <w:szCs w:val="20"/>
                <w:color w:val="auto"/>
              </w:rPr>
            </w:pPr>
            <w:r>
              <w:rPr>
                <w:rFonts w:ascii="Arial" w:cs="Arial" w:eastAsia="Arial" w:hAnsi="Arial"/>
                <w:sz w:val="14"/>
                <w:szCs w:val="14"/>
                <w:color w:val="auto"/>
              </w:rPr>
              <w:t>Retained</w:t>
            </w:r>
          </w:p>
        </w:tc>
        <w:tc>
          <w:tcPr>
            <w:tcW w:w="5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tcPr>
          <w:p>
            <w:pPr>
              <w:jc w:val="center"/>
              <w:ind w:right="81"/>
              <w:spacing w:after="0"/>
              <w:rPr>
                <w:sz w:val="20"/>
                <w:szCs w:val="20"/>
                <w:color w:val="auto"/>
              </w:rPr>
            </w:pPr>
            <w:r>
              <w:rPr>
                <w:rFonts w:ascii="Arial" w:cs="Arial" w:eastAsia="Arial" w:hAnsi="Arial"/>
                <w:sz w:val="14"/>
                <w:szCs w:val="14"/>
                <w:color w:val="auto"/>
              </w:rPr>
              <w:t>shareholders’</w:t>
            </w:r>
          </w:p>
        </w:tc>
      </w:tr>
      <w:tr>
        <w:trPr>
          <w:trHeight w:val="208"/>
        </w:trPr>
        <w:tc>
          <w:tcPr>
            <w:tcW w:w="42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42"/>
              <w:spacing w:after="0"/>
              <w:rPr>
                <w:sz w:val="20"/>
                <w:szCs w:val="20"/>
                <w:color w:val="auto"/>
              </w:rPr>
            </w:pPr>
            <w:r>
              <w:rPr>
                <w:rFonts w:ascii="Arial" w:cs="Arial" w:eastAsia="Arial" w:hAnsi="Arial"/>
                <w:sz w:val="14"/>
                <w:szCs w:val="14"/>
                <w:color w:val="auto"/>
              </w:rPr>
              <w:t>stock</w:t>
            </w: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44"/>
              <w:spacing w:after="0"/>
              <w:rPr>
                <w:sz w:val="20"/>
                <w:szCs w:val="20"/>
                <w:color w:val="auto"/>
              </w:rPr>
            </w:pPr>
            <w:r>
              <w:rPr>
                <w:rFonts w:ascii="Arial" w:cs="Arial" w:eastAsia="Arial" w:hAnsi="Arial"/>
                <w:sz w:val="14"/>
                <w:szCs w:val="14"/>
                <w:color w:val="auto"/>
              </w:rPr>
              <w:t>stock</w:t>
            </w:r>
          </w:p>
        </w:tc>
        <w:tc>
          <w:tcPr>
            <w:tcW w:w="2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center"/>
              <w:ind w:right="141"/>
              <w:spacing w:after="0"/>
              <w:rPr>
                <w:sz w:val="20"/>
                <w:szCs w:val="20"/>
                <w:color w:val="auto"/>
              </w:rPr>
            </w:pPr>
            <w:r>
              <w:rPr>
                <w:rFonts w:ascii="Arial" w:cs="Arial" w:eastAsia="Arial" w:hAnsi="Arial"/>
                <w:sz w:val="14"/>
                <w:szCs w:val="14"/>
                <w:color w:val="auto"/>
              </w:rPr>
              <w:t>earnings</w:t>
            </w:r>
          </w:p>
        </w:tc>
        <w:tc>
          <w:tcPr>
            <w:tcW w:w="5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441"/>
              <w:spacing w:after="0"/>
              <w:rPr>
                <w:sz w:val="20"/>
                <w:szCs w:val="20"/>
                <w:color w:val="auto"/>
              </w:rPr>
            </w:pPr>
            <w:r>
              <w:rPr>
                <w:rFonts w:ascii="Arial" w:cs="Arial" w:eastAsia="Arial" w:hAnsi="Arial"/>
                <w:sz w:val="14"/>
                <w:szCs w:val="14"/>
                <w:color w:val="auto"/>
              </w:rPr>
              <w:t>AOCI</w:t>
            </w:r>
          </w:p>
        </w:tc>
        <w:tc>
          <w:tcPr>
            <w:tcW w:w="2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center"/>
              <w:ind w:right="81"/>
              <w:spacing w:after="0"/>
              <w:rPr>
                <w:sz w:val="20"/>
                <w:szCs w:val="20"/>
                <w:color w:val="auto"/>
              </w:rPr>
            </w:pPr>
            <w:r>
              <w:rPr>
                <w:rFonts w:ascii="Arial" w:cs="Arial" w:eastAsia="Arial" w:hAnsi="Arial"/>
                <w:sz w:val="14"/>
                <w:szCs w:val="14"/>
                <w:color w:val="auto"/>
              </w:rPr>
              <w:t>equity</w:t>
            </w:r>
          </w:p>
        </w:tc>
      </w:tr>
      <w:tr>
        <w:trPr>
          <w:trHeight w:val="209"/>
        </w:trPr>
        <w:tc>
          <w:tcPr>
            <w:tcW w:w="42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center"/>
              <w:ind w:right="141"/>
              <w:spacing w:after="0"/>
              <w:rPr>
                <w:sz w:val="20"/>
                <w:szCs w:val="20"/>
                <w:color w:val="auto"/>
              </w:rPr>
            </w:pPr>
            <w:r>
              <w:rPr>
                <w:rFonts w:ascii="Arial" w:cs="Arial" w:eastAsia="Arial" w:hAnsi="Arial"/>
                <w:sz w:val="14"/>
                <w:szCs w:val="14"/>
                <w:color w:val="auto"/>
              </w:rPr>
              <w:t>(unaudited)</w:t>
            </w:r>
          </w:p>
        </w:tc>
        <w:tc>
          <w:tcPr>
            <w:tcW w:w="5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r>
      <w:tr>
        <w:trPr>
          <w:trHeight w:val="209"/>
        </w:trPr>
        <w:tc>
          <w:tcPr>
            <w:tcW w:w="42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3040" w:type="dxa"/>
            <w:vAlign w:val="bottom"/>
            <w:tcBorders>
              <w:bottom w:val="single" w:sz="8" w:color="auto"/>
            </w:tcBorders>
            <w:gridSpan w:val="4"/>
          </w:tcPr>
          <w:p>
            <w:pPr>
              <w:jc w:val="center"/>
              <w:ind w:left="564"/>
              <w:spacing w:after="0"/>
              <w:rPr>
                <w:sz w:val="20"/>
                <w:szCs w:val="20"/>
                <w:color w:val="auto"/>
              </w:rPr>
            </w:pPr>
            <w:r>
              <w:rPr>
                <w:rFonts w:ascii="Arial" w:cs="Arial" w:eastAsia="Arial" w:hAnsi="Arial"/>
                <w:sz w:val="14"/>
                <w:szCs w:val="14"/>
                <w:color w:val="auto"/>
              </w:rPr>
              <w:t>Three months ended March 31, 2026</w:t>
            </w:r>
          </w:p>
        </w:tc>
        <w:tc>
          <w:tcPr>
            <w:tcW w:w="9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r>
      <w:tr>
        <w:trPr>
          <w:trHeight w:val="214"/>
        </w:trPr>
        <w:tc>
          <w:tcPr>
            <w:tcW w:w="4200" w:type="dxa"/>
            <w:vAlign w:val="bottom"/>
            <w:shd w:val="clear" w:color="auto" w:fill="D4F1F5"/>
          </w:tcPr>
          <w:p>
            <w:pPr>
              <w:ind w:left="20"/>
              <w:spacing w:after="0"/>
              <w:rPr>
                <w:sz w:val="20"/>
                <w:szCs w:val="20"/>
                <w:color w:val="auto"/>
              </w:rPr>
            </w:pPr>
            <w:r>
              <w:rPr>
                <w:rFonts w:ascii="Arial" w:cs="Arial" w:eastAsia="Arial" w:hAnsi="Arial"/>
                <w:sz w:val="16"/>
                <w:szCs w:val="16"/>
                <w:b w:val="1"/>
                <w:bCs w:val="1"/>
                <w:color w:val="auto"/>
              </w:rPr>
              <w:t>Balance at December 31, 2025</w:t>
            </w:r>
          </w:p>
        </w:tc>
        <w:tc>
          <w:tcPr>
            <w:tcW w:w="240" w:type="dxa"/>
            <w:vAlign w:val="bottom"/>
            <w:shd w:val="clear" w:color="auto" w:fill="D4F1F5"/>
          </w:tcPr>
          <w:p>
            <w:pPr>
              <w:jc w:val="right"/>
              <w:ind w:right="39"/>
              <w:spacing w:after="0"/>
              <w:rPr>
                <w:sz w:val="20"/>
                <w:szCs w:val="20"/>
                <w:color w:val="auto"/>
              </w:rPr>
            </w:pPr>
            <w:r>
              <w:rPr>
                <w:rFonts w:ascii="Arial" w:cs="Arial" w:eastAsia="Arial" w:hAnsi="Arial"/>
                <w:sz w:val="16"/>
                <w:szCs w:val="16"/>
                <w:color w:val="auto"/>
              </w:rPr>
              <w:t>$</w:t>
            </w:r>
          </w:p>
        </w:tc>
        <w:tc>
          <w:tcPr>
            <w:tcW w:w="1100" w:type="dxa"/>
            <w:vAlign w:val="bottom"/>
            <w:shd w:val="clear" w:color="auto" w:fill="D4F1F5"/>
          </w:tcPr>
          <w:p>
            <w:pPr>
              <w:jc w:val="right"/>
              <w:ind w:right="22"/>
              <w:spacing w:after="0"/>
              <w:rPr>
                <w:sz w:val="20"/>
                <w:szCs w:val="20"/>
                <w:color w:val="auto"/>
              </w:rPr>
            </w:pPr>
            <w:r>
              <w:rPr>
                <w:rFonts w:ascii="Arial" w:cs="Arial" w:eastAsia="Arial" w:hAnsi="Arial"/>
                <w:sz w:val="16"/>
                <w:szCs w:val="16"/>
                <w:color w:val="auto"/>
              </w:rPr>
              <w:t>22</w:t>
            </w:r>
          </w:p>
        </w:tc>
        <w:tc>
          <w:tcPr>
            <w:tcW w:w="320" w:type="dxa"/>
            <w:vAlign w:val="bottom"/>
            <w:shd w:val="clear" w:color="auto" w:fill="D4F1F5"/>
          </w:tcPr>
          <w:p>
            <w:pPr>
              <w:jc w:val="right"/>
              <w:ind w:right="39"/>
              <w:spacing w:after="0"/>
              <w:rPr>
                <w:sz w:val="20"/>
                <w:szCs w:val="20"/>
                <w:color w:val="auto"/>
              </w:rPr>
            </w:pPr>
            <w:r>
              <w:rPr>
                <w:rFonts w:ascii="Arial" w:cs="Arial" w:eastAsia="Arial" w:hAnsi="Arial"/>
                <w:sz w:val="16"/>
                <w:szCs w:val="16"/>
                <w:color w:val="auto"/>
              </w:rPr>
              <w:t>$</w:t>
            </w:r>
          </w:p>
        </w:tc>
        <w:tc>
          <w:tcPr>
            <w:tcW w:w="1100" w:type="dxa"/>
            <w:vAlign w:val="bottom"/>
            <w:shd w:val="clear" w:color="auto" w:fill="D4F1F5"/>
          </w:tcPr>
          <w:p>
            <w:pPr>
              <w:jc w:val="right"/>
              <w:ind w:right="24"/>
              <w:spacing w:after="0"/>
              <w:rPr>
                <w:sz w:val="20"/>
                <w:szCs w:val="20"/>
                <w:color w:val="auto"/>
              </w:rPr>
            </w:pPr>
            <w:r>
              <w:rPr>
                <w:rFonts w:ascii="Arial" w:cs="Arial" w:eastAsia="Arial" w:hAnsi="Arial"/>
                <w:sz w:val="16"/>
                <w:szCs w:val="16"/>
                <w:color w:val="auto"/>
              </w:rPr>
              <w:t>2,316</w:t>
            </w:r>
          </w:p>
        </w:tc>
        <w:tc>
          <w:tcPr>
            <w:tcW w:w="280" w:type="dxa"/>
            <w:vAlign w:val="bottom"/>
            <w:shd w:val="clear" w:color="auto" w:fill="D4F1F5"/>
          </w:tcPr>
          <w:p>
            <w:pPr>
              <w:jc w:val="right"/>
              <w:ind w:right="19"/>
              <w:spacing w:after="0"/>
              <w:rPr>
                <w:sz w:val="20"/>
                <w:szCs w:val="20"/>
                <w:color w:val="auto"/>
              </w:rPr>
            </w:pPr>
            <w:r>
              <w:rPr>
                <w:rFonts w:ascii="Arial" w:cs="Arial" w:eastAsia="Arial" w:hAnsi="Arial"/>
                <w:sz w:val="16"/>
                <w:szCs w:val="16"/>
                <w:color w:val="auto"/>
              </w:rPr>
              <w:t>$</w:t>
            </w:r>
          </w:p>
        </w:tc>
        <w:tc>
          <w:tcPr>
            <w:tcW w:w="1140" w:type="dxa"/>
            <w:vAlign w:val="bottom"/>
            <w:shd w:val="clear" w:color="auto" w:fill="D4F1F5"/>
          </w:tcPr>
          <w:p>
            <w:pPr>
              <w:jc w:val="right"/>
              <w:ind w:right="21"/>
              <w:spacing w:after="0"/>
              <w:rPr>
                <w:sz w:val="20"/>
                <w:szCs w:val="20"/>
                <w:color w:val="auto"/>
              </w:rPr>
            </w:pPr>
            <w:r>
              <w:rPr>
                <w:rFonts w:ascii="Arial" w:cs="Arial" w:eastAsia="Arial" w:hAnsi="Arial"/>
                <w:sz w:val="16"/>
                <w:szCs w:val="16"/>
                <w:color w:val="auto"/>
              </w:rPr>
              <w:t>6,515</w:t>
            </w:r>
          </w:p>
        </w:tc>
        <w:tc>
          <w:tcPr>
            <w:tcW w:w="520" w:type="dxa"/>
            <w:vAlign w:val="bottom"/>
            <w:shd w:val="clear" w:color="auto" w:fill="D4F1F5"/>
          </w:tcPr>
          <w:p>
            <w:pPr>
              <w:jc w:val="right"/>
              <w:ind w:right="259"/>
              <w:spacing w:after="0"/>
              <w:rPr>
                <w:sz w:val="20"/>
                <w:szCs w:val="20"/>
                <w:color w:val="auto"/>
              </w:rPr>
            </w:pPr>
            <w:r>
              <w:rPr>
                <w:rFonts w:ascii="Arial" w:cs="Arial" w:eastAsia="Arial" w:hAnsi="Arial"/>
                <w:sz w:val="16"/>
                <w:szCs w:val="16"/>
                <w:color w:val="auto"/>
              </w:rPr>
              <w:t>$</w:t>
            </w:r>
          </w:p>
        </w:tc>
        <w:tc>
          <w:tcPr>
            <w:tcW w:w="900" w:type="dxa"/>
            <w:vAlign w:val="bottom"/>
            <w:shd w:val="clear" w:color="auto" w:fill="D4F1F5"/>
          </w:tcPr>
          <w:p>
            <w:pPr>
              <w:jc w:val="right"/>
              <w:ind w:right="1"/>
              <w:spacing w:after="0"/>
              <w:rPr>
                <w:sz w:val="20"/>
                <w:szCs w:val="20"/>
                <w:color w:val="auto"/>
              </w:rPr>
            </w:pPr>
            <w:r>
              <w:rPr>
                <w:rFonts w:ascii="Arial" w:cs="Arial" w:eastAsia="Arial" w:hAnsi="Arial"/>
                <w:sz w:val="16"/>
                <w:szCs w:val="16"/>
                <w:color w:val="auto"/>
              </w:rPr>
              <w:t>(17)</w:t>
            </w:r>
          </w:p>
        </w:tc>
        <w:tc>
          <w:tcPr>
            <w:tcW w:w="240" w:type="dxa"/>
            <w:vAlign w:val="bottom"/>
            <w:shd w:val="clear" w:color="auto" w:fill="D4F1F5"/>
          </w:tcPr>
          <w:p>
            <w:pPr>
              <w:jc w:val="right"/>
              <w:spacing w:after="0"/>
              <w:rPr>
                <w:sz w:val="20"/>
                <w:szCs w:val="20"/>
                <w:color w:val="auto"/>
              </w:rPr>
            </w:pPr>
            <w:r>
              <w:rPr>
                <w:rFonts w:ascii="Arial" w:cs="Arial" w:eastAsia="Arial" w:hAnsi="Arial"/>
                <w:sz w:val="16"/>
                <w:szCs w:val="16"/>
                <w:color w:val="auto"/>
              </w:rPr>
              <w:t>$</w:t>
            </w:r>
          </w:p>
        </w:tc>
        <w:tc>
          <w:tcPr>
            <w:tcW w:w="1140" w:type="dxa"/>
            <w:vAlign w:val="bottom"/>
            <w:shd w:val="clear" w:color="auto" w:fill="D4F1F5"/>
          </w:tcPr>
          <w:p>
            <w:pPr>
              <w:jc w:val="right"/>
              <w:spacing w:after="0"/>
              <w:rPr>
                <w:sz w:val="20"/>
                <w:szCs w:val="20"/>
                <w:color w:val="auto"/>
              </w:rPr>
            </w:pPr>
            <w:r>
              <w:rPr>
                <w:rFonts w:ascii="Arial" w:cs="Arial" w:eastAsia="Arial" w:hAnsi="Arial"/>
                <w:sz w:val="16"/>
                <w:szCs w:val="16"/>
                <w:color w:val="auto"/>
              </w:rPr>
              <w:t>8,836</w:t>
            </w:r>
          </w:p>
        </w:tc>
      </w:tr>
      <w:tr>
        <w:trPr>
          <w:trHeight w:val="215"/>
        </w:trPr>
        <w:tc>
          <w:tcPr>
            <w:tcW w:w="4200" w:type="dxa"/>
            <w:vAlign w:val="bottom"/>
          </w:tcPr>
          <w:p>
            <w:pPr>
              <w:ind w:left="20"/>
              <w:spacing w:after="0"/>
              <w:rPr>
                <w:sz w:val="20"/>
                <w:szCs w:val="20"/>
                <w:color w:val="auto"/>
              </w:rPr>
            </w:pPr>
            <w:r>
              <w:rPr>
                <w:rFonts w:ascii="Arial" w:cs="Arial" w:eastAsia="Arial" w:hAnsi="Arial"/>
                <w:sz w:val="16"/>
                <w:szCs w:val="16"/>
                <w:color w:val="auto"/>
              </w:rPr>
              <w:t>Net income</w:t>
            </w: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jc w:val="right"/>
              <w:ind w:right="21"/>
              <w:spacing w:after="0"/>
              <w:rPr>
                <w:sz w:val="20"/>
                <w:szCs w:val="20"/>
                <w:color w:val="auto"/>
              </w:rPr>
            </w:pPr>
            <w:r>
              <w:rPr>
                <w:rFonts w:ascii="Arial" w:cs="Arial" w:eastAsia="Arial" w:hAnsi="Arial"/>
                <w:sz w:val="16"/>
                <w:szCs w:val="16"/>
                <w:color w:val="auto"/>
              </w:rPr>
              <w:t>424</w:t>
            </w:r>
          </w:p>
        </w:tc>
        <w:tc>
          <w:tcPr>
            <w:tcW w:w="5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424</w:t>
            </w:r>
          </w:p>
        </w:tc>
      </w:tr>
      <w:tr>
        <w:trPr>
          <w:trHeight w:val="217"/>
        </w:trPr>
        <w:tc>
          <w:tcPr>
            <w:tcW w:w="4200" w:type="dxa"/>
            <w:vAlign w:val="bottom"/>
            <w:shd w:val="clear" w:color="auto" w:fill="D4F1F5"/>
          </w:tcPr>
          <w:p>
            <w:pPr>
              <w:ind w:left="20"/>
              <w:spacing w:after="0"/>
              <w:rPr>
                <w:sz w:val="20"/>
                <w:szCs w:val="20"/>
                <w:color w:val="auto"/>
              </w:rPr>
            </w:pPr>
            <w:r>
              <w:rPr>
                <w:rFonts w:ascii="Arial" w:cs="Arial" w:eastAsia="Arial" w:hAnsi="Arial"/>
                <w:sz w:val="16"/>
                <w:szCs w:val="16"/>
                <w:color w:val="auto"/>
              </w:rPr>
              <w:t>Dividends declared:</w:t>
            </w:r>
          </w:p>
        </w:tc>
        <w:tc>
          <w:tcPr>
            <w:tcW w:w="240" w:type="dxa"/>
            <w:vAlign w:val="bottom"/>
            <w:shd w:val="clear" w:color="auto" w:fill="D4F1F5"/>
          </w:tcPr>
          <w:p>
            <w:pPr>
              <w:spacing w:after="0"/>
              <w:rPr>
                <w:sz w:val="18"/>
                <w:szCs w:val="18"/>
                <w:color w:val="auto"/>
              </w:rPr>
            </w:pPr>
          </w:p>
        </w:tc>
        <w:tc>
          <w:tcPr>
            <w:tcW w:w="1100" w:type="dxa"/>
            <w:vAlign w:val="bottom"/>
            <w:shd w:val="clear" w:color="auto" w:fill="D4F1F5"/>
          </w:tcPr>
          <w:p>
            <w:pPr>
              <w:spacing w:after="0"/>
              <w:rPr>
                <w:sz w:val="18"/>
                <w:szCs w:val="18"/>
                <w:color w:val="auto"/>
              </w:rPr>
            </w:pPr>
          </w:p>
        </w:tc>
        <w:tc>
          <w:tcPr>
            <w:tcW w:w="320" w:type="dxa"/>
            <w:vAlign w:val="bottom"/>
            <w:shd w:val="clear" w:color="auto" w:fill="D4F1F5"/>
          </w:tcPr>
          <w:p>
            <w:pPr>
              <w:spacing w:after="0"/>
              <w:rPr>
                <w:sz w:val="18"/>
                <w:szCs w:val="18"/>
                <w:color w:val="auto"/>
              </w:rPr>
            </w:pPr>
          </w:p>
        </w:tc>
        <w:tc>
          <w:tcPr>
            <w:tcW w:w="1100" w:type="dxa"/>
            <w:vAlign w:val="bottom"/>
            <w:shd w:val="clear" w:color="auto" w:fill="D4F1F5"/>
          </w:tcPr>
          <w:p>
            <w:pPr>
              <w:spacing w:after="0"/>
              <w:rPr>
                <w:sz w:val="18"/>
                <w:szCs w:val="18"/>
                <w:color w:val="auto"/>
              </w:rPr>
            </w:pPr>
          </w:p>
        </w:tc>
        <w:tc>
          <w:tcPr>
            <w:tcW w:w="280" w:type="dxa"/>
            <w:vAlign w:val="bottom"/>
            <w:shd w:val="clear" w:color="auto" w:fill="D4F1F5"/>
          </w:tcPr>
          <w:p>
            <w:pPr>
              <w:spacing w:after="0"/>
              <w:rPr>
                <w:sz w:val="18"/>
                <w:szCs w:val="18"/>
                <w:color w:val="auto"/>
              </w:rPr>
            </w:pPr>
          </w:p>
        </w:tc>
        <w:tc>
          <w:tcPr>
            <w:tcW w:w="1140" w:type="dxa"/>
            <w:vAlign w:val="bottom"/>
            <w:shd w:val="clear" w:color="auto" w:fill="D4F1F5"/>
          </w:tcPr>
          <w:p>
            <w:pPr>
              <w:spacing w:after="0"/>
              <w:rPr>
                <w:sz w:val="18"/>
                <w:szCs w:val="18"/>
                <w:color w:val="auto"/>
              </w:rPr>
            </w:pPr>
          </w:p>
        </w:tc>
        <w:tc>
          <w:tcPr>
            <w:tcW w:w="520" w:type="dxa"/>
            <w:vAlign w:val="bottom"/>
            <w:shd w:val="clear" w:color="auto" w:fill="D4F1F5"/>
          </w:tcPr>
          <w:p>
            <w:pPr>
              <w:spacing w:after="0"/>
              <w:rPr>
                <w:sz w:val="18"/>
                <w:szCs w:val="18"/>
                <w:color w:val="auto"/>
              </w:rPr>
            </w:pPr>
          </w:p>
        </w:tc>
        <w:tc>
          <w:tcPr>
            <w:tcW w:w="900" w:type="dxa"/>
            <w:vAlign w:val="bottom"/>
            <w:shd w:val="clear" w:color="auto" w:fill="D4F1F5"/>
          </w:tcPr>
          <w:p>
            <w:pPr>
              <w:spacing w:after="0"/>
              <w:rPr>
                <w:sz w:val="18"/>
                <w:szCs w:val="18"/>
                <w:color w:val="auto"/>
              </w:rPr>
            </w:pPr>
          </w:p>
        </w:tc>
        <w:tc>
          <w:tcPr>
            <w:tcW w:w="240" w:type="dxa"/>
            <w:vAlign w:val="bottom"/>
            <w:shd w:val="clear" w:color="auto" w:fill="D4F1F5"/>
          </w:tcPr>
          <w:p>
            <w:pPr>
              <w:spacing w:after="0"/>
              <w:rPr>
                <w:sz w:val="18"/>
                <w:szCs w:val="18"/>
                <w:color w:val="auto"/>
              </w:rPr>
            </w:pPr>
          </w:p>
        </w:tc>
        <w:tc>
          <w:tcPr>
            <w:tcW w:w="1140" w:type="dxa"/>
            <w:vAlign w:val="bottom"/>
            <w:shd w:val="clear" w:color="auto" w:fill="D4F1F5"/>
          </w:tcPr>
          <w:p>
            <w:pPr>
              <w:spacing w:after="0"/>
              <w:rPr>
                <w:sz w:val="18"/>
                <w:szCs w:val="18"/>
                <w:color w:val="auto"/>
              </w:rPr>
            </w:pPr>
          </w:p>
        </w:tc>
      </w:tr>
      <w:tr>
        <w:trPr>
          <w:trHeight w:val="215"/>
        </w:trPr>
        <w:tc>
          <w:tcPr>
            <w:tcW w:w="4200" w:type="dxa"/>
            <w:vAlign w:val="bottom"/>
            <w:tcBorders>
              <w:bottom w:val="single" w:sz="8" w:color="D4F1F5"/>
            </w:tcBorders>
          </w:tcPr>
          <w:p>
            <w:pPr>
              <w:ind w:left="240"/>
              <w:spacing w:after="0"/>
              <w:rPr>
                <w:sz w:val="20"/>
                <w:szCs w:val="20"/>
                <w:color w:val="auto"/>
              </w:rPr>
            </w:pPr>
            <w:r>
              <w:rPr>
                <w:rFonts w:ascii="Arial" w:cs="Arial" w:eastAsia="Arial" w:hAnsi="Arial"/>
                <w:sz w:val="16"/>
                <w:szCs w:val="16"/>
                <w:color w:val="auto"/>
              </w:rPr>
              <w:t>Preferred stock ($0.38/share)</w:t>
            </w:r>
          </w:p>
        </w:tc>
        <w:tc>
          <w:tcPr>
            <w:tcW w:w="2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w:t>
            </w:r>
          </w:p>
        </w:tc>
        <w:tc>
          <w:tcPr>
            <w:tcW w:w="5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217"/>
        </w:trPr>
        <w:tc>
          <w:tcPr>
            <w:tcW w:w="4200" w:type="dxa"/>
            <w:vAlign w:val="bottom"/>
            <w:tcBorders>
              <w:bottom w:val="single" w:sz="8" w:color="auto"/>
            </w:tcBorders>
            <w:shd w:val="clear" w:color="auto" w:fill="D4F1F5"/>
          </w:tcPr>
          <w:p>
            <w:pPr>
              <w:ind w:left="20"/>
              <w:spacing w:after="0"/>
              <w:rPr>
                <w:sz w:val="20"/>
                <w:szCs w:val="20"/>
                <w:color w:val="auto"/>
              </w:rPr>
            </w:pPr>
            <w:r>
              <w:rPr>
                <w:rFonts w:ascii="Arial" w:cs="Arial" w:eastAsia="Arial" w:hAnsi="Arial"/>
                <w:sz w:val="16"/>
                <w:szCs w:val="16"/>
                <w:b w:val="1"/>
                <w:bCs w:val="1"/>
                <w:color w:val="auto"/>
              </w:rPr>
              <w:t>Balance at March 31, 2026</w:t>
            </w:r>
          </w:p>
        </w:tc>
        <w:tc>
          <w:tcPr>
            <w:tcW w:w="240" w:type="dxa"/>
            <w:vAlign w:val="bottom"/>
            <w:tcBorders>
              <w:bottom w:val="single" w:sz="8" w:color="auto"/>
            </w:tcBorders>
            <w:shd w:val="clear" w:color="auto" w:fill="D4F1F5"/>
          </w:tcPr>
          <w:p>
            <w:pPr>
              <w:jc w:val="right"/>
              <w:ind w:right="3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shd w:val="clear" w:color="auto" w:fill="D4F1F5"/>
          </w:tcPr>
          <w:p>
            <w:pPr>
              <w:jc w:val="right"/>
              <w:ind w:right="22"/>
              <w:spacing w:after="0"/>
              <w:rPr>
                <w:sz w:val="20"/>
                <w:szCs w:val="20"/>
                <w:color w:val="auto"/>
              </w:rPr>
            </w:pPr>
            <w:r>
              <w:rPr>
                <w:rFonts w:ascii="Arial" w:cs="Arial" w:eastAsia="Arial" w:hAnsi="Arial"/>
                <w:sz w:val="16"/>
                <w:szCs w:val="16"/>
                <w:color w:val="auto"/>
              </w:rPr>
              <w:t>22</w:t>
            </w:r>
          </w:p>
        </w:tc>
        <w:tc>
          <w:tcPr>
            <w:tcW w:w="320" w:type="dxa"/>
            <w:vAlign w:val="bottom"/>
            <w:tcBorders>
              <w:bottom w:val="single" w:sz="8" w:color="auto"/>
            </w:tcBorders>
            <w:shd w:val="clear" w:color="auto" w:fill="D4F1F5"/>
          </w:tcPr>
          <w:p>
            <w:pPr>
              <w:jc w:val="right"/>
              <w:ind w:right="3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shd w:val="clear" w:color="auto" w:fill="D4F1F5"/>
          </w:tcPr>
          <w:p>
            <w:pPr>
              <w:jc w:val="right"/>
              <w:ind w:right="24"/>
              <w:spacing w:after="0"/>
              <w:rPr>
                <w:sz w:val="20"/>
                <w:szCs w:val="20"/>
                <w:color w:val="auto"/>
              </w:rPr>
            </w:pPr>
            <w:r>
              <w:rPr>
                <w:rFonts w:ascii="Arial" w:cs="Arial" w:eastAsia="Arial" w:hAnsi="Arial"/>
                <w:sz w:val="16"/>
                <w:szCs w:val="16"/>
                <w:color w:val="auto"/>
              </w:rPr>
              <w:t>2,316</w:t>
            </w:r>
          </w:p>
        </w:tc>
        <w:tc>
          <w:tcPr>
            <w:tcW w:w="280" w:type="dxa"/>
            <w:vAlign w:val="bottom"/>
            <w:tcBorders>
              <w:bottom w:val="single" w:sz="8" w:color="auto"/>
            </w:tcBorders>
            <w:shd w:val="clear" w:color="auto" w:fill="D4F1F5"/>
          </w:tcPr>
          <w:p>
            <w:pPr>
              <w:jc w:val="right"/>
              <w:ind w:right="1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shd w:val="clear" w:color="auto" w:fill="D4F1F5"/>
          </w:tcPr>
          <w:p>
            <w:pPr>
              <w:jc w:val="right"/>
              <w:ind w:right="21"/>
              <w:spacing w:after="0"/>
              <w:rPr>
                <w:sz w:val="20"/>
                <w:szCs w:val="20"/>
                <w:color w:val="auto"/>
              </w:rPr>
            </w:pPr>
            <w:r>
              <w:rPr>
                <w:rFonts w:ascii="Arial" w:cs="Arial" w:eastAsia="Arial" w:hAnsi="Arial"/>
                <w:sz w:val="16"/>
                <w:szCs w:val="16"/>
                <w:color w:val="auto"/>
              </w:rPr>
              <w:t>6,939</w:t>
            </w:r>
          </w:p>
        </w:tc>
        <w:tc>
          <w:tcPr>
            <w:tcW w:w="520" w:type="dxa"/>
            <w:vAlign w:val="bottom"/>
            <w:tcBorders>
              <w:bottom w:val="single" w:sz="8" w:color="auto"/>
            </w:tcBorders>
            <w:shd w:val="clear" w:color="auto" w:fill="D4F1F5"/>
          </w:tcPr>
          <w:p>
            <w:pPr>
              <w:jc w:val="right"/>
              <w:ind w:right="25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shd w:val="clear" w:color="auto" w:fill="D4F1F5"/>
          </w:tcPr>
          <w:p>
            <w:pPr>
              <w:jc w:val="right"/>
              <w:ind w:right="1"/>
              <w:spacing w:after="0"/>
              <w:rPr>
                <w:sz w:val="20"/>
                <w:szCs w:val="20"/>
                <w:color w:val="auto"/>
              </w:rPr>
            </w:pPr>
            <w:r>
              <w:rPr>
                <w:rFonts w:ascii="Arial" w:cs="Arial" w:eastAsia="Arial" w:hAnsi="Arial"/>
                <w:sz w:val="16"/>
                <w:szCs w:val="16"/>
                <w:color w:val="auto"/>
              </w:rPr>
              <w:t>(17)</w:t>
            </w:r>
          </w:p>
        </w:tc>
        <w:tc>
          <w:tcPr>
            <w:tcW w:w="240" w:type="dxa"/>
            <w:vAlign w:val="bottom"/>
            <w:tcBorders>
              <w:bottom w:val="single" w:sz="8" w:color="auto"/>
            </w:tcBorders>
            <w:shd w:val="clear" w:color="auto" w:fill="D4F1F5"/>
          </w:tcPr>
          <w:p>
            <w:pPr>
              <w:jc w:val="right"/>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shd w:val="clear" w:color="auto" w:fill="D4F1F5"/>
          </w:tcPr>
          <w:p>
            <w:pPr>
              <w:jc w:val="right"/>
              <w:spacing w:after="0"/>
              <w:rPr>
                <w:sz w:val="20"/>
                <w:szCs w:val="20"/>
                <w:color w:val="auto"/>
              </w:rPr>
            </w:pPr>
            <w:r>
              <w:rPr>
                <w:rFonts w:ascii="Arial" w:cs="Arial" w:eastAsia="Arial" w:hAnsi="Arial"/>
                <w:sz w:val="16"/>
                <w:szCs w:val="16"/>
                <w:color w:val="auto"/>
              </w:rPr>
              <w:t>9,260</w:t>
            </w:r>
          </w:p>
        </w:tc>
      </w:tr>
      <w:tr>
        <w:trPr>
          <w:trHeight w:val="414"/>
        </w:trPr>
        <w:tc>
          <w:tcPr>
            <w:tcW w:w="42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3040" w:type="dxa"/>
            <w:vAlign w:val="bottom"/>
            <w:tcBorders>
              <w:bottom w:val="single" w:sz="8" w:color="auto"/>
            </w:tcBorders>
            <w:gridSpan w:val="4"/>
          </w:tcPr>
          <w:p>
            <w:pPr>
              <w:jc w:val="center"/>
              <w:ind w:left="564"/>
              <w:spacing w:after="0"/>
              <w:rPr>
                <w:sz w:val="20"/>
                <w:szCs w:val="20"/>
                <w:color w:val="auto"/>
              </w:rPr>
            </w:pPr>
            <w:r>
              <w:rPr>
                <w:rFonts w:ascii="Arial" w:cs="Arial" w:eastAsia="Arial" w:hAnsi="Arial"/>
                <w:sz w:val="14"/>
                <w:szCs w:val="14"/>
                <w:color w:val="auto"/>
              </w:rPr>
              <w:t>Three months ended March 31, 2025</w:t>
            </w:r>
          </w:p>
        </w:tc>
        <w:tc>
          <w:tcPr>
            <w:tcW w:w="9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r>
      <w:tr>
        <w:trPr>
          <w:trHeight w:val="213"/>
        </w:trPr>
        <w:tc>
          <w:tcPr>
            <w:tcW w:w="4200" w:type="dxa"/>
            <w:vAlign w:val="bottom"/>
            <w:shd w:val="clear" w:color="auto" w:fill="D4F1F5"/>
          </w:tcPr>
          <w:p>
            <w:pPr>
              <w:ind w:left="20"/>
              <w:spacing w:after="0"/>
              <w:rPr>
                <w:sz w:val="20"/>
                <w:szCs w:val="20"/>
                <w:color w:val="auto"/>
              </w:rPr>
            </w:pPr>
            <w:r>
              <w:rPr>
                <w:rFonts w:ascii="Arial" w:cs="Arial" w:eastAsia="Arial" w:hAnsi="Arial"/>
                <w:sz w:val="16"/>
                <w:szCs w:val="16"/>
                <w:b w:val="1"/>
                <w:bCs w:val="1"/>
                <w:color w:val="auto"/>
              </w:rPr>
              <w:t>Balance at December 31, 2024</w:t>
            </w:r>
          </w:p>
        </w:tc>
        <w:tc>
          <w:tcPr>
            <w:tcW w:w="240" w:type="dxa"/>
            <w:vAlign w:val="bottom"/>
            <w:shd w:val="clear" w:color="auto" w:fill="D4F1F5"/>
          </w:tcPr>
          <w:p>
            <w:pPr>
              <w:jc w:val="right"/>
              <w:ind w:right="39"/>
              <w:spacing w:after="0"/>
              <w:rPr>
                <w:sz w:val="20"/>
                <w:szCs w:val="20"/>
                <w:color w:val="auto"/>
              </w:rPr>
            </w:pPr>
            <w:r>
              <w:rPr>
                <w:rFonts w:ascii="Arial" w:cs="Arial" w:eastAsia="Arial" w:hAnsi="Arial"/>
                <w:sz w:val="16"/>
                <w:szCs w:val="16"/>
                <w:color w:val="auto"/>
              </w:rPr>
              <w:t>$</w:t>
            </w:r>
          </w:p>
        </w:tc>
        <w:tc>
          <w:tcPr>
            <w:tcW w:w="1100" w:type="dxa"/>
            <w:vAlign w:val="bottom"/>
            <w:shd w:val="clear" w:color="auto" w:fill="D4F1F5"/>
          </w:tcPr>
          <w:p>
            <w:pPr>
              <w:jc w:val="right"/>
              <w:ind w:right="22"/>
              <w:spacing w:after="0"/>
              <w:rPr>
                <w:sz w:val="20"/>
                <w:szCs w:val="20"/>
                <w:color w:val="auto"/>
              </w:rPr>
            </w:pPr>
            <w:r>
              <w:rPr>
                <w:rFonts w:ascii="Arial" w:cs="Arial" w:eastAsia="Arial" w:hAnsi="Arial"/>
                <w:sz w:val="16"/>
                <w:szCs w:val="16"/>
                <w:color w:val="auto"/>
              </w:rPr>
              <w:t>22</w:t>
            </w:r>
          </w:p>
        </w:tc>
        <w:tc>
          <w:tcPr>
            <w:tcW w:w="320" w:type="dxa"/>
            <w:vAlign w:val="bottom"/>
            <w:shd w:val="clear" w:color="auto" w:fill="D4F1F5"/>
          </w:tcPr>
          <w:p>
            <w:pPr>
              <w:jc w:val="right"/>
              <w:ind w:right="39"/>
              <w:spacing w:after="0"/>
              <w:rPr>
                <w:sz w:val="20"/>
                <w:szCs w:val="20"/>
                <w:color w:val="auto"/>
              </w:rPr>
            </w:pPr>
            <w:r>
              <w:rPr>
                <w:rFonts w:ascii="Arial" w:cs="Arial" w:eastAsia="Arial" w:hAnsi="Arial"/>
                <w:sz w:val="16"/>
                <w:szCs w:val="16"/>
                <w:color w:val="auto"/>
              </w:rPr>
              <w:t>$</w:t>
            </w:r>
          </w:p>
        </w:tc>
        <w:tc>
          <w:tcPr>
            <w:tcW w:w="1100" w:type="dxa"/>
            <w:vAlign w:val="bottom"/>
            <w:shd w:val="clear" w:color="auto" w:fill="D4F1F5"/>
          </w:tcPr>
          <w:p>
            <w:pPr>
              <w:jc w:val="right"/>
              <w:ind w:right="24"/>
              <w:spacing w:after="0"/>
              <w:rPr>
                <w:sz w:val="20"/>
                <w:szCs w:val="20"/>
                <w:color w:val="auto"/>
              </w:rPr>
            </w:pPr>
            <w:r>
              <w:rPr>
                <w:rFonts w:ascii="Arial" w:cs="Arial" w:eastAsia="Arial" w:hAnsi="Arial"/>
                <w:sz w:val="16"/>
                <w:szCs w:val="16"/>
                <w:color w:val="auto"/>
              </w:rPr>
              <w:t>2,316</w:t>
            </w:r>
          </w:p>
        </w:tc>
        <w:tc>
          <w:tcPr>
            <w:tcW w:w="280" w:type="dxa"/>
            <w:vAlign w:val="bottom"/>
            <w:shd w:val="clear" w:color="auto" w:fill="D4F1F5"/>
          </w:tcPr>
          <w:p>
            <w:pPr>
              <w:jc w:val="right"/>
              <w:ind w:right="19"/>
              <w:spacing w:after="0"/>
              <w:rPr>
                <w:sz w:val="20"/>
                <w:szCs w:val="20"/>
                <w:color w:val="auto"/>
              </w:rPr>
            </w:pPr>
            <w:r>
              <w:rPr>
                <w:rFonts w:ascii="Arial" w:cs="Arial" w:eastAsia="Arial" w:hAnsi="Arial"/>
                <w:sz w:val="16"/>
                <w:szCs w:val="16"/>
                <w:color w:val="auto"/>
              </w:rPr>
              <w:t>$</w:t>
            </w:r>
          </w:p>
        </w:tc>
        <w:tc>
          <w:tcPr>
            <w:tcW w:w="1140" w:type="dxa"/>
            <w:vAlign w:val="bottom"/>
            <w:shd w:val="clear" w:color="auto" w:fill="D4F1F5"/>
          </w:tcPr>
          <w:p>
            <w:pPr>
              <w:jc w:val="right"/>
              <w:ind w:right="21"/>
              <w:spacing w:after="0"/>
              <w:rPr>
                <w:sz w:val="20"/>
                <w:szCs w:val="20"/>
                <w:color w:val="auto"/>
              </w:rPr>
            </w:pPr>
            <w:r>
              <w:rPr>
                <w:rFonts w:ascii="Arial" w:cs="Arial" w:eastAsia="Arial" w:hAnsi="Arial"/>
                <w:sz w:val="16"/>
                <w:szCs w:val="16"/>
                <w:color w:val="auto"/>
              </w:rPr>
              <w:t>5,850</w:t>
            </w:r>
          </w:p>
        </w:tc>
        <w:tc>
          <w:tcPr>
            <w:tcW w:w="520" w:type="dxa"/>
            <w:vAlign w:val="bottom"/>
            <w:shd w:val="clear" w:color="auto" w:fill="D4F1F5"/>
          </w:tcPr>
          <w:p>
            <w:pPr>
              <w:jc w:val="right"/>
              <w:ind w:right="259"/>
              <w:spacing w:after="0"/>
              <w:rPr>
                <w:sz w:val="20"/>
                <w:szCs w:val="20"/>
                <w:color w:val="auto"/>
              </w:rPr>
            </w:pPr>
            <w:r>
              <w:rPr>
                <w:rFonts w:ascii="Arial" w:cs="Arial" w:eastAsia="Arial" w:hAnsi="Arial"/>
                <w:sz w:val="16"/>
                <w:szCs w:val="16"/>
                <w:color w:val="auto"/>
              </w:rPr>
              <w:t>$</w:t>
            </w:r>
          </w:p>
        </w:tc>
        <w:tc>
          <w:tcPr>
            <w:tcW w:w="900" w:type="dxa"/>
            <w:vAlign w:val="bottom"/>
            <w:shd w:val="clear" w:color="auto" w:fill="D4F1F5"/>
          </w:tcPr>
          <w:p>
            <w:pPr>
              <w:jc w:val="right"/>
              <w:ind w:right="1"/>
              <w:spacing w:after="0"/>
              <w:rPr>
                <w:sz w:val="20"/>
                <w:szCs w:val="20"/>
                <w:color w:val="auto"/>
              </w:rPr>
            </w:pPr>
            <w:r>
              <w:rPr>
                <w:rFonts w:ascii="Arial" w:cs="Arial" w:eastAsia="Arial" w:hAnsi="Arial"/>
                <w:sz w:val="16"/>
                <w:szCs w:val="16"/>
                <w:color w:val="auto"/>
              </w:rPr>
              <w:t>(27)</w:t>
            </w:r>
          </w:p>
        </w:tc>
        <w:tc>
          <w:tcPr>
            <w:tcW w:w="240" w:type="dxa"/>
            <w:vAlign w:val="bottom"/>
            <w:shd w:val="clear" w:color="auto" w:fill="D4F1F5"/>
          </w:tcPr>
          <w:p>
            <w:pPr>
              <w:jc w:val="right"/>
              <w:spacing w:after="0"/>
              <w:rPr>
                <w:sz w:val="20"/>
                <w:szCs w:val="20"/>
                <w:color w:val="auto"/>
              </w:rPr>
            </w:pPr>
            <w:r>
              <w:rPr>
                <w:rFonts w:ascii="Arial" w:cs="Arial" w:eastAsia="Arial" w:hAnsi="Arial"/>
                <w:sz w:val="16"/>
                <w:szCs w:val="16"/>
                <w:color w:val="auto"/>
              </w:rPr>
              <w:t>$</w:t>
            </w:r>
          </w:p>
        </w:tc>
        <w:tc>
          <w:tcPr>
            <w:tcW w:w="1140" w:type="dxa"/>
            <w:vAlign w:val="bottom"/>
            <w:shd w:val="clear" w:color="auto" w:fill="D4F1F5"/>
          </w:tcPr>
          <w:p>
            <w:pPr>
              <w:jc w:val="right"/>
              <w:spacing w:after="0"/>
              <w:rPr>
                <w:sz w:val="20"/>
                <w:szCs w:val="20"/>
                <w:color w:val="auto"/>
              </w:rPr>
            </w:pPr>
            <w:r>
              <w:rPr>
                <w:rFonts w:ascii="Arial" w:cs="Arial" w:eastAsia="Arial" w:hAnsi="Arial"/>
                <w:sz w:val="16"/>
                <w:szCs w:val="16"/>
                <w:color w:val="auto"/>
              </w:rPr>
              <w:t>8,161</w:t>
            </w:r>
          </w:p>
        </w:tc>
      </w:tr>
      <w:tr>
        <w:trPr>
          <w:trHeight w:val="215"/>
        </w:trPr>
        <w:tc>
          <w:tcPr>
            <w:tcW w:w="4200" w:type="dxa"/>
            <w:vAlign w:val="bottom"/>
          </w:tcPr>
          <w:p>
            <w:pPr>
              <w:ind w:left="20"/>
              <w:spacing w:after="0"/>
              <w:rPr>
                <w:sz w:val="20"/>
                <w:szCs w:val="20"/>
                <w:color w:val="auto"/>
              </w:rPr>
            </w:pPr>
            <w:r>
              <w:rPr>
                <w:rFonts w:ascii="Arial" w:cs="Arial" w:eastAsia="Arial" w:hAnsi="Arial"/>
                <w:sz w:val="16"/>
                <w:szCs w:val="16"/>
                <w:color w:val="auto"/>
              </w:rPr>
              <w:t>Net income</w:t>
            </w: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jc w:val="right"/>
              <w:ind w:right="21"/>
              <w:spacing w:after="0"/>
              <w:rPr>
                <w:sz w:val="20"/>
                <w:szCs w:val="20"/>
                <w:color w:val="auto"/>
              </w:rPr>
            </w:pPr>
            <w:r>
              <w:rPr>
                <w:rFonts w:ascii="Arial" w:cs="Arial" w:eastAsia="Arial" w:hAnsi="Arial"/>
                <w:sz w:val="16"/>
                <w:szCs w:val="16"/>
                <w:color w:val="auto"/>
              </w:rPr>
              <w:t>443</w:t>
            </w:r>
          </w:p>
        </w:tc>
        <w:tc>
          <w:tcPr>
            <w:tcW w:w="5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443</w:t>
            </w:r>
          </w:p>
        </w:tc>
      </w:tr>
      <w:tr>
        <w:trPr>
          <w:trHeight w:val="217"/>
        </w:trPr>
        <w:tc>
          <w:tcPr>
            <w:tcW w:w="4200" w:type="dxa"/>
            <w:vAlign w:val="bottom"/>
            <w:shd w:val="clear" w:color="auto" w:fill="D4F1F5"/>
          </w:tcPr>
          <w:p>
            <w:pPr>
              <w:ind w:left="20"/>
              <w:spacing w:after="0"/>
              <w:rPr>
                <w:sz w:val="20"/>
                <w:szCs w:val="20"/>
                <w:color w:val="auto"/>
              </w:rPr>
            </w:pPr>
            <w:r>
              <w:rPr>
                <w:rFonts w:ascii="Arial" w:cs="Arial" w:eastAsia="Arial" w:hAnsi="Arial"/>
                <w:sz w:val="16"/>
                <w:szCs w:val="16"/>
                <w:color w:val="auto"/>
              </w:rPr>
              <w:t>Other comprehensive income</w:t>
            </w:r>
          </w:p>
        </w:tc>
        <w:tc>
          <w:tcPr>
            <w:tcW w:w="240" w:type="dxa"/>
            <w:vAlign w:val="bottom"/>
            <w:shd w:val="clear" w:color="auto" w:fill="D4F1F5"/>
          </w:tcPr>
          <w:p>
            <w:pPr>
              <w:spacing w:after="0"/>
              <w:rPr>
                <w:sz w:val="18"/>
                <w:szCs w:val="18"/>
                <w:color w:val="auto"/>
              </w:rPr>
            </w:pPr>
          </w:p>
        </w:tc>
        <w:tc>
          <w:tcPr>
            <w:tcW w:w="1100" w:type="dxa"/>
            <w:vAlign w:val="bottom"/>
            <w:shd w:val="clear" w:color="auto" w:fill="D4F1F5"/>
          </w:tcPr>
          <w:p>
            <w:pPr>
              <w:spacing w:after="0"/>
              <w:rPr>
                <w:sz w:val="18"/>
                <w:szCs w:val="18"/>
                <w:color w:val="auto"/>
              </w:rPr>
            </w:pPr>
          </w:p>
        </w:tc>
        <w:tc>
          <w:tcPr>
            <w:tcW w:w="320" w:type="dxa"/>
            <w:vAlign w:val="bottom"/>
            <w:shd w:val="clear" w:color="auto" w:fill="D4F1F5"/>
          </w:tcPr>
          <w:p>
            <w:pPr>
              <w:spacing w:after="0"/>
              <w:rPr>
                <w:sz w:val="18"/>
                <w:szCs w:val="18"/>
                <w:color w:val="auto"/>
              </w:rPr>
            </w:pPr>
          </w:p>
        </w:tc>
        <w:tc>
          <w:tcPr>
            <w:tcW w:w="1100" w:type="dxa"/>
            <w:vAlign w:val="bottom"/>
            <w:shd w:val="clear" w:color="auto" w:fill="D4F1F5"/>
          </w:tcPr>
          <w:p>
            <w:pPr>
              <w:spacing w:after="0"/>
              <w:rPr>
                <w:sz w:val="18"/>
                <w:szCs w:val="18"/>
                <w:color w:val="auto"/>
              </w:rPr>
            </w:pPr>
          </w:p>
        </w:tc>
        <w:tc>
          <w:tcPr>
            <w:tcW w:w="280" w:type="dxa"/>
            <w:vAlign w:val="bottom"/>
            <w:shd w:val="clear" w:color="auto" w:fill="D4F1F5"/>
          </w:tcPr>
          <w:p>
            <w:pPr>
              <w:spacing w:after="0"/>
              <w:rPr>
                <w:sz w:val="18"/>
                <w:szCs w:val="18"/>
                <w:color w:val="auto"/>
              </w:rPr>
            </w:pPr>
          </w:p>
        </w:tc>
        <w:tc>
          <w:tcPr>
            <w:tcW w:w="1140" w:type="dxa"/>
            <w:vAlign w:val="bottom"/>
            <w:shd w:val="clear" w:color="auto" w:fill="D4F1F5"/>
          </w:tcPr>
          <w:p>
            <w:pPr>
              <w:spacing w:after="0"/>
              <w:rPr>
                <w:sz w:val="18"/>
                <w:szCs w:val="18"/>
                <w:color w:val="auto"/>
              </w:rPr>
            </w:pPr>
          </w:p>
        </w:tc>
        <w:tc>
          <w:tcPr>
            <w:tcW w:w="520" w:type="dxa"/>
            <w:vAlign w:val="bottom"/>
            <w:shd w:val="clear" w:color="auto" w:fill="D4F1F5"/>
          </w:tcPr>
          <w:p>
            <w:pPr>
              <w:spacing w:after="0"/>
              <w:rPr>
                <w:sz w:val="18"/>
                <w:szCs w:val="18"/>
                <w:color w:val="auto"/>
              </w:rPr>
            </w:pPr>
          </w:p>
        </w:tc>
        <w:tc>
          <w:tcPr>
            <w:tcW w:w="900" w:type="dxa"/>
            <w:vAlign w:val="bottom"/>
            <w:shd w:val="clear" w:color="auto" w:fill="D4F1F5"/>
          </w:tcPr>
          <w:p>
            <w:pPr>
              <w:jc w:val="right"/>
              <w:ind w:right="41"/>
              <w:spacing w:after="0"/>
              <w:rPr>
                <w:sz w:val="20"/>
                <w:szCs w:val="20"/>
                <w:color w:val="auto"/>
              </w:rPr>
            </w:pPr>
            <w:r>
              <w:rPr>
                <w:rFonts w:ascii="Arial" w:cs="Arial" w:eastAsia="Arial" w:hAnsi="Arial"/>
                <w:sz w:val="16"/>
                <w:szCs w:val="16"/>
                <w:color w:val="auto"/>
              </w:rPr>
              <w:t>2</w:t>
            </w:r>
          </w:p>
        </w:tc>
        <w:tc>
          <w:tcPr>
            <w:tcW w:w="240" w:type="dxa"/>
            <w:vAlign w:val="bottom"/>
            <w:shd w:val="clear" w:color="auto" w:fill="D4F1F5"/>
          </w:tcPr>
          <w:p>
            <w:pPr>
              <w:spacing w:after="0"/>
              <w:rPr>
                <w:sz w:val="18"/>
                <w:szCs w:val="18"/>
                <w:color w:val="auto"/>
              </w:rPr>
            </w:pPr>
          </w:p>
        </w:tc>
        <w:tc>
          <w:tcPr>
            <w:tcW w:w="1140" w:type="dxa"/>
            <w:vAlign w:val="bottom"/>
            <w:shd w:val="clear" w:color="auto" w:fill="D4F1F5"/>
          </w:tcPr>
          <w:p>
            <w:pPr>
              <w:jc w:val="right"/>
              <w:spacing w:after="0"/>
              <w:rPr>
                <w:sz w:val="20"/>
                <w:szCs w:val="20"/>
                <w:color w:val="auto"/>
              </w:rPr>
            </w:pPr>
            <w:r>
              <w:rPr>
                <w:rFonts w:ascii="Arial" w:cs="Arial" w:eastAsia="Arial" w:hAnsi="Arial"/>
                <w:sz w:val="16"/>
                <w:szCs w:val="16"/>
                <w:color w:val="auto"/>
              </w:rPr>
              <w:t>2</w:t>
            </w:r>
          </w:p>
        </w:tc>
      </w:tr>
      <w:tr>
        <w:trPr>
          <w:trHeight w:val="215"/>
        </w:trPr>
        <w:tc>
          <w:tcPr>
            <w:tcW w:w="4200" w:type="dxa"/>
            <w:vAlign w:val="bottom"/>
          </w:tcPr>
          <w:p>
            <w:pPr>
              <w:ind w:left="20"/>
              <w:spacing w:after="0"/>
              <w:rPr>
                <w:sz w:val="20"/>
                <w:szCs w:val="20"/>
                <w:color w:val="auto"/>
              </w:rPr>
            </w:pPr>
            <w:r>
              <w:rPr>
                <w:rFonts w:ascii="Arial" w:cs="Arial" w:eastAsia="Arial" w:hAnsi="Arial"/>
                <w:sz w:val="16"/>
                <w:szCs w:val="16"/>
                <w:color w:val="auto"/>
              </w:rPr>
              <w:t>Dividends declared:</w:t>
            </w: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7"/>
        </w:trPr>
        <w:tc>
          <w:tcPr>
            <w:tcW w:w="4200" w:type="dxa"/>
            <w:vAlign w:val="bottom"/>
            <w:shd w:val="clear" w:color="auto" w:fill="D4F1F5"/>
          </w:tcPr>
          <w:p>
            <w:pPr>
              <w:ind w:left="240"/>
              <w:spacing w:after="0"/>
              <w:rPr>
                <w:sz w:val="20"/>
                <w:szCs w:val="20"/>
                <w:color w:val="auto"/>
              </w:rPr>
            </w:pPr>
            <w:r>
              <w:rPr>
                <w:rFonts w:ascii="Arial" w:cs="Arial" w:eastAsia="Arial" w:hAnsi="Arial"/>
                <w:sz w:val="16"/>
                <w:szCs w:val="16"/>
                <w:color w:val="auto"/>
              </w:rPr>
              <w:t>Preferred stock ($0.38/share)</w:t>
            </w:r>
          </w:p>
        </w:tc>
        <w:tc>
          <w:tcPr>
            <w:tcW w:w="240" w:type="dxa"/>
            <w:vAlign w:val="bottom"/>
            <w:tcBorders>
              <w:bottom w:val="single" w:sz="8" w:color="auto"/>
            </w:tcBorders>
            <w:shd w:val="clear" w:color="auto" w:fill="D4F1F5"/>
          </w:tcPr>
          <w:p>
            <w:pPr>
              <w:spacing w:after="0"/>
              <w:rPr>
                <w:sz w:val="18"/>
                <w:szCs w:val="18"/>
                <w:color w:val="auto"/>
              </w:rPr>
            </w:pPr>
          </w:p>
        </w:tc>
        <w:tc>
          <w:tcPr>
            <w:tcW w:w="1100" w:type="dxa"/>
            <w:vAlign w:val="bottom"/>
            <w:tcBorders>
              <w:bottom w:val="single" w:sz="8" w:color="auto"/>
            </w:tcBorders>
            <w:shd w:val="clear" w:color="auto" w:fill="D4F1F5"/>
          </w:tcPr>
          <w:p>
            <w:pPr>
              <w:spacing w:after="0"/>
              <w:rPr>
                <w:sz w:val="18"/>
                <w:szCs w:val="18"/>
                <w:color w:val="auto"/>
              </w:rPr>
            </w:pPr>
          </w:p>
        </w:tc>
        <w:tc>
          <w:tcPr>
            <w:tcW w:w="320" w:type="dxa"/>
            <w:vAlign w:val="bottom"/>
            <w:tcBorders>
              <w:bottom w:val="single" w:sz="8" w:color="auto"/>
            </w:tcBorders>
            <w:shd w:val="clear" w:color="auto" w:fill="D4F1F5"/>
          </w:tcPr>
          <w:p>
            <w:pPr>
              <w:spacing w:after="0"/>
              <w:rPr>
                <w:sz w:val="18"/>
                <w:szCs w:val="18"/>
                <w:color w:val="auto"/>
              </w:rPr>
            </w:pPr>
          </w:p>
        </w:tc>
        <w:tc>
          <w:tcPr>
            <w:tcW w:w="1100" w:type="dxa"/>
            <w:vAlign w:val="bottom"/>
            <w:tcBorders>
              <w:bottom w:val="single" w:sz="8" w:color="auto"/>
            </w:tcBorders>
            <w:shd w:val="clear" w:color="auto" w:fill="D4F1F5"/>
          </w:tcPr>
          <w:p>
            <w:pPr>
              <w:spacing w:after="0"/>
              <w:rPr>
                <w:sz w:val="18"/>
                <w:szCs w:val="18"/>
                <w:color w:val="auto"/>
              </w:rPr>
            </w:pPr>
          </w:p>
        </w:tc>
        <w:tc>
          <w:tcPr>
            <w:tcW w:w="280" w:type="dxa"/>
            <w:vAlign w:val="bottom"/>
            <w:tcBorders>
              <w:bottom w:val="single" w:sz="8" w:color="auto"/>
            </w:tcBorders>
            <w:shd w:val="clear" w:color="auto" w:fill="D4F1F5"/>
          </w:tcPr>
          <w:p>
            <w:pPr>
              <w:spacing w:after="0"/>
              <w:rPr>
                <w:sz w:val="18"/>
                <w:szCs w:val="18"/>
                <w:color w:val="auto"/>
              </w:rPr>
            </w:pPr>
          </w:p>
        </w:tc>
        <w:tc>
          <w:tcPr>
            <w:tcW w:w="1140" w:type="dxa"/>
            <w:vAlign w:val="bottom"/>
            <w:tcBorders>
              <w:bottom w:val="single" w:sz="8" w:color="auto"/>
            </w:tcBorders>
            <w:shd w:val="clear" w:color="auto" w:fill="D4F1F5"/>
          </w:tcPr>
          <w:p>
            <w:pPr>
              <w:jc w:val="right"/>
              <w:ind w:right="21"/>
              <w:spacing w:after="0"/>
              <w:rPr>
                <w:sz w:val="20"/>
                <w:szCs w:val="20"/>
                <w:color w:val="auto"/>
              </w:rPr>
            </w:pPr>
            <w:r>
              <w:rPr>
                <w:rFonts w:ascii="Arial" w:cs="Arial" w:eastAsia="Arial" w:hAnsi="Arial"/>
                <w:sz w:val="16"/>
                <w:szCs w:val="16"/>
                <w:color w:val="auto"/>
              </w:rPr>
              <w:t>—</w:t>
            </w:r>
          </w:p>
        </w:tc>
        <w:tc>
          <w:tcPr>
            <w:tcW w:w="520" w:type="dxa"/>
            <w:vAlign w:val="bottom"/>
            <w:tcBorders>
              <w:bottom w:val="single" w:sz="8" w:color="auto"/>
            </w:tcBorders>
            <w:shd w:val="clear" w:color="auto" w:fill="D4F1F5"/>
          </w:tcPr>
          <w:p>
            <w:pPr>
              <w:spacing w:after="0"/>
              <w:rPr>
                <w:sz w:val="18"/>
                <w:szCs w:val="18"/>
                <w:color w:val="auto"/>
              </w:rPr>
            </w:pPr>
          </w:p>
        </w:tc>
        <w:tc>
          <w:tcPr>
            <w:tcW w:w="900" w:type="dxa"/>
            <w:vAlign w:val="bottom"/>
            <w:tcBorders>
              <w:bottom w:val="single" w:sz="8" w:color="auto"/>
            </w:tcBorders>
            <w:shd w:val="clear" w:color="auto" w:fill="D4F1F5"/>
          </w:tcPr>
          <w:p>
            <w:pPr>
              <w:spacing w:after="0"/>
              <w:rPr>
                <w:sz w:val="18"/>
                <w:szCs w:val="18"/>
                <w:color w:val="auto"/>
              </w:rPr>
            </w:pPr>
          </w:p>
        </w:tc>
        <w:tc>
          <w:tcPr>
            <w:tcW w:w="240" w:type="dxa"/>
            <w:vAlign w:val="bottom"/>
            <w:tcBorders>
              <w:bottom w:val="single" w:sz="8" w:color="auto"/>
            </w:tcBorders>
            <w:shd w:val="clear" w:color="auto" w:fill="D4F1F5"/>
          </w:tcPr>
          <w:p>
            <w:pPr>
              <w:spacing w:after="0"/>
              <w:rPr>
                <w:sz w:val="18"/>
                <w:szCs w:val="18"/>
                <w:color w:val="auto"/>
              </w:rPr>
            </w:pPr>
          </w:p>
        </w:tc>
        <w:tc>
          <w:tcPr>
            <w:tcW w:w="1140" w:type="dxa"/>
            <w:vAlign w:val="bottom"/>
            <w:tcBorders>
              <w:bottom w:val="single" w:sz="8" w:color="auto"/>
            </w:tcBorders>
            <w:shd w:val="clear" w:color="auto" w:fill="D4F1F5"/>
          </w:tcPr>
          <w:p>
            <w:pPr>
              <w:jc w:val="right"/>
              <w:spacing w:after="0"/>
              <w:rPr>
                <w:sz w:val="20"/>
                <w:szCs w:val="20"/>
                <w:color w:val="auto"/>
              </w:rPr>
            </w:pPr>
            <w:r>
              <w:rPr>
                <w:rFonts w:ascii="Arial" w:cs="Arial" w:eastAsia="Arial" w:hAnsi="Arial"/>
                <w:sz w:val="16"/>
                <w:szCs w:val="16"/>
                <w:color w:val="auto"/>
              </w:rPr>
              <w:t>—</w:t>
            </w:r>
          </w:p>
        </w:tc>
      </w:tr>
      <w:tr>
        <w:trPr>
          <w:trHeight w:val="217"/>
        </w:trPr>
        <w:tc>
          <w:tcPr>
            <w:tcW w:w="420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Balance at March 31, 2025</w:t>
            </w: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rPr>
              <w:t>22</w:t>
            </w:r>
          </w:p>
        </w:tc>
        <w:tc>
          <w:tcPr>
            <w:tcW w:w="3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tcPr>
          <w:p>
            <w:pPr>
              <w:jc w:val="right"/>
              <w:ind w:right="24"/>
              <w:spacing w:after="0"/>
              <w:rPr>
                <w:sz w:val="20"/>
                <w:szCs w:val="20"/>
                <w:color w:val="auto"/>
              </w:rPr>
            </w:pPr>
            <w:r>
              <w:rPr>
                <w:rFonts w:ascii="Arial" w:cs="Arial" w:eastAsia="Arial" w:hAnsi="Arial"/>
                <w:sz w:val="16"/>
                <w:szCs w:val="16"/>
                <w:color w:val="auto"/>
              </w:rPr>
              <w:t>2,316</w:t>
            </w:r>
          </w:p>
        </w:tc>
        <w:tc>
          <w:tcPr>
            <w:tcW w:w="2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6,293</w:t>
            </w:r>
          </w:p>
        </w:tc>
        <w:tc>
          <w:tcPr>
            <w:tcW w:w="52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(25)</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8,606</w:t>
            </w:r>
          </w:p>
        </w:tc>
      </w:tr>
    </w:tbl>
    <w:p>
      <w:pPr>
        <w:spacing w:after="0" w:line="141"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See Notes to Condensed Financial Statements.</w:t>
      </w:r>
    </w:p>
    <w:p>
      <w:pPr>
        <w:spacing w:after="0" w:line="200" w:lineRule="exact"/>
        <w:rPr>
          <w:sz w:val="20"/>
          <w:szCs w:val="20"/>
          <w:color w:val="auto"/>
        </w:rPr>
      </w:pPr>
    </w:p>
    <w:p>
      <w:pPr>
        <w:spacing w:after="0" w:line="27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Arial" w:cs="Arial" w:eastAsia="Arial" w:hAnsi="Arial"/>
          <w:sz w:val="23"/>
          <w:szCs w:val="23"/>
          <w:color w:val="auto"/>
        </w:rPr>
        <w:t>NOTES TO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340360</wp:posOffset>
            </wp:positionV>
            <wp:extent cx="7115175"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20"/>
          <w:szCs w:val="20"/>
          <w:color w:val="auto"/>
        </w:rPr>
        <w:t>NOTE 1. GENERAL INFORMATION AND OTHER FINANCIAL DATA</w:t>
      </w:r>
    </w:p>
    <w:p>
      <w:pPr>
        <w:spacing w:after="0" w:line="3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PRINCIPLES OF CONSOLIDATION</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Sempra</w:t>
      </w:r>
    </w:p>
    <w:p>
      <w:pPr>
        <w:spacing w:after="0" w:line="49" w:lineRule="exact"/>
        <w:rPr>
          <w:sz w:val="20"/>
          <w:szCs w:val="20"/>
          <w:color w:val="auto"/>
        </w:rPr>
      </w:pPr>
    </w:p>
    <w:p>
      <w:pPr>
        <w:ind w:right="60"/>
        <w:spacing w:after="0" w:line="271" w:lineRule="auto"/>
        <w:rPr>
          <w:sz w:val="20"/>
          <w:szCs w:val="20"/>
          <w:color w:val="auto"/>
        </w:rPr>
      </w:pPr>
      <w:r>
        <w:rPr>
          <w:rFonts w:ascii="Times New Roman" w:cs="Times New Roman" w:eastAsia="Times New Roman" w:hAnsi="Times New Roman"/>
          <w:sz w:val="18"/>
          <w:szCs w:val="18"/>
          <w:color w:val="auto"/>
        </w:rPr>
        <w:t>Sempra’s Condensed Consolidated Financial Statements include the accounts of Sempra and its consolidated entities. Sempra is a holding company whose principal businesses are regulated utilities in California and Texas. Our businesses invest in and operate electric and gas utilities and other energy infrastructure that provide energy services to customers. Sempra has three operating and reportable segments, which we describe in Note 14. All references in these Notes to our reportable segments are not intended to refer to any legal entity with the same or similar name.</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SDG&amp;E</w:t>
      </w:r>
    </w:p>
    <w:p>
      <w:pPr>
        <w:spacing w:after="0" w:line="49" w:lineRule="exact"/>
        <w:rPr>
          <w:sz w:val="20"/>
          <w:szCs w:val="20"/>
          <w:color w:val="auto"/>
        </w:rPr>
      </w:pPr>
    </w:p>
    <w:p>
      <w:pPr>
        <w:ind w:right="80"/>
        <w:spacing w:after="0" w:line="274" w:lineRule="auto"/>
        <w:rPr>
          <w:sz w:val="20"/>
          <w:szCs w:val="20"/>
          <w:color w:val="auto"/>
        </w:rPr>
      </w:pPr>
      <w:r>
        <w:rPr>
          <w:rFonts w:ascii="Times New Roman" w:cs="Times New Roman" w:eastAsia="Times New Roman" w:hAnsi="Times New Roman"/>
          <w:sz w:val="18"/>
          <w:szCs w:val="18"/>
          <w:color w:val="auto"/>
        </w:rPr>
        <w:t>SDG&amp;E’s common stock is wholly owned by Enova Corporation, which is a wholly owned subsidiary of Sempra. SDG&amp;E is a regulated public utility that provides electric service to San Diego and southern Orange counties and natural gas service to San Diego County. SDG&amp;E has one operating and reportable segment.</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SoCalGas</w:t>
      </w:r>
    </w:p>
    <w:p>
      <w:pPr>
        <w:spacing w:after="0" w:line="49" w:lineRule="exact"/>
        <w:rPr>
          <w:sz w:val="20"/>
          <w:szCs w:val="20"/>
          <w:color w:val="auto"/>
        </w:rPr>
      </w:pPr>
    </w:p>
    <w:p>
      <w:pPr>
        <w:ind w:right="40"/>
        <w:spacing w:after="0" w:line="274" w:lineRule="auto"/>
        <w:rPr>
          <w:sz w:val="20"/>
          <w:szCs w:val="20"/>
          <w:color w:val="auto"/>
        </w:rPr>
      </w:pPr>
      <w:r>
        <w:rPr>
          <w:rFonts w:ascii="Times New Roman" w:cs="Times New Roman" w:eastAsia="Times New Roman" w:hAnsi="Times New Roman"/>
          <w:sz w:val="18"/>
          <w:szCs w:val="18"/>
          <w:color w:val="auto"/>
        </w:rPr>
        <w:t>SoCalGas’ common stock is wholly owned by Pacific Enterprises, which is a wholly owned subsidiary of Sempra. SoCalGas is a regulated public natural gas distribution utility, serving customers throughout most of Southern California and part of central California. SoCalGas has one operating and reportable segment.</w:t>
      </w:r>
    </w:p>
    <w:p>
      <w:pPr>
        <w:spacing w:after="0" w:line="3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118" w:lineRule="exact"/>
        <w:rPr>
          <w:sz w:val="20"/>
          <w:szCs w:val="20"/>
          <w:color w:val="auto"/>
        </w:rPr>
      </w:pPr>
    </w:p>
    <w:p>
      <w:pPr>
        <w:ind w:right="60"/>
        <w:spacing w:after="0" w:line="297" w:lineRule="auto"/>
        <w:rPr>
          <w:sz w:val="20"/>
          <w:szCs w:val="20"/>
          <w:color w:val="auto"/>
        </w:rPr>
      </w:pPr>
      <w:r>
        <w:rPr>
          <w:rFonts w:ascii="Times New Roman" w:cs="Times New Roman" w:eastAsia="Times New Roman" w:hAnsi="Times New Roman"/>
          <w:sz w:val="18"/>
          <w:szCs w:val="18"/>
          <w:color w:val="auto"/>
        </w:rPr>
        <w:t>This is a combined report of Sempra, SDG&amp;E and SoCalGas. We provide separate information for SDG&amp;E and SoCalGas as required. We have eliminated intercompany accounts and transactions within Sempra’s Condensed Consolidated Financial Statements.</w:t>
      </w:r>
    </w:p>
    <w:p>
      <w:pPr>
        <w:spacing w:after="0" w:line="41"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18"/>
          <w:szCs w:val="18"/>
          <w:color w:val="auto"/>
        </w:rPr>
        <w:t>We have prepared our Condensed Consolidated Financial Statements in conformity with U.S. GAAP and in accordance with the interim period reporting requirements of Form 10-Q and applicable rules of the SEC. The financial statements reflect all adjustments that are necessary for a fair presentation of the results for the interim periods. These adjustments are only of a normal, recurring nature. Results of operations for interim periods are not necessarily indicative of results for the entire year or for any other period. We evaluated events and transactions that occurred after March 31, 2026 through the date the financial statements were issued and, in the opinion of management, the accompanying financial statements reflect all adjustments and disclosures necessary for a fair presentation.</w:t>
      </w:r>
    </w:p>
    <w:p>
      <w:pPr>
        <w:spacing w:after="0" w:line="66" w:lineRule="exact"/>
        <w:rPr>
          <w:sz w:val="20"/>
          <w:szCs w:val="20"/>
          <w:color w:val="auto"/>
        </w:rPr>
      </w:pPr>
    </w:p>
    <w:p>
      <w:pPr>
        <w:ind w:right="160"/>
        <w:spacing w:after="0" w:line="281" w:lineRule="auto"/>
        <w:rPr>
          <w:sz w:val="20"/>
          <w:szCs w:val="20"/>
          <w:color w:val="auto"/>
        </w:rPr>
      </w:pPr>
      <w:r>
        <w:rPr>
          <w:rFonts w:ascii="Times New Roman" w:cs="Times New Roman" w:eastAsia="Times New Roman" w:hAnsi="Times New Roman"/>
          <w:sz w:val="18"/>
          <w:szCs w:val="18"/>
          <w:color w:val="auto"/>
        </w:rPr>
        <w:t>All December 31, 2025 balance sheet information in the Condensed Consolidated Financial Statements has been derived from our audited 2025 Consolidated Financial Statements in the Annual Report. Certain information and note disclosures normally included in annual financial statements prepared in accordance with U.S. GAAP have been condensed or omitted pursuant to the interim period reporting provisions of U.S. GAAP and the SEC.</w:t>
      </w:r>
    </w:p>
    <w:p>
      <w:pPr>
        <w:spacing w:after="0" w:line="56" w:lineRule="exact"/>
        <w:rPr>
          <w:sz w:val="20"/>
          <w:szCs w:val="20"/>
          <w:color w:val="auto"/>
        </w:rPr>
      </w:pPr>
    </w:p>
    <w:p>
      <w:pPr>
        <w:jc w:val="both"/>
        <w:ind w:right="340"/>
        <w:spacing w:after="0" w:line="329" w:lineRule="auto"/>
        <w:rPr>
          <w:sz w:val="20"/>
          <w:szCs w:val="20"/>
          <w:color w:val="auto"/>
        </w:rPr>
      </w:pPr>
      <w:r>
        <w:rPr>
          <w:rFonts w:ascii="Times New Roman" w:cs="Times New Roman" w:eastAsia="Times New Roman" w:hAnsi="Times New Roman"/>
          <w:sz w:val="17"/>
          <w:szCs w:val="17"/>
          <w:color w:val="auto"/>
        </w:rPr>
        <w:t>We describe our significant accounting policies in Note 1 of the Notes to Consolidated Financial Statements in the Annual Report and the impact of the adoption of new accounting standards on those policies in Note 2 below. We follow the same accounting policies for interim period reporting purposes.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information contained in this report should be read in conjunction with the Annual Report.</w:t>
      </w:r>
    </w:p>
    <w:p>
      <w:pPr>
        <w:spacing w:after="0" w:line="3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REGULATED OPERATIONS</w:t>
      </w:r>
    </w:p>
    <w:p>
      <w:pPr>
        <w:spacing w:after="0" w:line="118" w:lineRule="exact"/>
        <w:rPr>
          <w:sz w:val="20"/>
          <w:szCs w:val="20"/>
          <w:color w:val="auto"/>
        </w:rPr>
      </w:pPr>
    </w:p>
    <w:p>
      <w:pPr>
        <w:ind w:right="40"/>
        <w:spacing w:after="0" w:line="281" w:lineRule="auto"/>
        <w:rPr>
          <w:sz w:val="20"/>
          <w:szCs w:val="20"/>
          <w:color w:val="auto"/>
        </w:rPr>
      </w:pPr>
      <w:r>
        <w:rPr>
          <w:rFonts w:ascii="Times New Roman" w:cs="Times New Roman" w:eastAsia="Times New Roman" w:hAnsi="Times New Roman"/>
          <w:sz w:val="18"/>
          <w:szCs w:val="18"/>
          <w:color w:val="auto"/>
        </w:rPr>
        <w:t>SDG&amp;E’s and SoCalGas’ accounting policies and financial statements reflect the application of U.S. GAAP provisions governing rate-regulated operations and the policies of the CPUC and the FERC. We discuss revenue recognition and the effects of regulation at our utilities in Notes 3 and 4 below and in Notes 1, 3 and 4 of the Notes to Consolidated Financial Statements in the Annual Report.</w:t>
      </w:r>
    </w:p>
    <w:p>
      <w:pPr>
        <w:spacing w:after="0" w:line="200" w:lineRule="exact"/>
        <w:rPr>
          <w:sz w:val="20"/>
          <w:szCs w:val="20"/>
          <w:color w:val="auto"/>
        </w:rPr>
      </w:pPr>
    </w:p>
    <w:p>
      <w:pPr>
        <w:spacing w:after="0" w:line="3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right="800"/>
        <w:spacing w:after="0" w:line="297" w:lineRule="auto"/>
        <w:rPr>
          <w:sz w:val="20"/>
          <w:szCs w:val="20"/>
          <w:color w:val="auto"/>
        </w:rPr>
      </w:pPr>
      <w:r>
        <w:rPr>
          <w:rFonts w:ascii="Times New Roman" w:cs="Times New Roman" w:eastAsia="Times New Roman" w:hAnsi="Times New Roman"/>
          <w:sz w:val="18"/>
          <w:szCs w:val="18"/>
          <w:color w:val="auto"/>
        </w:rPr>
        <w:t>Our Sempra Texas Utilities segment is comprised of our equity method investments in holding companies that own interests in regulated electric transmission and distribution utilities in Texas.</w:t>
      </w:r>
    </w:p>
    <w:p>
      <w:pPr>
        <w:spacing w:after="0" w:line="41" w:lineRule="exact"/>
        <w:rPr>
          <w:sz w:val="20"/>
          <w:szCs w:val="20"/>
          <w:color w:val="auto"/>
        </w:rPr>
      </w:pPr>
    </w:p>
    <w:p>
      <w:pPr>
        <w:ind w:right="220"/>
        <w:spacing w:after="0" w:line="297" w:lineRule="auto"/>
        <w:rPr>
          <w:sz w:val="20"/>
          <w:szCs w:val="20"/>
          <w:color w:val="auto"/>
        </w:rPr>
      </w:pPr>
      <w:r>
        <w:rPr>
          <w:rFonts w:ascii="Times New Roman" w:cs="Times New Roman" w:eastAsia="Times New Roman" w:hAnsi="Times New Roman"/>
          <w:sz w:val="18"/>
          <w:szCs w:val="18"/>
          <w:color w:val="auto"/>
        </w:rPr>
        <w:t>Sempra Infrastructure’s natural gas distribution utility, Ecogas, also applies U.S. GAAP provisions governing rate-regulated operations. Certain business activities at Sempra Infrastructure are regulated by the CNE and the FERC and meet the regulatory accounting requirements of U.S. GAAP.</w:t>
      </w:r>
    </w:p>
    <w:p>
      <w:pPr>
        <w:spacing w:after="0" w:line="3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VARIABLE INTEREST ENTITIES</w:t>
      </w:r>
    </w:p>
    <w:p>
      <w:pPr>
        <w:spacing w:after="0" w:line="118" w:lineRule="exact"/>
        <w:rPr>
          <w:sz w:val="20"/>
          <w:szCs w:val="20"/>
          <w:color w:val="auto"/>
        </w:rPr>
      </w:pPr>
    </w:p>
    <w:p>
      <w:pPr>
        <w:spacing w:after="0" w:line="297" w:lineRule="auto"/>
        <w:rPr>
          <w:sz w:val="20"/>
          <w:szCs w:val="20"/>
          <w:color w:val="auto"/>
        </w:rPr>
      </w:pPr>
      <w:r>
        <w:rPr>
          <w:rFonts w:ascii="Times New Roman" w:cs="Times New Roman" w:eastAsia="Times New Roman" w:hAnsi="Times New Roman"/>
          <w:sz w:val="18"/>
          <w:szCs w:val="18"/>
          <w:color w:val="auto"/>
        </w:rPr>
        <w:t>We consolidate a VIE if we are the primary beneficiary of the VIE. Our determination of whether we are the primary beneficiary is based on qualitative and quantitative analyses, which assess:</w:t>
      </w:r>
    </w:p>
    <w:p>
      <w:pPr>
        <w:spacing w:after="0" w:line="1" w:lineRule="exact"/>
        <w:rPr>
          <w:sz w:val="20"/>
          <w:szCs w:val="20"/>
          <w:color w:val="auto"/>
        </w:rPr>
      </w:pPr>
    </w:p>
    <w:p>
      <w:pPr>
        <w:ind w:left="160" w:hanging="152"/>
        <w:spacing w:after="0"/>
        <w:tabs>
          <w:tab w:leader="none" w:pos="1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purpose and design of the VIE;</w:t>
      </w:r>
    </w:p>
    <w:p>
      <w:pPr>
        <w:spacing w:after="0" w:line="49" w:lineRule="exact"/>
        <w:rPr>
          <w:rFonts w:ascii="Times New Roman" w:cs="Times New Roman" w:eastAsia="Times New Roman" w:hAnsi="Times New Roman"/>
          <w:sz w:val="18"/>
          <w:szCs w:val="18"/>
          <w:color w:val="auto"/>
        </w:rPr>
      </w:pPr>
    </w:p>
    <w:p>
      <w:pPr>
        <w:ind w:left="160" w:hanging="152"/>
        <w:spacing w:after="0"/>
        <w:tabs>
          <w:tab w:leader="none" w:pos="1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nature of the VIE’s risks and the risks we absorb;</w:t>
      </w:r>
    </w:p>
    <w:p>
      <w:pPr>
        <w:spacing w:after="0" w:line="49" w:lineRule="exact"/>
        <w:rPr>
          <w:rFonts w:ascii="Times New Roman" w:cs="Times New Roman" w:eastAsia="Times New Roman" w:hAnsi="Times New Roman"/>
          <w:sz w:val="18"/>
          <w:szCs w:val="18"/>
          <w:color w:val="auto"/>
        </w:rPr>
      </w:pPr>
    </w:p>
    <w:p>
      <w:pPr>
        <w:ind w:left="160" w:hanging="152"/>
        <w:spacing w:after="0"/>
        <w:tabs>
          <w:tab w:leader="none" w:pos="1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power to direct activities that most significantly impact the economic performance of the VIE; and</w:t>
      </w:r>
    </w:p>
    <w:p>
      <w:pPr>
        <w:spacing w:after="0" w:line="63" w:lineRule="exact"/>
        <w:rPr>
          <w:rFonts w:ascii="Times New Roman" w:cs="Times New Roman" w:eastAsia="Times New Roman" w:hAnsi="Times New Roman"/>
          <w:sz w:val="18"/>
          <w:szCs w:val="18"/>
          <w:color w:val="auto"/>
        </w:rPr>
      </w:pPr>
    </w:p>
    <w:p>
      <w:pPr>
        <w:ind w:left="160" w:hanging="152"/>
        <w:spacing w:after="0"/>
        <w:tabs>
          <w:tab w:leader="none" w:pos="1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obligation to absorb losses or the right to receive benefits that could be significant to the VIE.</w:t>
      </w:r>
    </w:p>
    <w:p>
      <w:pPr>
        <w:spacing w:after="0" w:line="158" w:lineRule="exact"/>
        <w:rPr>
          <w:sz w:val="20"/>
          <w:szCs w:val="20"/>
          <w:color w:val="auto"/>
        </w:rPr>
      </w:pPr>
    </w:p>
    <w:p>
      <w:pPr>
        <w:ind w:right="760"/>
        <w:spacing w:after="0" w:line="297" w:lineRule="auto"/>
        <w:rPr>
          <w:sz w:val="20"/>
          <w:szCs w:val="20"/>
          <w:color w:val="auto"/>
        </w:rPr>
      </w:pPr>
      <w:r>
        <w:rPr>
          <w:rFonts w:ascii="Times New Roman" w:cs="Times New Roman" w:eastAsia="Times New Roman" w:hAnsi="Times New Roman"/>
          <w:sz w:val="18"/>
          <w:szCs w:val="18"/>
          <w:color w:val="auto"/>
        </w:rPr>
        <w:t>We will continue to evaluate our VIEs for any changes that may impact our determination of whether an entity is a VIE and if we are the primary beneficiary.</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SDG&amp;E</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Nonconsolidated VIEs</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SDG&amp;E’s power procurement is subject to reliability requirements that may require SDG&amp;E to enter into various PPAs that include variable interests.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SDG&amp;E evaluates the respective entities to determine if variable interests exist and, based on the qualitative and quantitative analyses described above, if</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SDG&amp;E, and indirectly Sempra, is the primary beneficiary.</w:t>
      </w:r>
    </w:p>
    <w:p>
      <w:pPr>
        <w:spacing w:after="0" w:line="112" w:lineRule="exact"/>
        <w:rPr>
          <w:sz w:val="20"/>
          <w:szCs w:val="20"/>
          <w:color w:val="auto"/>
        </w:rPr>
      </w:pPr>
    </w:p>
    <w:p>
      <w:pPr>
        <w:ind w:right="80"/>
        <w:spacing w:after="0" w:line="264" w:lineRule="auto"/>
        <w:rPr>
          <w:sz w:val="20"/>
          <w:szCs w:val="20"/>
          <w:color w:val="auto"/>
        </w:rPr>
      </w:pPr>
      <w:r>
        <w:rPr>
          <w:rFonts w:ascii="Times New Roman" w:cs="Times New Roman" w:eastAsia="Times New Roman" w:hAnsi="Times New Roman"/>
          <w:sz w:val="18"/>
          <w:szCs w:val="18"/>
          <w:color w:val="auto"/>
        </w:rPr>
        <w:t>SDG&amp;E has agreements under which it purchases power generated by facilities for which it supplies all the natural gas to fuel the power plant (i.e., tolling agreements). SDG&amp;E’s obligation to absorb natural gas costs may be a significant variable interest. In addition, SDG&amp;E has the power to direct the dispatch of electricity generated by these facilities. Based on our analysis, the ability to direct the dispatch of electricity may have the most significant impact on the economic performance of the entity owning the generating facility because of the associated exposure to the cost of natural gas, which fuels the plants, and the value of electricity produced. To the extent that SDG&amp;E (1) is obligated to purchase and provide fuel to operate the facility, (2) has the power to direct the dispatch, and (3) purchases all of the output from the facility for a substantial portion of the facility’s useful life, SDG&amp;E may be the primary beneficiary of the entity owning the generating facility. SDG&amp;E determines if it is the primary beneficiary in these cases based on a qualitative approach in which it considers the operational characteristics of the facility, including its expected power generation output relative to its capacity to generate and the financial structure of the entity, among other factors. If SDG&amp;E determines that it is the primary beneficiary, SDG&amp;E and Sempra consolidate the entity that owns the facility as a VIE.</w:t>
      </w:r>
    </w:p>
    <w:p>
      <w:pPr>
        <w:spacing w:after="0" w:line="86"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In addition to tolling agreements, other variable interests involve various elements of fuel and power costs, and other components of cash flows expected to be paid to or received by our counterparties. In most of these cases, the expectation of variability is not substantial, and SDG&amp;E generally does not have the power to direct activities, including the operation and maintenance activities of the generating facility, that most significantly impact the economic performance of the other VIEs. If our ongoing evaluation of these VIEs were to conclude that SDG&amp;E becomes the primary beneficiary and consolidation by SDG&amp;E becomes necessary, the effects could be significant to the financial position and liquidity of SDG&amp;E and Sempra.</w:t>
      </w:r>
    </w:p>
    <w:p>
      <w:pPr>
        <w:spacing w:after="0" w:line="81"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SDG&amp;E determined that none of its PPAs and tolling agreements resulted in SDG&amp;E being the primary beneficiary of a VIE at March 31, 2026 and December 31, 2025. PPAs and tolling agreements that relate to SDG&amp;E’s involvement with VIEs are primarily accounted for as finance leases. The carrying amounts of the assets and liabilities under these contracts are included in PP&amp;E, net, and finance lease liabilities with balances of $1,101 million and $1,109 million at March 31, 2026 and December 31, 2025, respectively. SDG&amp;E recovers costs incurred on PPAs, tolling agreements and other variable interests through CPUC-approved long-term power procurement plans. SDG&amp;E has no residual interest in the respective entities and has not provided or guaranteed any debt or equity support, liquidity arrangements, performance guarantees or other commitments associated with these contracts other than the purchase commitments described in Note 16 of the Notes to Consolidated Financial Statements in the Annual Report. As a result, SDG&amp;E’s potential exposure to loss from its variable interest in these VIEs is not significant.</w:t>
      </w: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Other Sempra</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Nonconsolidated VIEs</w:t>
      </w:r>
    </w:p>
    <w:p>
      <w:pPr>
        <w:spacing w:after="0" w:line="45" w:lineRule="exact"/>
        <w:rPr>
          <w:sz w:val="20"/>
          <w:szCs w:val="20"/>
          <w:color w:val="auto"/>
        </w:rPr>
      </w:pPr>
    </w:p>
    <w:p>
      <w:pPr>
        <w:ind w:right="100"/>
        <w:spacing w:after="0" w:line="267" w:lineRule="auto"/>
        <w:rPr>
          <w:sz w:val="20"/>
          <w:szCs w:val="20"/>
          <w:color w:val="auto"/>
        </w:rPr>
      </w:pPr>
      <w:r>
        <w:rPr>
          <w:rFonts w:ascii="Times New Roman" w:cs="Times New Roman" w:eastAsia="Times New Roman" w:hAnsi="Times New Roman"/>
          <w:sz w:val="18"/>
          <w:szCs w:val="18"/>
          <w:b w:val="1"/>
          <w:bCs w:val="1"/>
          <w:color w:val="auto"/>
        </w:rPr>
        <w:t xml:space="preserve">Oncor Holdings. </w:t>
      </w:r>
      <w:r>
        <w:rPr>
          <w:rFonts w:ascii="Times New Roman" w:cs="Times New Roman" w:eastAsia="Times New Roman" w:hAnsi="Times New Roman"/>
          <w:sz w:val="18"/>
          <w:szCs w:val="18"/>
          <w:color w:val="auto"/>
        </w:rPr>
        <w:t>Oncor Holdings is a VIE. Sempra is not the primary beneficiary of this VIE because of the structural and operational ring-fencing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measures, governance mechanisms and commitments in place that prevent us from having the power to direct the significant activities of Oncor Holdings. As a result, we do not consolidate Oncor Holdings and instead account for our ownership interest as an equity method investment. See Note 5 of the Notes to Consolidated Financial Statements in the Annual Report for additional information about our equity method investment in Oncor Holdings and restrictions on our ability to influence its activities. Our maximum exposure to loss, which fluctuates over time, from our interest in Oncor Holdings does not exceed the carrying value of our investment, which is $18,243 million and $17,472 million at March 31, 2026 and December 31, 2025, respectively.</w:t>
      </w:r>
    </w:p>
    <w:p>
      <w:pPr>
        <w:spacing w:after="0" w:line="76" w:lineRule="exact"/>
        <w:rPr>
          <w:sz w:val="20"/>
          <w:szCs w:val="20"/>
          <w:color w:val="auto"/>
        </w:rPr>
      </w:pPr>
    </w:p>
    <w:p>
      <w:pPr>
        <w:ind w:right="20"/>
        <w:spacing w:after="0" w:line="267" w:lineRule="auto"/>
        <w:rPr>
          <w:sz w:val="20"/>
          <w:szCs w:val="20"/>
          <w:color w:val="auto"/>
        </w:rPr>
      </w:pPr>
      <w:r>
        <w:rPr>
          <w:rFonts w:ascii="Times New Roman" w:cs="Times New Roman" w:eastAsia="Times New Roman" w:hAnsi="Times New Roman"/>
          <w:sz w:val="18"/>
          <w:szCs w:val="18"/>
          <w:b w:val="1"/>
          <w:bCs w:val="1"/>
          <w:color w:val="auto"/>
        </w:rPr>
        <w:t xml:space="preserve">Cameron LNG JV. </w:t>
      </w:r>
      <w:r>
        <w:rPr>
          <w:rFonts w:ascii="Times New Roman" w:cs="Times New Roman" w:eastAsia="Times New Roman" w:hAnsi="Times New Roman"/>
          <w:sz w:val="18"/>
          <w:szCs w:val="18"/>
          <w:color w:val="auto"/>
        </w:rPr>
        <w:t>Cameron LNG JV is a VIE principally due to contractual provisions that transfer certain risks to customers. Sempra is not the primary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beneficiary of this VIE because we do not have the power to direct the most significant activities of Cameron LNG JV, including LNG production and operation and maintenance activities at the liquefaction facility. Therefore, we account for our investment in Cameron LNG JV under the equity method. At March 31, 2026 and December 31, 2025, the carrying value of our investment is $1,249 million and $1,259 million, respectively, of which $1,233 million and $1,242 million, respectively, is classified as held for sale (see Note 6). Our maximum exposure to loss, which fluctuates over time, includes the carrying value of our investment and our obligation under the SDSRA, which we discuss in Note 13.</w:t>
      </w:r>
    </w:p>
    <w:p>
      <w:pPr>
        <w:spacing w:after="0" w:line="76" w:lineRule="exact"/>
        <w:rPr>
          <w:sz w:val="20"/>
          <w:szCs w:val="20"/>
          <w:color w:val="auto"/>
        </w:rPr>
      </w:pPr>
    </w:p>
    <w:p>
      <w:pPr>
        <w:ind w:right="80"/>
        <w:spacing w:after="0" w:line="267" w:lineRule="auto"/>
        <w:rPr>
          <w:sz w:val="20"/>
          <w:szCs w:val="20"/>
          <w:color w:val="auto"/>
        </w:rPr>
      </w:pPr>
      <w:r>
        <w:rPr>
          <w:rFonts w:ascii="Times New Roman" w:cs="Times New Roman" w:eastAsia="Times New Roman" w:hAnsi="Times New Roman"/>
          <w:sz w:val="18"/>
          <w:szCs w:val="18"/>
          <w:b w:val="1"/>
          <w:bCs w:val="1"/>
          <w:color w:val="auto"/>
        </w:rPr>
        <w:t xml:space="preserve">CFIN. </w:t>
      </w:r>
      <w:r>
        <w:rPr>
          <w:rFonts w:ascii="Times New Roman" w:cs="Times New Roman" w:eastAsia="Times New Roman" w:hAnsi="Times New Roman"/>
          <w:sz w:val="18"/>
          <w:szCs w:val="18"/>
          <w:color w:val="auto"/>
        </w:rPr>
        <w:t>As we discuss in Note 13, in July 2020, Sempra entered into the Support Agreement for the benefit of CFIN, which is a VIE. Sempra is not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primary beneficiary of this VIE because we do not have the power to direct the most significant activities of CFIN, including modification, prepayment, and refinance decisions related to the financing arrangement with external lenders and Cameron LNG JV’s four project owners as well as the ability to determine and enforce remedies in the event of default. The conditional obligations of the Support Agreement represent a variable interest that we measure at fair value on a recurring basis (see Note 9). Sempra’s maximum exposure to loss under the terms of the Support Agreement is $979 million.</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Consolidated VIEs</w:t>
      </w:r>
    </w:p>
    <w:p>
      <w:pPr>
        <w:spacing w:after="0" w:line="49" w:lineRule="exact"/>
        <w:rPr>
          <w:sz w:val="20"/>
          <w:szCs w:val="20"/>
          <w:color w:val="auto"/>
        </w:rPr>
      </w:pPr>
    </w:p>
    <w:p>
      <w:pPr>
        <w:ind w:right="60"/>
        <w:spacing w:after="0" w:line="270" w:lineRule="auto"/>
        <w:rPr>
          <w:sz w:val="20"/>
          <w:szCs w:val="20"/>
          <w:color w:val="auto"/>
        </w:rPr>
      </w:pPr>
      <w:r>
        <w:rPr>
          <w:rFonts w:ascii="Times New Roman" w:cs="Times New Roman" w:eastAsia="Times New Roman" w:hAnsi="Times New Roman"/>
          <w:sz w:val="18"/>
          <w:szCs w:val="18"/>
          <w:color w:val="auto"/>
        </w:rPr>
        <w:t>ECA LNG Phase 1, Port Arthur LNG I and Port Arthur LNG II are VIEs because their total equity at risk is not sufficient to finance their activities without additional subordinated financial support. We expect that these entities will require future capital contributions or other financial support to finance the construction of their respective liquefaction facilities. Sempra is the primary beneficiary of these VIEs because we have the power to direct the activities that most significantly impact their economic performance, including construction and future operation and maintenance of the facilities. As a result, we consolidate these VIEs.</w:t>
      </w:r>
    </w:p>
    <w:p>
      <w:pPr>
        <w:spacing w:after="0" w:line="64" w:lineRule="exact"/>
        <w:rPr>
          <w:sz w:val="20"/>
          <w:szCs w:val="20"/>
          <w:color w:val="auto"/>
        </w:rPr>
      </w:pPr>
    </w:p>
    <w:p>
      <w:pPr>
        <w:spacing w:after="0" w:line="270" w:lineRule="auto"/>
        <w:rPr>
          <w:sz w:val="20"/>
          <w:szCs w:val="20"/>
          <w:color w:val="auto"/>
        </w:rPr>
      </w:pPr>
      <w:r>
        <w:rPr>
          <w:rFonts w:ascii="Times New Roman" w:cs="Times New Roman" w:eastAsia="Times New Roman" w:hAnsi="Times New Roman"/>
          <w:sz w:val="18"/>
          <w:szCs w:val="18"/>
          <w:color w:val="auto"/>
        </w:rPr>
        <w:t>Sempra consolidated $16,362 million and $15,950 million of assets at March 31, 2026 and December 31, 2025, respectively, consisting primarily of PP&amp;E, net, and restricted cash attributable to these VIEs that could be used only to settle obligations of these VIEs and that are not available to settle obligations of Sempra, and $6,728 million and $6,335 million of liabilities at March 31, 2026 and December 31, 2025, respectively, consisting primarily of long-term debt and accounts payable attributable to these VIEs for which creditors do not have recourse to the general credit of Sempra. At March 31, 2026 and December 31, 2025, these assets and liabilities are classified as held for sale (see Note 6).</w:t>
      </w:r>
    </w:p>
    <w:p>
      <w:pPr>
        <w:spacing w:after="0" w:line="78" w:lineRule="exact"/>
        <w:rPr>
          <w:sz w:val="20"/>
          <w:szCs w:val="20"/>
          <w:color w:val="auto"/>
        </w:rPr>
      </w:pPr>
    </w:p>
    <w:p>
      <w:pPr>
        <w:ind w:right="60"/>
        <w:spacing w:after="0" w:line="263" w:lineRule="auto"/>
        <w:rPr>
          <w:sz w:val="20"/>
          <w:szCs w:val="20"/>
          <w:color w:val="auto"/>
        </w:rPr>
      </w:pPr>
      <w:r>
        <w:rPr>
          <w:rFonts w:ascii="Times New Roman" w:cs="Times New Roman" w:eastAsia="Times New Roman" w:hAnsi="Times New Roman"/>
          <w:sz w:val="18"/>
          <w:szCs w:val="18"/>
          <w:color w:val="auto"/>
        </w:rPr>
        <w:t>Additionally, IEnova and TotalEnergies SE have provided guarantees for repayment of up to $1,226 million and $305 million, respectively, plus accrued and unpaid interest, of the loan facility supporting construction of the ECA LNG Phase 1 project (see Note 7). Both SI Partners and ConocoPhillips have provided guarantees relating to their respective affiliate’s commitment to make its pro rata equity share of capital contributions to fund 110% of the development budget of the PA LNG Phase 1 project, in an aggregate amount of up to $9.0 billion (see Note 11). SI Partners’ guarantee covers 70% of this amount plus enforcement costs of its guarantee. SI Partners has committed to fund up to $7.8 billion to PA2 JVCo to support its share of the budgeted PA LNG Phase 2 project construction costs, while Blackstone has committed to fund $7.0 billion (see Note 12 of the Notes to Consolidated Financial Statements in the Annual Report). SI Partners has also provided a guarantee for repayment of the $300 million credit facility supporting construction of the PA LNG Phase 2 project (see Note 7 of the Notes to Consolidated Financial Statements in the Annual Report).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150495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CASH EQUIVALENTS AND RESTRICTED CASH</w:t>
      </w:r>
    </w:p>
    <w:p>
      <w:pPr>
        <w:spacing w:after="0" w:line="118" w:lineRule="exact"/>
        <w:rPr>
          <w:sz w:val="20"/>
          <w:szCs w:val="20"/>
          <w:color w:val="auto"/>
        </w:rPr>
      </w:pPr>
    </w:p>
    <w:p>
      <w:pPr>
        <w:ind w:right="20"/>
        <w:spacing w:after="0" w:line="274" w:lineRule="auto"/>
        <w:rPr>
          <w:sz w:val="20"/>
          <w:szCs w:val="20"/>
          <w:color w:val="auto"/>
        </w:rPr>
      </w:pPr>
      <w:r>
        <w:rPr>
          <w:rFonts w:ascii="Times New Roman" w:cs="Times New Roman" w:eastAsia="Times New Roman" w:hAnsi="Times New Roman"/>
          <w:sz w:val="18"/>
          <w:szCs w:val="18"/>
          <w:color w:val="auto"/>
        </w:rPr>
        <w:t>The following table provides a reconciliation of cash, cash equivalents and restricted cash reported on Sempra’s Condensed Consolidated Balance Sheets to the sum of such amounts reported on Sempra’s Condensed Consolidated Statements of Cash Flows. We provide information about the nature of restricted cash in Note 1 of the Notes to Consolidated Financial Statements in the Annual Report.</w:t>
      </w:r>
    </w:p>
    <w:p>
      <w:pPr>
        <w:spacing w:after="0" w:line="119" w:lineRule="exact"/>
        <w:rPr>
          <w:sz w:val="20"/>
          <w:szCs w:val="20"/>
          <w:color w:val="auto"/>
        </w:rPr>
      </w:pPr>
    </w:p>
    <w:p>
      <w:pPr>
        <w:ind w:left="20" w:right="5340"/>
        <w:spacing w:after="0" w:line="284" w:lineRule="auto"/>
        <w:rPr>
          <w:sz w:val="20"/>
          <w:szCs w:val="20"/>
          <w:color w:val="auto"/>
        </w:rPr>
      </w:pPr>
      <w:r>
        <w:rPr>
          <w:rFonts w:ascii="Arial" w:cs="Arial" w:eastAsia="Arial" w:hAnsi="Arial"/>
          <w:sz w:val="16"/>
          <w:szCs w:val="16"/>
          <w:b w:val="1"/>
          <w:bCs w:val="1"/>
          <w:color w:val="FFFFFF"/>
        </w:rPr>
        <w:t xml:space="preserve">RECONCILIATION OF CASH, CASH EQUIVALENTS AND RESTRICTED CASH </w:t>
      </w:r>
      <w:r>
        <w:rPr>
          <w:rFonts w:ascii="Arial" w:cs="Arial" w:eastAsia="Arial" w:hAnsi="Arial"/>
          <w:sz w:val="14"/>
          <w:szCs w:val="14"/>
          <w:i w:val="1"/>
          <w:iCs w:val="1"/>
          <w:color w:val="FFFFFF"/>
        </w:rPr>
        <w:t>(Dollars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-275590</wp:posOffset>
            </wp:positionV>
            <wp:extent cx="7132320" cy="26543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26543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62"/>
        </w:trPr>
        <w:tc>
          <w:tcPr>
            <w:tcW w:w="8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jc w:val="right"/>
              <w:ind w:right="222"/>
              <w:spacing w:after="0"/>
              <w:rPr>
                <w:sz w:val="20"/>
                <w:szCs w:val="20"/>
                <w:color w:val="auto"/>
              </w:rPr>
            </w:pPr>
            <w:r>
              <w:rPr>
                <w:rFonts w:ascii="Arial" w:cs="Arial" w:eastAsia="Arial" w:hAnsi="Arial"/>
                <w:sz w:val="14"/>
                <w:szCs w:val="14"/>
                <w:color w:val="auto"/>
              </w:rPr>
              <w:t>March 31,</w:t>
            </w:r>
          </w:p>
        </w:tc>
        <w:tc>
          <w:tcPr>
            <w:tcW w:w="180" w:type="dxa"/>
            <w:vAlign w:val="bottom"/>
          </w:tcPr>
          <w:p>
            <w:pPr>
              <w:spacing w:after="0"/>
              <w:rPr>
                <w:sz w:val="14"/>
                <w:szCs w:val="14"/>
                <w:color w:val="auto"/>
              </w:rPr>
            </w:pPr>
          </w:p>
        </w:tc>
        <w:tc>
          <w:tcPr>
            <w:tcW w:w="1160" w:type="dxa"/>
            <w:vAlign w:val="bottom"/>
          </w:tcPr>
          <w:p>
            <w:pPr>
              <w:jc w:val="right"/>
              <w:ind w:right="122"/>
              <w:spacing w:after="0"/>
              <w:rPr>
                <w:sz w:val="20"/>
                <w:szCs w:val="20"/>
                <w:color w:val="auto"/>
              </w:rPr>
            </w:pPr>
            <w:r>
              <w:rPr>
                <w:rFonts w:ascii="Arial" w:cs="Arial" w:eastAsia="Arial" w:hAnsi="Arial"/>
                <w:sz w:val="14"/>
                <w:szCs w:val="14"/>
                <w:color w:val="auto"/>
              </w:rPr>
              <w:t>December 31,</w:t>
            </w:r>
          </w:p>
        </w:tc>
        <w:tc>
          <w:tcPr>
            <w:tcW w:w="0" w:type="dxa"/>
            <w:vAlign w:val="bottom"/>
          </w:tcPr>
          <w:p>
            <w:pPr>
              <w:spacing w:after="0"/>
              <w:rPr>
                <w:sz w:val="1"/>
                <w:szCs w:val="1"/>
                <w:color w:val="auto"/>
              </w:rPr>
            </w:pPr>
          </w:p>
        </w:tc>
      </w:tr>
      <w:tr>
        <w:trPr>
          <w:trHeight w:val="190"/>
        </w:trPr>
        <w:tc>
          <w:tcPr>
            <w:tcW w:w="8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60" w:type="dxa"/>
            <w:vAlign w:val="bottom"/>
          </w:tcPr>
          <w:p>
            <w:pPr>
              <w:jc w:val="right"/>
              <w:ind w:right="382"/>
              <w:spacing w:after="0"/>
              <w:rPr>
                <w:sz w:val="20"/>
                <w:szCs w:val="20"/>
                <w:color w:val="auto"/>
              </w:rPr>
            </w:pPr>
            <w:r>
              <w:rPr>
                <w:rFonts w:ascii="Arial" w:cs="Arial" w:eastAsia="Arial" w:hAnsi="Arial"/>
                <w:sz w:val="14"/>
                <w:szCs w:val="14"/>
                <w:color w:val="auto"/>
              </w:rPr>
              <w:t>2026</w:t>
            </w:r>
          </w:p>
        </w:tc>
        <w:tc>
          <w:tcPr>
            <w:tcW w:w="180" w:type="dxa"/>
            <w:vAlign w:val="bottom"/>
          </w:tcPr>
          <w:p>
            <w:pPr>
              <w:spacing w:after="0"/>
              <w:rPr>
                <w:sz w:val="16"/>
                <w:szCs w:val="16"/>
                <w:color w:val="auto"/>
              </w:rPr>
            </w:pPr>
          </w:p>
        </w:tc>
        <w:tc>
          <w:tcPr>
            <w:tcW w:w="1160" w:type="dxa"/>
            <w:vAlign w:val="bottom"/>
          </w:tcPr>
          <w:p>
            <w:pPr>
              <w:jc w:val="right"/>
              <w:ind w:right="422"/>
              <w:spacing w:after="0"/>
              <w:rPr>
                <w:sz w:val="20"/>
                <w:szCs w:val="20"/>
                <w:color w:val="auto"/>
              </w:rPr>
            </w:pPr>
            <w:r>
              <w:rPr>
                <w:rFonts w:ascii="Arial" w:cs="Arial" w:eastAsia="Arial" w:hAnsi="Arial"/>
                <w:sz w:val="14"/>
                <w:szCs w:val="14"/>
                <w:color w:val="auto"/>
              </w:rPr>
              <w:t>2025</w:t>
            </w:r>
          </w:p>
        </w:tc>
        <w:tc>
          <w:tcPr>
            <w:tcW w:w="0" w:type="dxa"/>
            <w:vAlign w:val="bottom"/>
          </w:tcPr>
          <w:p>
            <w:pPr>
              <w:spacing w:after="0"/>
              <w:rPr>
                <w:sz w:val="1"/>
                <w:szCs w:val="1"/>
                <w:color w:val="auto"/>
              </w:rPr>
            </w:pPr>
          </w:p>
        </w:tc>
      </w:tr>
      <w:tr>
        <w:trPr>
          <w:trHeight w:val="22"/>
        </w:trPr>
        <w:tc>
          <w:tcPr>
            <w:tcW w:w="86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8620" w:type="dxa"/>
            <w:vAlign w:val="bottom"/>
            <w:shd w:val="clear" w:color="auto" w:fill="D4F1F5"/>
          </w:tcPr>
          <w:p>
            <w:pPr>
              <w:ind w:left="20"/>
              <w:spacing w:after="0"/>
              <w:rPr>
                <w:sz w:val="20"/>
                <w:szCs w:val="20"/>
                <w:color w:val="auto"/>
              </w:rPr>
            </w:pPr>
            <w:r>
              <w:rPr>
                <w:rFonts w:ascii="Arial" w:cs="Arial" w:eastAsia="Arial" w:hAnsi="Arial"/>
                <w:sz w:val="16"/>
                <w:szCs w:val="16"/>
                <w:b w:val="1"/>
                <w:bCs w:val="1"/>
                <w:color w:val="auto"/>
              </w:rPr>
              <w:t>Sempra:</w:t>
            </w:r>
          </w:p>
        </w:tc>
        <w:tc>
          <w:tcPr>
            <w:tcW w:w="220" w:type="dxa"/>
            <w:vAlign w:val="bottom"/>
            <w:shd w:val="clear" w:color="auto" w:fill="D4F1F5"/>
          </w:tcPr>
          <w:p>
            <w:pPr>
              <w:spacing w:after="0"/>
              <w:rPr>
                <w:sz w:val="18"/>
                <w:szCs w:val="18"/>
                <w:color w:val="auto"/>
              </w:rPr>
            </w:pPr>
          </w:p>
        </w:tc>
        <w:tc>
          <w:tcPr>
            <w:tcW w:w="1060" w:type="dxa"/>
            <w:vAlign w:val="bottom"/>
            <w:shd w:val="clear" w:color="auto" w:fill="D4F1F5"/>
          </w:tcPr>
          <w:p>
            <w:pPr>
              <w:spacing w:after="0"/>
              <w:rPr>
                <w:sz w:val="18"/>
                <w:szCs w:val="18"/>
                <w:color w:val="auto"/>
              </w:rPr>
            </w:pPr>
          </w:p>
        </w:tc>
        <w:tc>
          <w:tcPr>
            <w:tcW w:w="180" w:type="dxa"/>
            <w:vAlign w:val="bottom"/>
            <w:shd w:val="clear" w:color="auto" w:fill="D4F1F5"/>
          </w:tcPr>
          <w:p>
            <w:pPr>
              <w:spacing w:after="0"/>
              <w:rPr>
                <w:sz w:val="18"/>
                <w:szCs w:val="18"/>
                <w:color w:val="auto"/>
              </w:rPr>
            </w:pPr>
          </w:p>
        </w:tc>
        <w:tc>
          <w:tcPr>
            <w:tcW w:w="1160" w:type="dxa"/>
            <w:vAlign w:val="bottom"/>
            <w:shd w:val="clear" w:color="auto" w:fill="D4F1F5"/>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8620" w:type="dxa"/>
            <w:vAlign w:val="bottom"/>
          </w:tcPr>
          <w:p>
            <w:pPr>
              <w:ind w:left="20"/>
              <w:spacing w:after="0"/>
              <w:rPr>
                <w:sz w:val="20"/>
                <w:szCs w:val="20"/>
                <w:color w:val="auto"/>
              </w:rPr>
            </w:pPr>
            <w:r>
              <w:rPr>
                <w:rFonts w:ascii="Arial" w:cs="Arial" w:eastAsia="Arial" w:hAnsi="Arial"/>
                <w:sz w:val="16"/>
                <w:szCs w:val="16"/>
                <w:color w:val="auto"/>
              </w:rPr>
              <w:t>Cash and cash equivalents</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794</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2"/>
              <w:spacing w:after="0"/>
              <w:rPr>
                <w:sz w:val="20"/>
                <w:szCs w:val="20"/>
                <w:color w:val="auto"/>
              </w:rPr>
            </w:pPr>
            <w:r>
              <w:rPr>
                <w:rFonts w:ascii="Arial" w:cs="Arial" w:eastAsia="Arial" w:hAnsi="Arial"/>
                <w:sz w:val="16"/>
                <w:szCs w:val="16"/>
                <w:color w:val="auto"/>
              </w:rPr>
              <w:t>29</w:t>
            </w:r>
          </w:p>
        </w:tc>
        <w:tc>
          <w:tcPr>
            <w:tcW w:w="0" w:type="dxa"/>
            <w:vAlign w:val="bottom"/>
          </w:tcPr>
          <w:p>
            <w:pPr>
              <w:spacing w:after="0"/>
              <w:rPr>
                <w:sz w:val="1"/>
                <w:szCs w:val="1"/>
                <w:color w:val="auto"/>
              </w:rPr>
            </w:pPr>
          </w:p>
        </w:tc>
      </w:tr>
      <w:tr>
        <w:trPr>
          <w:trHeight w:val="217"/>
        </w:trPr>
        <w:tc>
          <w:tcPr>
            <w:tcW w:w="8620" w:type="dxa"/>
            <w:vAlign w:val="bottom"/>
            <w:shd w:val="clear" w:color="auto" w:fill="D4F1F5"/>
          </w:tcPr>
          <w:p>
            <w:pPr>
              <w:ind w:left="20"/>
              <w:spacing w:after="0"/>
              <w:rPr>
                <w:sz w:val="20"/>
                <w:szCs w:val="20"/>
                <w:color w:val="auto"/>
              </w:rPr>
            </w:pPr>
            <w:r>
              <w:rPr>
                <w:rFonts w:ascii="Arial" w:cs="Arial" w:eastAsia="Arial" w:hAnsi="Arial"/>
                <w:sz w:val="16"/>
                <w:szCs w:val="16"/>
                <w:color w:val="auto"/>
              </w:rPr>
              <w:t>Restricted cash, current</w:t>
            </w:r>
          </w:p>
        </w:tc>
        <w:tc>
          <w:tcPr>
            <w:tcW w:w="220" w:type="dxa"/>
            <w:vAlign w:val="bottom"/>
            <w:shd w:val="clear" w:color="auto" w:fill="D4F1F5"/>
          </w:tcPr>
          <w:p>
            <w:pPr>
              <w:spacing w:after="0"/>
              <w:rPr>
                <w:sz w:val="18"/>
                <w:szCs w:val="18"/>
                <w:color w:val="auto"/>
              </w:rPr>
            </w:pPr>
          </w:p>
        </w:tc>
        <w:tc>
          <w:tcPr>
            <w:tcW w:w="1060" w:type="dxa"/>
            <w:vAlign w:val="bottom"/>
            <w:shd w:val="clear" w:color="auto" w:fill="D4F1F5"/>
          </w:tcPr>
          <w:p>
            <w:pPr>
              <w:jc w:val="right"/>
              <w:spacing w:after="0"/>
              <w:rPr>
                <w:sz w:val="20"/>
                <w:szCs w:val="20"/>
                <w:color w:val="auto"/>
              </w:rPr>
            </w:pPr>
            <w:r>
              <w:rPr>
                <w:rFonts w:ascii="Arial" w:cs="Arial" w:eastAsia="Arial" w:hAnsi="Arial"/>
                <w:sz w:val="16"/>
                <w:szCs w:val="16"/>
                <w:color w:val="auto"/>
              </w:rPr>
              <w:t>2</w:t>
            </w:r>
          </w:p>
        </w:tc>
        <w:tc>
          <w:tcPr>
            <w:tcW w:w="180" w:type="dxa"/>
            <w:vAlign w:val="bottom"/>
            <w:shd w:val="clear" w:color="auto" w:fill="D4F1F5"/>
          </w:tcPr>
          <w:p>
            <w:pPr>
              <w:spacing w:after="0"/>
              <w:rPr>
                <w:sz w:val="18"/>
                <w:szCs w:val="18"/>
                <w:color w:val="auto"/>
              </w:rPr>
            </w:pPr>
          </w:p>
        </w:tc>
        <w:tc>
          <w:tcPr>
            <w:tcW w:w="1160" w:type="dxa"/>
            <w:vAlign w:val="bottom"/>
            <w:shd w:val="clear" w:color="auto" w:fill="D4F1F5"/>
          </w:tcPr>
          <w:p>
            <w:pPr>
              <w:jc w:val="right"/>
              <w:ind w:right="2"/>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15"/>
        </w:trPr>
        <w:tc>
          <w:tcPr>
            <w:tcW w:w="8620" w:type="dxa"/>
            <w:vAlign w:val="bottom"/>
            <w:tcBorders>
              <w:bottom w:val="single" w:sz="8" w:color="D4F1F5"/>
            </w:tcBorders>
          </w:tcPr>
          <w:p>
            <w:pPr>
              <w:ind w:left="20"/>
              <w:spacing w:after="0"/>
              <w:rPr>
                <w:sz w:val="20"/>
                <w:szCs w:val="20"/>
                <w:color w:val="auto"/>
              </w:rPr>
            </w:pPr>
            <w:r>
              <w:rPr>
                <w:rFonts w:ascii="Arial" w:cs="Arial" w:eastAsia="Arial" w:hAnsi="Arial"/>
                <w:sz w:val="16"/>
                <w:szCs w:val="16"/>
                <w:color w:val="auto"/>
              </w:rPr>
              <w:t>Assets held for sale</w:t>
            </w:r>
          </w:p>
        </w:tc>
        <w:tc>
          <w:tcPr>
            <w:tcW w:w="2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3,163</w:t>
            </w:r>
          </w:p>
        </w:tc>
        <w:tc>
          <w:tcPr>
            <w:tcW w:w="1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3,521</w:t>
            </w:r>
          </w:p>
        </w:tc>
        <w:tc>
          <w:tcPr>
            <w:tcW w:w="0" w:type="dxa"/>
            <w:vAlign w:val="bottom"/>
          </w:tcPr>
          <w:p>
            <w:pPr>
              <w:spacing w:after="0"/>
              <w:rPr>
                <w:sz w:val="1"/>
                <w:szCs w:val="1"/>
                <w:color w:val="auto"/>
              </w:rPr>
            </w:pPr>
          </w:p>
        </w:tc>
      </w:tr>
      <w:tr>
        <w:trPr>
          <w:trHeight w:val="143"/>
        </w:trPr>
        <w:tc>
          <w:tcPr>
            <w:tcW w:w="8620" w:type="dxa"/>
            <w:vAlign w:val="bottom"/>
            <w:shd w:val="clear" w:color="auto" w:fill="D4F1F5"/>
          </w:tcPr>
          <w:p>
            <w:pPr>
              <w:ind w:left="20"/>
              <w:spacing w:after="0" w:line="143" w:lineRule="exact"/>
              <w:rPr>
                <w:sz w:val="20"/>
                <w:szCs w:val="20"/>
                <w:color w:val="auto"/>
              </w:rPr>
            </w:pPr>
            <w:r>
              <w:rPr>
                <w:rFonts w:ascii="Arial" w:cs="Arial" w:eastAsia="Arial" w:hAnsi="Arial"/>
                <w:sz w:val="16"/>
                <w:szCs w:val="16"/>
                <w:color w:val="auto"/>
              </w:rPr>
              <w:t>Total cash, cash equivalents and restricted cash on the Condensed Consolidated Statements of</w:t>
            </w:r>
          </w:p>
        </w:tc>
        <w:tc>
          <w:tcPr>
            <w:tcW w:w="220" w:type="dxa"/>
            <w:vAlign w:val="bottom"/>
            <w:vMerge w:val="restart"/>
            <w:shd w:val="clear" w:color="auto" w:fill="D4F1F5"/>
          </w:tcPr>
          <w:p>
            <w:pPr>
              <w:jc w:val="right"/>
              <w:ind w:right="39"/>
              <w:spacing w:after="0"/>
              <w:rPr>
                <w:sz w:val="20"/>
                <w:szCs w:val="20"/>
                <w:color w:val="auto"/>
              </w:rPr>
            </w:pPr>
            <w:r>
              <w:rPr>
                <w:rFonts w:ascii="Arial" w:cs="Arial" w:eastAsia="Arial" w:hAnsi="Arial"/>
                <w:sz w:val="16"/>
                <w:szCs w:val="16"/>
                <w:color w:val="auto"/>
                <w:w w:val="89"/>
              </w:rPr>
              <w:t>$</w:t>
            </w:r>
          </w:p>
        </w:tc>
        <w:tc>
          <w:tcPr>
            <w:tcW w:w="1060" w:type="dxa"/>
            <w:vAlign w:val="bottom"/>
            <w:vMerge w:val="restart"/>
            <w:shd w:val="clear" w:color="auto" w:fill="D4F1F5"/>
          </w:tcPr>
          <w:p>
            <w:pPr>
              <w:jc w:val="right"/>
              <w:spacing w:after="0"/>
              <w:rPr>
                <w:sz w:val="20"/>
                <w:szCs w:val="20"/>
                <w:color w:val="auto"/>
              </w:rPr>
            </w:pPr>
            <w:r>
              <w:rPr>
                <w:rFonts w:ascii="Arial" w:cs="Arial" w:eastAsia="Arial" w:hAnsi="Arial"/>
                <w:sz w:val="16"/>
                <w:szCs w:val="16"/>
                <w:color w:val="auto"/>
              </w:rPr>
              <w:t>3,959</w:t>
            </w:r>
          </w:p>
        </w:tc>
        <w:tc>
          <w:tcPr>
            <w:tcW w:w="180" w:type="dxa"/>
            <w:vAlign w:val="bottom"/>
            <w:vMerge w:val="restart"/>
            <w:shd w:val="clear" w:color="auto" w:fill="D4F1F5"/>
          </w:tcPr>
          <w:p>
            <w:pPr>
              <w:jc w:val="right"/>
              <w:spacing w:after="0"/>
              <w:rPr>
                <w:sz w:val="20"/>
                <w:szCs w:val="20"/>
                <w:color w:val="auto"/>
              </w:rPr>
            </w:pPr>
            <w:r>
              <w:rPr>
                <w:rFonts w:ascii="Arial" w:cs="Arial" w:eastAsia="Arial" w:hAnsi="Arial"/>
                <w:sz w:val="16"/>
                <w:szCs w:val="16"/>
                <w:color w:val="auto"/>
              </w:rPr>
              <w:t>$</w:t>
            </w:r>
          </w:p>
        </w:tc>
        <w:tc>
          <w:tcPr>
            <w:tcW w:w="1160" w:type="dxa"/>
            <w:vAlign w:val="bottom"/>
            <w:vMerge w:val="restart"/>
            <w:shd w:val="clear" w:color="auto" w:fill="D4F1F5"/>
          </w:tcPr>
          <w:p>
            <w:pPr>
              <w:jc w:val="right"/>
              <w:ind w:right="2"/>
              <w:spacing w:after="0"/>
              <w:rPr>
                <w:sz w:val="20"/>
                <w:szCs w:val="20"/>
                <w:color w:val="auto"/>
              </w:rPr>
            </w:pPr>
            <w:r>
              <w:rPr>
                <w:rFonts w:ascii="Arial" w:cs="Arial" w:eastAsia="Arial" w:hAnsi="Arial"/>
                <w:sz w:val="16"/>
                <w:szCs w:val="16"/>
                <w:color w:val="auto"/>
              </w:rPr>
              <w:t>3,552</w:t>
            </w:r>
          </w:p>
        </w:tc>
        <w:tc>
          <w:tcPr>
            <w:tcW w:w="0" w:type="dxa"/>
            <w:vAlign w:val="bottom"/>
          </w:tcPr>
          <w:p>
            <w:pPr>
              <w:spacing w:after="0"/>
              <w:rPr>
                <w:sz w:val="1"/>
                <w:szCs w:val="1"/>
                <w:color w:val="auto"/>
              </w:rPr>
            </w:pPr>
          </w:p>
        </w:tc>
      </w:tr>
      <w:tr>
        <w:trPr>
          <w:trHeight w:val="223"/>
        </w:trPr>
        <w:tc>
          <w:tcPr>
            <w:tcW w:w="8620" w:type="dxa"/>
            <w:vAlign w:val="bottom"/>
            <w:tcBorders>
              <w:bottom w:val="single" w:sz="8" w:color="auto"/>
            </w:tcBorders>
            <w:shd w:val="clear" w:color="auto" w:fill="D4F1F5"/>
          </w:tcPr>
          <w:p>
            <w:pPr>
              <w:ind w:left="240"/>
              <w:spacing w:after="0"/>
              <w:rPr>
                <w:sz w:val="20"/>
                <w:szCs w:val="20"/>
                <w:color w:val="auto"/>
              </w:rPr>
            </w:pPr>
            <w:r>
              <w:rPr>
                <w:rFonts w:ascii="Arial" w:cs="Arial" w:eastAsia="Arial" w:hAnsi="Arial"/>
                <w:sz w:val="16"/>
                <w:szCs w:val="16"/>
                <w:color w:val="auto"/>
              </w:rPr>
              <w:t>Cash Flows</w:t>
            </w:r>
          </w:p>
        </w:tc>
        <w:tc>
          <w:tcPr>
            <w:tcW w:w="220" w:type="dxa"/>
            <w:vAlign w:val="bottom"/>
            <w:tcBorders>
              <w:bottom w:val="single" w:sz="8" w:color="auto"/>
            </w:tcBorders>
            <w:vMerge w:val="continue"/>
            <w:shd w:val="clear" w:color="auto" w:fill="D4F1F5"/>
          </w:tcPr>
          <w:p>
            <w:pPr>
              <w:spacing w:after="0"/>
              <w:rPr>
                <w:sz w:val="19"/>
                <w:szCs w:val="19"/>
                <w:color w:val="auto"/>
              </w:rPr>
            </w:pPr>
          </w:p>
        </w:tc>
        <w:tc>
          <w:tcPr>
            <w:tcW w:w="1060" w:type="dxa"/>
            <w:vAlign w:val="bottom"/>
            <w:tcBorders>
              <w:bottom w:val="single" w:sz="8" w:color="auto"/>
            </w:tcBorders>
            <w:vMerge w:val="continue"/>
            <w:shd w:val="clear" w:color="auto" w:fill="D4F1F5"/>
          </w:tcPr>
          <w:p>
            <w:pPr>
              <w:spacing w:after="0"/>
              <w:rPr>
                <w:sz w:val="19"/>
                <w:szCs w:val="19"/>
                <w:color w:val="auto"/>
              </w:rPr>
            </w:pPr>
          </w:p>
        </w:tc>
        <w:tc>
          <w:tcPr>
            <w:tcW w:w="180" w:type="dxa"/>
            <w:vAlign w:val="bottom"/>
            <w:tcBorders>
              <w:bottom w:val="single" w:sz="8" w:color="auto"/>
            </w:tcBorders>
            <w:vMerge w:val="continue"/>
            <w:shd w:val="clear" w:color="auto" w:fill="D4F1F5"/>
          </w:tcPr>
          <w:p>
            <w:pPr>
              <w:spacing w:after="0"/>
              <w:rPr>
                <w:sz w:val="19"/>
                <w:szCs w:val="19"/>
                <w:color w:val="auto"/>
              </w:rPr>
            </w:pPr>
          </w:p>
        </w:tc>
        <w:tc>
          <w:tcPr>
            <w:tcW w:w="1160" w:type="dxa"/>
            <w:vAlign w:val="bottom"/>
            <w:tcBorders>
              <w:bottom w:val="single" w:sz="8" w:color="auto"/>
            </w:tcBorders>
            <w:vMerge w:val="continue"/>
            <w:shd w:val="clear" w:color="auto" w:fill="D4F1F5"/>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CREDIT LOSSES</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Financial Assets Measured at Amortized Cost</w:t>
      </w:r>
    </w:p>
    <w:p>
      <w:pPr>
        <w:spacing w:after="0" w:line="49" w:lineRule="exact"/>
        <w:rPr>
          <w:sz w:val="20"/>
          <w:szCs w:val="20"/>
          <w:color w:val="auto"/>
        </w:rPr>
      </w:pPr>
    </w:p>
    <w:p>
      <w:pPr>
        <w:ind w:right="680"/>
        <w:spacing w:after="0" w:line="297" w:lineRule="auto"/>
        <w:rPr>
          <w:sz w:val="20"/>
          <w:szCs w:val="20"/>
          <w:color w:val="auto"/>
        </w:rPr>
      </w:pPr>
      <w:r>
        <w:rPr>
          <w:rFonts w:ascii="Times New Roman" w:cs="Times New Roman" w:eastAsia="Times New Roman" w:hAnsi="Times New Roman"/>
          <w:sz w:val="18"/>
          <w:szCs w:val="18"/>
          <w:color w:val="auto"/>
        </w:rPr>
        <w:t>We are exposed to credit losses from financial assets measured at amortized cost, including trade and other accounts receivable, amounts due from unconsolidated affiliates, our net investment in sales-type leases and a note receivable.</w:t>
      </w:r>
    </w:p>
    <w:p>
      <w:pPr>
        <w:spacing w:after="0" w:line="55"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We regularly monitor and evaluate credit losses and record allowances for expected credit losses, if necessary, for trade and other accounts receivable using a combination of factors, including past-due status based on contractual terms, trends in write-offs, the age of the receivables and customer payment patterns, historical and industry trends, counterparty creditworthiness, economic conditions and specific events, such as bankruptcies, pandemics and other factors. We write off financial assets measured at amortized cost in the period in which we determine they are not recoverable. We record recoveries of amounts previously written off when it is known that they will be recovered.</w:t>
      </w:r>
    </w:p>
    <w:p>
      <w:pPr>
        <w:spacing w:after="0" w:line="81" w:lineRule="exact"/>
        <w:rPr>
          <w:sz w:val="20"/>
          <w:szCs w:val="20"/>
          <w:color w:val="auto"/>
        </w:rPr>
      </w:pPr>
    </w:p>
    <w:p>
      <w:pPr>
        <w:jc w:val="both"/>
        <w:ind w:right="80"/>
        <w:spacing w:after="0" w:line="274" w:lineRule="auto"/>
        <w:rPr>
          <w:sz w:val="20"/>
          <w:szCs w:val="20"/>
          <w:color w:val="auto"/>
        </w:rPr>
      </w:pPr>
      <w:r>
        <w:rPr>
          <w:rFonts w:ascii="Times New Roman" w:cs="Times New Roman" w:eastAsia="Times New Roman" w:hAnsi="Times New Roman"/>
          <w:sz w:val="18"/>
          <w:szCs w:val="18"/>
          <w:color w:val="auto"/>
        </w:rPr>
        <w:t>As we discuss below in “Note Receivable,” we have an interest-bearing promissory note due from KKR Pinnacle. On a quarterly basis, we evaluate credit losses and record allowances for expected credit losses on this note receivable, including compounded interest and unamortized transaction costs, based on published default rate studies, the maturity date of the instrument and an internally developed credit rating.</w:t>
      </w:r>
    </w:p>
    <w:p>
      <w:pPr>
        <w:spacing w:after="0" w:line="74"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SDG&amp;E and SoCalGas have regulatory mechanisms to recover credit losses and thus record changes in the allowances for credit losses related to accounts receivable that are probable of recovery in regulatory accounts. We discuss regulatory accounts in Note 4.</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150495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Changes in allowances for credit losses for trade receivables, other receivables and a note receivable are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111760</wp:posOffset>
            </wp:positionV>
            <wp:extent cx="7132320" cy="3003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300355"/>
                    </a:xfrm>
                    <a:prstGeom prst="rect">
                      <a:avLst/>
                    </a:prstGeom>
                    <a:noFill/>
                  </pic:spPr>
                </pic:pic>
              </a:graphicData>
            </a:graphic>
          </wp:anchor>
        </w:drawing>
      </w:r>
    </w:p>
    <w:p>
      <w:pPr>
        <w:spacing w:after="0" w:line="169"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FFFFFF"/>
        </w:rPr>
        <w:t>CHANGES IN ALLOWANCES FOR CREDIT LOSSES</w:t>
      </w:r>
    </w:p>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8520" w:type="dxa"/>
            <w:vAlign w:val="bottom"/>
          </w:tcPr>
          <w:p>
            <w:pPr>
              <w:ind w:left="20"/>
              <w:spacing w:after="0"/>
              <w:rPr>
                <w:sz w:val="20"/>
                <w:szCs w:val="20"/>
                <w:color w:val="auto"/>
              </w:rPr>
            </w:pPr>
            <w:r>
              <w:rPr>
                <w:rFonts w:ascii="Arial" w:cs="Arial" w:eastAsia="Arial" w:hAnsi="Arial"/>
                <w:sz w:val="14"/>
                <w:szCs w:val="14"/>
                <w:i w:val="1"/>
                <w:iCs w:val="1"/>
                <w:color w:val="FFFFFF"/>
              </w:rPr>
              <w:t>(Dollars in millions)</w:t>
            </w:r>
          </w:p>
        </w:tc>
        <w:tc>
          <w:tcPr>
            <w:tcW w:w="9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233"/>
        </w:trPr>
        <w:tc>
          <w:tcPr>
            <w:tcW w:w="85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2026</w:t>
            </w:r>
          </w:p>
        </w:tc>
        <w:tc>
          <w:tcPr>
            <w:tcW w:w="44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440"/>
              <w:spacing w:after="0"/>
              <w:rPr>
                <w:sz w:val="20"/>
                <w:szCs w:val="20"/>
                <w:color w:val="auto"/>
              </w:rPr>
            </w:pPr>
            <w:r>
              <w:rPr>
                <w:rFonts w:ascii="Arial" w:cs="Arial" w:eastAsia="Arial" w:hAnsi="Arial"/>
                <w:sz w:val="14"/>
                <w:szCs w:val="14"/>
                <w:color w:val="auto"/>
              </w:rPr>
              <w:t>2025</w:t>
            </w:r>
          </w:p>
        </w:tc>
      </w:tr>
      <w:tr>
        <w:trPr>
          <w:trHeight w:val="213"/>
        </w:trPr>
        <w:tc>
          <w:tcPr>
            <w:tcW w:w="8520" w:type="dxa"/>
            <w:vAlign w:val="bottom"/>
            <w:shd w:val="clear" w:color="auto" w:fill="D4F1F5"/>
          </w:tcPr>
          <w:p>
            <w:pPr>
              <w:ind w:left="20"/>
              <w:spacing w:after="0"/>
              <w:rPr>
                <w:sz w:val="20"/>
                <w:szCs w:val="20"/>
                <w:color w:val="auto"/>
              </w:rPr>
            </w:pPr>
            <w:r>
              <w:rPr>
                <w:rFonts w:ascii="Arial" w:cs="Arial" w:eastAsia="Arial" w:hAnsi="Arial"/>
                <w:sz w:val="16"/>
                <w:szCs w:val="16"/>
                <w:b w:val="1"/>
                <w:bCs w:val="1"/>
                <w:color w:val="auto"/>
              </w:rPr>
              <w:t>Sempra:</w:t>
            </w:r>
          </w:p>
        </w:tc>
        <w:tc>
          <w:tcPr>
            <w:tcW w:w="920" w:type="dxa"/>
            <w:vAlign w:val="bottom"/>
            <w:shd w:val="clear" w:color="auto" w:fill="D4F1F5"/>
          </w:tcPr>
          <w:p>
            <w:pPr>
              <w:spacing w:after="0"/>
              <w:rPr>
                <w:sz w:val="18"/>
                <w:szCs w:val="18"/>
                <w:color w:val="auto"/>
              </w:rPr>
            </w:pPr>
          </w:p>
        </w:tc>
        <w:tc>
          <w:tcPr>
            <w:tcW w:w="440" w:type="dxa"/>
            <w:vAlign w:val="bottom"/>
            <w:shd w:val="clear" w:color="auto" w:fill="D4F1F5"/>
          </w:tcPr>
          <w:p>
            <w:pPr>
              <w:spacing w:after="0"/>
              <w:rPr>
                <w:sz w:val="18"/>
                <w:szCs w:val="18"/>
                <w:color w:val="auto"/>
              </w:rPr>
            </w:pPr>
          </w:p>
        </w:tc>
        <w:tc>
          <w:tcPr>
            <w:tcW w:w="320" w:type="dxa"/>
            <w:vAlign w:val="bottom"/>
            <w:shd w:val="clear" w:color="auto" w:fill="D4F1F5"/>
          </w:tcPr>
          <w:p>
            <w:pPr>
              <w:spacing w:after="0"/>
              <w:rPr>
                <w:sz w:val="18"/>
                <w:szCs w:val="18"/>
                <w:color w:val="auto"/>
              </w:rPr>
            </w:pPr>
          </w:p>
        </w:tc>
        <w:tc>
          <w:tcPr>
            <w:tcW w:w="1040" w:type="dxa"/>
            <w:vAlign w:val="bottom"/>
            <w:shd w:val="clear" w:color="auto" w:fill="D4F1F5"/>
          </w:tcPr>
          <w:p>
            <w:pPr>
              <w:spacing w:after="0"/>
              <w:rPr>
                <w:sz w:val="18"/>
                <w:szCs w:val="18"/>
                <w:color w:val="auto"/>
              </w:rPr>
            </w:pPr>
          </w:p>
        </w:tc>
      </w:tr>
      <w:tr>
        <w:trPr>
          <w:trHeight w:val="215"/>
        </w:trPr>
        <w:tc>
          <w:tcPr>
            <w:tcW w:w="8520" w:type="dxa"/>
            <w:vAlign w:val="bottom"/>
          </w:tcPr>
          <w:p>
            <w:pPr>
              <w:ind w:left="20"/>
              <w:spacing w:after="0"/>
              <w:rPr>
                <w:sz w:val="20"/>
                <w:szCs w:val="20"/>
                <w:color w:val="auto"/>
              </w:rPr>
            </w:pPr>
            <w:r>
              <w:rPr>
                <w:rFonts w:ascii="Arial" w:cs="Arial" w:eastAsia="Arial" w:hAnsi="Arial"/>
                <w:sz w:val="16"/>
                <w:szCs w:val="16"/>
                <w:color w:val="auto"/>
              </w:rPr>
              <w:t>Allowances for credit losses at January 1</w:t>
            </w:r>
          </w:p>
        </w:tc>
        <w:tc>
          <w:tcPr>
            <w:tcW w:w="920" w:type="dxa"/>
            <w:vAlign w:val="bottom"/>
          </w:tcPr>
          <w:p>
            <w:pPr>
              <w:jc w:val="right"/>
              <w:ind w:right="740"/>
              <w:spacing w:after="0"/>
              <w:rPr>
                <w:sz w:val="20"/>
                <w:szCs w:val="20"/>
                <w:color w:val="auto"/>
              </w:rPr>
            </w:pPr>
            <w:r>
              <w:rPr>
                <w:rFonts w:ascii="Arial" w:cs="Arial" w:eastAsia="Arial" w:hAnsi="Arial"/>
                <w:sz w:val="16"/>
                <w:szCs w:val="16"/>
                <w:color w:val="auto"/>
                <w:w w:val="89"/>
              </w:rPr>
              <w:t>$</w:t>
            </w:r>
          </w:p>
        </w:tc>
        <w:tc>
          <w:tcPr>
            <w:tcW w:w="440" w:type="dxa"/>
            <w:vAlign w:val="bottom"/>
          </w:tcPr>
          <w:p>
            <w:pPr>
              <w:jc w:val="right"/>
              <w:spacing w:after="0"/>
              <w:rPr>
                <w:sz w:val="20"/>
                <w:szCs w:val="20"/>
                <w:color w:val="auto"/>
              </w:rPr>
            </w:pPr>
            <w:r>
              <w:rPr>
                <w:rFonts w:ascii="Arial" w:cs="Arial" w:eastAsia="Arial" w:hAnsi="Arial"/>
                <w:sz w:val="16"/>
                <w:szCs w:val="16"/>
                <w:color w:val="auto"/>
              </w:rPr>
              <w:t>298</w:t>
            </w: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519</w:t>
            </w:r>
          </w:p>
        </w:tc>
      </w:tr>
      <w:tr>
        <w:trPr>
          <w:trHeight w:val="217"/>
        </w:trPr>
        <w:tc>
          <w:tcPr>
            <w:tcW w:w="8520" w:type="dxa"/>
            <w:vAlign w:val="bottom"/>
            <w:shd w:val="clear" w:color="auto" w:fill="D4F1F5"/>
          </w:tcPr>
          <w:p>
            <w:pPr>
              <w:ind w:left="20"/>
              <w:spacing w:after="0" w:line="217" w:lineRule="exact"/>
              <w:rPr>
                <w:sz w:val="20"/>
                <w:szCs w:val="20"/>
                <w:color w:val="auto"/>
              </w:rPr>
            </w:pPr>
            <w:r>
              <w:rPr>
                <w:rFonts w:ascii="Arial" w:cs="Arial" w:eastAsia="Arial" w:hAnsi="Arial"/>
                <w:sz w:val="16"/>
                <w:szCs w:val="16"/>
                <w:color w:val="auto"/>
              </w:rPr>
              <w:t>Provisions for expected credit losses</w:t>
            </w:r>
            <w:r>
              <w:rPr>
                <w:rFonts w:ascii="Arial" w:cs="Arial" w:eastAsia="Arial" w:hAnsi="Arial"/>
                <w:sz w:val="21"/>
                <w:szCs w:val="21"/>
                <w:color w:val="auto"/>
                <w:vertAlign w:val="superscript"/>
              </w:rPr>
              <w:t>(1)</w:t>
            </w:r>
          </w:p>
        </w:tc>
        <w:tc>
          <w:tcPr>
            <w:tcW w:w="920" w:type="dxa"/>
            <w:vAlign w:val="bottom"/>
            <w:shd w:val="clear" w:color="auto" w:fill="D4F1F5"/>
          </w:tcPr>
          <w:p>
            <w:pPr>
              <w:spacing w:after="0"/>
              <w:rPr>
                <w:sz w:val="18"/>
                <w:szCs w:val="18"/>
                <w:color w:val="auto"/>
              </w:rPr>
            </w:pPr>
          </w:p>
        </w:tc>
        <w:tc>
          <w:tcPr>
            <w:tcW w:w="440" w:type="dxa"/>
            <w:vAlign w:val="bottom"/>
            <w:shd w:val="clear" w:color="auto" w:fill="D4F1F5"/>
          </w:tcPr>
          <w:p>
            <w:pPr>
              <w:jc w:val="right"/>
              <w:spacing w:after="0"/>
              <w:rPr>
                <w:sz w:val="20"/>
                <w:szCs w:val="20"/>
                <w:color w:val="auto"/>
              </w:rPr>
            </w:pPr>
            <w:r>
              <w:rPr>
                <w:rFonts w:ascii="Arial" w:cs="Arial" w:eastAsia="Arial" w:hAnsi="Arial"/>
                <w:sz w:val="16"/>
                <w:szCs w:val="16"/>
                <w:color w:val="auto"/>
              </w:rPr>
              <w:t>19</w:t>
            </w:r>
          </w:p>
        </w:tc>
        <w:tc>
          <w:tcPr>
            <w:tcW w:w="320" w:type="dxa"/>
            <w:vAlign w:val="bottom"/>
            <w:shd w:val="clear" w:color="auto" w:fill="D4F1F5"/>
          </w:tcPr>
          <w:p>
            <w:pPr>
              <w:spacing w:after="0"/>
              <w:rPr>
                <w:sz w:val="18"/>
                <w:szCs w:val="18"/>
                <w:color w:val="auto"/>
              </w:rPr>
            </w:pPr>
          </w:p>
        </w:tc>
        <w:tc>
          <w:tcPr>
            <w:tcW w:w="1040" w:type="dxa"/>
            <w:vAlign w:val="bottom"/>
            <w:shd w:val="clear" w:color="auto" w:fill="D4F1F5"/>
          </w:tcPr>
          <w:p>
            <w:pPr>
              <w:jc w:val="right"/>
              <w:spacing w:after="0"/>
              <w:rPr>
                <w:sz w:val="20"/>
                <w:szCs w:val="20"/>
                <w:color w:val="auto"/>
              </w:rPr>
            </w:pPr>
            <w:r>
              <w:rPr>
                <w:rFonts w:ascii="Arial" w:cs="Arial" w:eastAsia="Arial" w:hAnsi="Arial"/>
                <w:sz w:val="16"/>
                <w:szCs w:val="16"/>
                <w:color w:val="auto"/>
              </w:rPr>
              <w:t>(4)</w:t>
            </w:r>
          </w:p>
        </w:tc>
      </w:tr>
      <w:tr>
        <w:trPr>
          <w:trHeight w:val="215"/>
        </w:trPr>
        <w:tc>
          <w:tcPr>
            <w:tcW w:w="8520" w:type="dxa"/>
            <w:vAlign w:val="bottom"/>
          </w:tcPr>
          <w:p>
            <w:pPr>
              <w:ind w:left="20"/>
              <w:spacing w:after="0"/>
              <w:rPr>
                <w:sz w:val="20"/>
                <w:szCs w:val="20"/>
                <w:color w:val="auto"/>
              </w:rPr>
            </w:pPr>
            <w:r>
              <w:rPr>
                <w:rFonts w:ascii="Arial" w:cs="Arial" w:eastAsia="Arial" w:hAnsi="Arial"/>
                <w:sz w:val="16"/>
                <w:szCs w:val="16"/>
                <w:color w:val="auto"/>
              </w:rPr>
              <w:t>Write-offs</w:t>
            </w:r>
          </w:p>
        </w:tc>
        <w:tc>
          <w:tcPr>
            <w:tcW w:w="9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(42)</w:t>
            </w: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(48)</w:t>
            </w:r>
          </w:p>
        </w:tc>
      </w:tr>
      <w:tr>
        <w:trPr>
          <w:trHeight w:val="217"/>
        </w:trPr>
        <w:tc>
          <w:tcPr>
            <w:tcW w:w="8520" w:type="dxa"/>
            <w:vAlign w:val="bottom"/>
            <w:shd w:val="clear" w:color="auto" w:fill="D4F1F5"/>
          </w:tcPr>
          <w:p>
            <w:pPr>
              <w:ind w:left="20"/>
              <w:spacing w:after="0"/>
              <w:rPr>
                <w:sz w:val="20"/>
                <w:szCs w:val="20"/>
                <w:color w:val="auto"/>
              </w:rPr>
            </w:pPr>
            <w:r>
              <w:rPr>
                <w:rFonts w:ascii="Arial" w:cs="Arial" w:eastAsia="Arial" w:hAnsi="Arial"/>
                <w:sz w:val="16"/>
                <w:szCs w:val="16"/>
                <w:color w:val="auto"/>
              </w:rPr>
              <w:t>Reclassification to assets held for sale</w:t>
            </w:r>
          </w:p>
        </w:tc>
        <w:tc>
          <w:tcPr>
            <w:tcW w:w="920" w:type="dxa"/>
            <w:vAlign w:val="bottom"/>
            <w:tcBorders>
              <w:bottom w:val="single" w:sz="8" w:color="auto"/>
            </w:tcBorders>
            <w:shd w:val="clear" w:color="auto" w:fill="D4F1F5"/>
          </w:tcPr>
          <w:p>
            <w:pPr>
              <w:spacing w:after="0"/>
              <w:rPr>
                <w:sz w:val="18"/>
                <w:szCs w:val="18"/>
                <w:color w:val="auto"/>
              </w:rPr>
            </w:pPr>
          </w:p>
        </w:tc>
        <w:tc>
          <w:tcPr>
            <w:tcW w:w="440" w:type="dxa"/>
            <w:vAlign w:val="bottom"/>
            <w:tcBorders>
              <w:bottom w:val="single" w:sz="8" w:color="auto"/>
            </w:tcBorders>
            <w:shd w:val="clear" w:color="auto" w:fill="D4F1F5"/>
          </w:tcPr>
          <w:p>
            <w:pPr>
              <w:jc w:val="right"/>
              <w:spacing w:after="0"/>
              <w:rPr>
                <w:sz w:val="20"/>
                <w:szCs w:val="20"/>
                <w:color w:val="auto"/>
              </w:rPr>
            </w:pPr>
            <w:r>
              <w:rPr>
                <w:rFonts w:ascii="Arial" w:cs="Arial" w:eastAsia="Arial" w:hAnsi="Arial"/>
                <w:sz w:val="16"/>
                <w:szCs w:val="16"/>
                <w:color w:val="auto"/>
              </w:rPr>
              <w:t>7</w:t>
            </w:r>
          </w:p>
        </w:tc>
        <w:tc>
          <w:tcPr>
            <w:tcW w:w="320" w:type="dxa"/>
            <w:vAlign w:val="bottom"/>
            <w:tcBorders>
              <w:bottom w:val="single" w:sz="8" w:color="auto"/>
            </w:tcBorders>
            <w:shd w:val="clear" w:color="auto" w:fill="D4F1F5"/>
          </w:tcPr>
          <w:p>
            <w:pPr>
              <w:spacing w:after="0"/>
              <w:rPr>
                <w:sz w:val="18"/>
                <w:szCs w:val="18"/>
                <w:color w:val="auto"/>
              </w:rPr>
            </w:pPr>
          </w:p>
        </w:tc>
        <w:tc>
          <w:tcPr>
            <w:tcW w:w="1040" w:type="dxa"/>
            <w:vAlign w:val="bottom"/>
            <w:tcBorders>
              <w:bottom w:val="single" w:sz="8" w:color="auto"/>
            </w:tcBorders>
            <w:shd w:val="clear" w:color="auto" w:fill="D4F1F5"/>
          </w:tcPr>
          <w:p>
            <w:pPr>
              <w:jc w:val="right"/>
              <w:spacing w:after="0"/>
              <w:rPr>
                <w:sz w:val="20"/>
                <w:szCs w:val="20"/>
                <w:color w:val="auto"/>
              </w:rPr>
            </w:pPr>
            <w:r>
              <w:rPr>
                <w:rFonts w:ascii="Arial" w:cs="Arial" w:eastAsia="Arial" w:hAnsi="Arial"/>
                <w:sz w:val="16"/>
                <w:szCs w:val="16"/>
                <w:color w:val="auto"/>
              </w:rPr>
              <w:t>—</w:t>
            </w:r>
          </w:p>
        </w:tc>
      </w:tr>
      <w:tr>
        <w:trPr>
          <w:trHeight w:val="217"/>
        </w:trPr>
        <w:tc>
          <w:tcPr>
            <w:tcW w:w="85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Allowances for credit losses at March 31</w:t>
            </w:r>
          </w:p>
        </w:tc>
        <w:tc>
          <w:tcPr>
            <w:tcW w:w="920" w:type="dxa"/>
            <w:vAlign w:val="bottom"/>
            <w:tcBorders>
              <w:bottom w:val="single" w:sz="8" w:color="auto"/>
            </w:tcBorders>
          </w:tcPr>
          <w:p>
            <w:pPr>
              <w:jc w:val="right"/>
              <w:ind w:right="740"/>
              <w:spacing w:after="0"/>
              <w:rPr>
                <w:sz w:val="20"/>
                <w:szCs w:val="20"/>
                <w:color w:val="auto"/>
              </w:rPr>
            </w:pPr>
            <w:r>
              <w:rPr>
                <w:rFonts w:ascii="Arial" w:cs="Arial" w:eastAsia="Arial" w:hAnsi="Arial"/>
                <w:sz w:val="16"/>
                <w:szCs w:val="16"/>
                <w:color w:val="auto"/>
                <w:w w:val="89"/>
              </w:rPr>
              <w:t>$</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282</w:t>
            </w:r>
          </w:p>
        </w:tc>
        <w:tc>
          <w:tcPr>
            <w:tcW w:w="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467</w:t>
            </w:r>
          </w:p>
        </w:tc>
      </w:tr>
      <w:tr>
        <w:trPr>
          <w:trHeight w:val="216"/>
        </w:trPr>
        <w:tc>
          <w:tcPr>
            <w:tcW w:w="8520" w:type="dxa"/>
            <w:vAlign w:val="bottom"/>
            <w:shd w:val="clear" w:color="auto" w:fill="D4F1F5"/>
          </w:tcPr>
          <w:p>
            <w:pPr>
              <w:ind w:left="20"/>
              <w:spacing w:after="0"/>
              <w:rPr>
                <w:sz w:val="20"/>
                <w:szCs w:val="20"/>
                <w:color w:val="auto"/>
              </w:rPr>
            </w:pPr>
            <w:r>
              <w:rPr>
                <w:rFonts w:ascii="Arial" w:cs="Arial" w:eastAsia="Arial" w:hAnsi="Arial"/>
                <w:sz w:val="16"/>
                <w:szCs w:val="16"/>
                <w:b w:val="1"/>
                <w:bCs w:val="1"/>
                <w:color w:val="auto"/>
              </w:rPr>
              <w:t>SDG&amp;E:</w:t>
            </w:r>
          </w:p>
        </w:tc>
        <w:tc>
          <w:tcPr>
            <w:tcW w:w="920" w:type="dxa"/>
            <w:vAlign w:val="bottom"/>
            <w:shd w:val="clear" w:color="auto" w:fill="D4F1F5"/>
          </w:tcPr>
          <w:p>
            <w:pPr>
              <w:spacing w:after="0"/>
              <w:rPr>
                <w:sz w:val="18"/>
                <w:szCs w:val="18"/>
                <w:color w:val="auto"/>
              </w:rPr>
            </w:pPr>
          </w:p>
        </w:tc>
        <w:tc>
          <w:tcPr>
            <w:tcW w:w="440" w:type="dxa"/>
            <w:vAlign w:val="bottom"/>
            <w:shd w:val="clear" w:color="auto" w:fill="D4F1F5"/>
          </w:tcPr>
          <w:p>
            <w:pPr>
              <w:spacing w:after="0"/>
              <w:rPr>
                <w:sz w:val="18"/>
                <w:szCs w:val="18"/>
                <w:color w:val="auto"/>
              </w:rPr>
            </w:pPr>
          </w:p>
        </w:tc>
        <w:tc>
          <w:tcPr>
            <w:tcW w:w="320" w:type="dxa"/>
            <w:vAlign w:val="bottom"/>
            <w:shd w:val="clear" w:color="auto" w:fill="D4F1F5"/>
          </w:tcPr>
          <w:p>
            <w:pPr>
              <w:spacing w:after="0"/>
              <w:rPr>
                <w:sz w:val="18"/>
                <w:szCs w:val="18"/>
                <w:color w:val="auto"/>
              </w:rPr>
            </w:pPr>
          </w:p>
        </w:tc>
        <w:tc>
          <w:tcPr>
            <w:tcW w:w="1040" w:type="dxa"/>
            <w:vAlign w:val="bottom"/>
            <w:shd w:val="clear" w:color="auto" w:fill="D4F1F5"/>
          </w:tcPr>
          <w:p>
            <w:pPr>
              <w:spacing w:after="0"/>
              <w:rPr>
                <w:sz w:val="18"/>
                <w:szCs w:val="18"/>
                <w:color w:val="auto"/>
              </w:rPr>
            </w:pPr>
          </w:p>
        </w:tc>
      </w:tr>
      <w:tr>
        <w:trPr>
          <w:trHeight w:val="215"/>
        </w:trPr>
        <w:tc>
          <w:tcPr>
            <w:tcW w:w="8520" w:type="dxa"/>
            <w:vAlign w:val="bottom"/>
          </w:tcPr>
          <w:p>
            <w:pPr>
              <w:ind w:left="20"/>
              <w:spacing w:after="0"/>
              <w:rPr>
                <w:sz w:val="20"/>
                <w:szCs w:val="20"/>
                <w:color w:val="auto"/>
              </w:rPr>
            </w:pPr>
            <w:r>
              <w:rPr>
                <w:rFonts w:ascii="Arial" w:cs="Arial" w:eastAsia="Arial" w:hAnsi="Arial"/>
                <w:sz w:val="16"/>
                <w:szCs w:val="16"/>
                <w:color w:val="auto"/>
              </w:rPr>
              <w:t>Allowances for credit losses at January 1</w:t>
            </w:r>
          </w:p>
        </w:tc>
        <w:tc>
          <w:tcPr>
            <w:tcW w:w="920" w:type="dxa"/>
            <w:vAlign w:val="bottom"/>
          </w:tcPr>
          <w:p>
            <w:pPr>
              <w:jc w:val="right"/>
              <w:ind w:right="740"/>
              <w:spacing w:after="0"/>
              <w:rPr>
                <w:sz w:val="20"/>
                <w:szCs w:val="20"/>
                <w:color w:val="auto"/>
              </w:rPr>
            </w:pPr>
            <w:r>
              <w:rPr>
                <w:rFonts w:ascii="Arial" w:cs="Arial" w:eastAsia="Arial" w:hAnsi="Arial"/>
                <w:sz w:val="16"/>
                <w:szCs w:val="16"/>
                <w:color w:val="auto"/>
                <w:w w:val="89"/>
              </w:rPr>
              <w:t>$</w:t>
            </w:r>
          </w:p>
        </w:tc>
        <w:tc>
          <w:tcPr>
            <w:tcW w:w="440" w:type="dxa"/>
            <w:vAlign w:val="bottom"/>
          </w:tcPr>
          <w:p>
            <w:pPr>
              <w:jc w:val="right"/>
              <w:spacing w:after="0"/>
              <w:rPr>
                <w:sz w:val="20"/>
                <w:szCs w:val="20"/>
                <w:color w:val="auto"/>
              </w:rPr>
            </w:pPr>
            <w:r>
              <w:rPr>
                <w:rFonts w:ascii="Arial" w:cs="Arial" w:eastAsia="Arial" w:hAnsi="Arial"/>
                <w:sz w:val="16"/>
                <w:szCs w:val="16"/>
                <w:color w:val="auto"/>
              </w:rPr>
              <w:t>80</w:t>
            </w: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114</w:t>
            </w:r>
          </w:p>
        </w:tc>
      </w:tr>
      <w:tr>
        <w:trPr>
          <w:trHeight w:val="217"/>
        </w:trPr>
        <w:tc>
          <w:tcPr>
            <w:tcW w:w="8520" w:type="dxa"/>
            <w:vAlign w:val="bottom"/>
            <w:shd w:val="clear" w:color="auto" w:fill="D4F1F5"/>
          </w:tcPr>
          <w:p>
            <w:pPr>
              <w:ind w:left="20"/>
              <w:spacing w:after="0"/>
              <w:rPr>
                <w:sz w:val="20"/>
                <w:szCs w:val="20"/>
                <w:color w:val="auto"/>
              </w:rPr>
            </w:pPr>
            <w:r>
              <w:rPr>
                <w:rFonts w:ascii="Arial" w:cs="Arial" w:eastAsia="Arial" w:hAnsi="Arial"/>
                <w:sz w:val="16"/>
                <w:szCs w:val="16"/>
                <w:color w:val="auto"/>
              </w:rPr>
              <w:t>Provisions for expected credit losses</w:t>
            </w:r>
          </w:p>
        </w:tc>
        <w:tc>
          <w:tcPr>
            <w:tcW w:w="920" w:type="dxa"/>
            <w:vAlign w:val="bottom"/>
            <w:shd w:val="clear" w:color="auto" w:fill="D4F1F5"/>
          </w:tcPr>
          <w:p>
            <w:pPr>
              <w:spacing w:after="0"/>
              <w:rPr>
                <w:sz w:val="18"/>
                <w:szCs w:val="18"/>
                <w:color w:val="auto"/>
              </w:rPr>
            </w:pPr>
          </w:p>
        </w:tc>
        <w:tc>
          <w:tcPr>
            <w:tcW w:w="440" w:type="dxa"/>
            <w:vAlign w:val="bottom"/>
            <w:shd w:val="clear" w:color="auto" w:fill="D4F1F5"/>
          </w:tcPr>
          <w:p>
            <w:pPr>
              <w:jc w:val="right"/>
              <w:spacing w:after="0"/>
              <w:rPr>
                <w:sz w:val="20"/>
                <w:szCs w:val="20"/>
                <w:color w:val="auto"/>
              </w:rPr>
            </w:pPr>
            <w:r>
              <w:rPr>
                <w:rFonts w:ascii="Arial" w:cs="Arial" w:eastAsia="Arial" w:hAnsi="Arial"/>
                <w:sz w:val="16"/>
                <w:szCs w:val="16"/>
                <w:color w:val="auto"/>
              </w:rPr>
              <w:t>19</w:t>
            </w:r>
          </w:p>
        </w:tc>
        <w:tc>
          <w:tcPr>
            <w:tcW w:w="320" w:type="dxa"/>
            <w:vAlign w:val="bottom"/>
            <w:shd w:val="clear" w:color="auto" w:fill="D4F1F5"/>
          </w:tcPr>
          <w:p>
            <w:pPr>
              <w:spacing w:after="0"/>
              <w:rPr>
                <w:sz w:val="18"/>
                <w:szCs w:val="18"/>
                <w:color w:val="auto"/>
              </w:rPr>
            </w:pPr>
          </w:p>
        </w:tc>
        <w:tc>
          <w:tcPr>
            <w:tcW w:w="1040" w:type="dxa"/>
            <w:vAlign w:val="bottom"/>
            <w:shd w:val="clear" w:color="auto" w:fill="D4F1F5"/>
          </w:tcPr>
          <w:p>
            <w:pPr>
              <w:jc w:val="right"/>
              <w:spacing w:after="0"/>
              <w:rPr>
                <w:sz w:val="20"/>
                <w:szCs w:val="20"/>
                <w:color w:val="auto"/>
              </w:rPr>
            </w:pPr>
            <w:r>
              <w:rPr>
                <w:rFonts w:ascii="Arial" w:cs="Arial" w:eastAsia="Arial" w:hAnsi="Arial"/>
                <w:sz w:val="16"/>
                <w:szCs w:val="16"/>
                <w:color w:val="auto"/>
              </w:rPr>
              <w:t>15</w:t>
            </w:r>
          </w:p>
        </w:tc>
      </w:tr>
      <w:tr>
        <w:trPr>
          <w:trHeight w:val="215"/>
        </w:trPr>
        <w:tc>
          <w:tcPr>
            <w:tcW w:w="8520" w:type="dxa"/>
            <w:vAlign w:val="bottom"/>
            <w:tcBorders>
              <w:bottom w:val="single" w:sz="8" w:color="D4F1F5"/>
            </w:tcBorders>
          </w:tcPr>
          <w:p>
            <w:pPr>
              <w:ind w:left="20"/>
              <w:spacing w:after="0"/>
              <w:rPr>
                <w:sz w:val="20"/>
                <w:szCs w:val="20"/>
                <w:color w:val="auto"/>
              </w:rPr>
            </w:pPr>
            <w:r>
              <w:rPr>
                <w:rFonts w:ascii="Arial" w:cs="Arial" w:eastAsia="Arial" w:hAnsi="Arial"/>
                <w:sz w:val="16"/>
                <w:szCs w:val="16"/>
                <w:color w:val="auto"/>
              </w:rPr>
              <w:t>Write-offs</w:t>
            </w:r>
          </w:p>
        </w:tc>
        <w:tc>
          <w:tcPr>
            <w:tcW w:w="92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w:t>
            </w: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w:t>
            </w:r>
          </w:p>
        </w:tc>
      </w:tr>
      <w:tr>
        <w:trPr>
          <w:trHeight w:val="217"/>
        </w:trPr>
        <w:tc>
          <w:tcPr>
            <w:tcW w:w="8520" w:type="dxa"/>
            <w:vAlign w:val="bottom"/>
            <w:tcBorders>
              <w:bottom w:val="single" w:sz="8" w:color="auto"/>
            </w:tcBorders>
            <w:shd w:val="clear" w:color="auto" w:fill="D4F1F5"/>
          </w:tcPr>
          <w:p>
            <w:pPr>
              <w:ind w:left="20"/>
              <w:spacing w:after="0"/>
              <w:rPr>
                <w:sz w:val="20"/>
                <w:szCs w:val="20"/>
                <w:color w:val="auto"/>
              </w:rPr>
            </w:pPr>
            <w:r>
              <w:rPr>
                <w:rFonts w:ascii="Arial" w:cs="Arial" w:eastAsia="Arial" w:hAnsi="Arial"/>
                <w:sz w:val="16"/>
                <w:szCs w:val="16"/>
                <w:color w:val="auto"/>
              </w:rPr>
              <w:t>Allowances for credit losses at March 31</w:t>
            </w:r>
          </w:p>
        </w:tc>
        <w:tc>
          <w:tcPr>
            <w:tcW w:w="920" w:type="dxa"/>
            <w:vAlign w:val="bottom"/>
            <w:tcBorders>
              <w:bottom w:val="single" w:sz="8" w:color="auto"/>
            </w:tcBorders>
            <w:shd w:val="clear" w:color="auto" w:fill="D4F1F5"/>
          </w:tcPr>
          <w:p>
            <w:pPr>
              <w:jc w:val="right"/>
              <w:ind w:right="740"/>
              <w:spacing w:after="0"/>
              <w:rPr>
                <w:sz w:val="20"/>
                <w:szCs w:val="20"/>
                <w:color w:val="auto"/>
              </w:rPr>
            </w:pPr>
            <w:r>
              <w:rPr>
                <w:rFonts w:ascii="Arial" w:cs="Arial" w:eastAsia="Arial" w:hAnsi="Arial"/>
                <w:sz w:val="16"/>
                <w:szCs w:val="16"/>
                <w:color w:val="auto"/>
                <w:w w:val="89"/>
              </w:rPr>
              <w:t>$</w:t>
            </w:r>
          </w:p>
        </w:tc>
        <w:tc>
          <w:tcPr>
            <w:tcW w:w="440" w:type="dxa"/>
            <w:vAlign w:val="bottom"/>
            <w:tcBorders>
              <w:bottom w:val="single" w:sz="8" w:color="auto"/>
            </w:tcBorders>
            <w:shd w:val="clear" w:color="auto" w:fill="D4F1F5"/>
          </w:tcPr>
          <w:p>
            <w:pPr>
              <w:jc w:val="right"/>
              <w:spacing w:after="0"/>
              <w:rPr>
                <w:sz w:val="20"/>
                <w:szCs w:val="20"/>
                <w:color w:val="auto"/>
              </w:rPr>
            </w:pPr>
            <w:r>
              <w:rPr>
                <w:rFonts w:ascii="Arial" w:cs="Arial" w:eastAsia="Arial" w:hAnsi="Arial"/>
                <w:sz w:val="16"/>
                <w:szCs w:val="16"/>
                <w:color w:val="auto"/>
              </w:rPr>
              <w:t>81</w:t>
            </w:r>
          </w:p>
        </w:tc>
        <w:tc>
          <w:tcPr>
            <w:tcW w:w="320" w:type="dxa"/>
            <w:vAlign w:val="bottom"/>
            <w:tcBorders>
              <w:bottom w:val="single" w:sz="8" w:color="auto"/>
            </w:tcBorders>
            <w:shd w:val="clear" w:color="auto" w:fill="D4F1F5"/>
          </w:tcPr>
          <w:p>
            <w:pPr>
              <w:jc w:val="right"/>
              <w:ind w:right="13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shd w:val="clear" w:color="auto" w:fill="D4F1F5"/>
          </w:tcPr>
          <w:p>
            <w:pPr>
              <w:jc w:val="right"/>
              <w:spacing w:after="0"/>
              <w:rPr>
                <w:sz w:val="20"/>
                <w:szCs w:val="20"/>
                <w:color w:val="auto"/>
              </w:rPr>
            </w:pPr>
            <w:r>
              <w:rPr>
                <w:rFonts w:ascii="Arial" w:cs="Arial" w:eastAsia="Arial" w:hAnsi="Arial"/>
                <w:sz w:val="16"/>
                <w:szCs w:val="16"/>
                <w:color w:val="auto"/>
              </w:rPr>
              <w:t>109</w:t>
            </w:r>
          </w:p>
        </w:tc>
      </w:tr>
      <w:tr>
        <w:trPr>
          <w:trHeight w:val="216"/>
        </w:trPr>
        <w:tc>
          <w:tcPr>
            <w:tcW w:w="8520" w:type="dxa"/>
            <w:vAlign w:val="bottom"/>
          </w:tcPr>
          <w:p>
            <w:pPr>
              <w:ind w:left="20"/>
              <w:spacing w:after="0"/>
              <w:rPr>
                <w:sz w:val="20"/>
                <w:szCs w:val="20"/>
                <w:color w:val="auto"/>
              </w:rPr>
            </w:pPr>
            <w:r>
              <w:rPr>
                <w:rFonts w:ascii="Arial" w:cs="Arial" w:eastAsia="Arial" w:hAnsi="Arial"/>
                <w:sz w:val="16"/>
                <w:szCs w:val="16"/>
                <w:b w:val="1"/>
                <w:bCs w:val="1"/>
                <w:color w:val="auto"/>
              </w:rPr>
              <w:t>SoCalGas:</w:t>
            </w:r>
          </w:p>
        </w:tc>
        <w:tc>
          <w:tcPr>
            <w:tcW w:w="9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16"/>
        </w:trPr>
        <w:tc>
          <w:tcPr>
            <w:tcW w:w="8520" w:type="dxa"/>
            <w:vAlign w:val="bottom"/>
            <w:shd w:val="clear" w:color="auto" w:fill="D4F1F5"/>
          </w:tcPr>
          <w:p>
            <w:pPr>
              <w:ind w:left="20"/>
              <w:spacing w:after="0"/>
              <w:rPr>
                <w:sz w:val="20"/>
                <w:szCs w:val="20"/>
                <w:color w:val="auto"/>
              </w:rPr>
            </w:pPr>
            <w:r>
              <w:rPr>
                <w:rFonts w:ascii="Arial" w:cs="Arial" w:eastAsia="Arial" w:hAnsi="Arial"/>
                <w:sz w:val="16"/>
                <w:szCs w:val="16"/>
                <w:color w:val="auto"/>
              </w:rPr>
              <w:t>Allowances for credit losses at January 1</w:t>
            </w:r>
          </w:p>
        </w:tc>
        <w:tc>
          <w:tcPr>
            <w:tcW w:w="920" w:type="dxa"/>
            <w:vAlign w:val="bottom"/>
            <w:shd w:val="clear" w:color="auto" w:fill="D4F1F5"/>
          </w:tcPr>
          <w:p>
            <w:pPr>
              <w:jc w:val="right"/>
              <w:ind w:right="740"/>
              <w:spacing w:after="0"/>
              <w:rPr>
                <w:sz w:val="20"/>
                <w:szCs w:val="20"/>
                <w:color w:val="auto"/>
              </w:rPr>
            </w:pPr>
            <w:r>
              <w:rPr>
                <w:rFonts w:ascii="Arial" w:cs="Arial" w:eastAsia="Arial" w:hAnsi="Arial"/>
                <w:sz w:val="16"/>
                <w:szCs w:val="16"/>
                <w:color w:val="auto"/>
                <w:w w:val="89"/>
              </w:rPr>
              <w:t>$</w:t>
            </w:r>
          </w:p>
        </w:tc>
        <w:tc>
          <w:tcPr>
            <w:tcW w:w="440" w:type="dxa"/>
            <w:vAlign w:val="bottom"/>
            <w:shd w:val="clear" w:color="auto" w:fill="D4F1F5"/>
          </w:tcPr>
          <w:p>
            <w:pPr>
              <w:jc w:val="right"/>
              <w:spacing w:after="0"/>
              <w:rPr>
                <w:sz w:val="20"/>
                <w:szCs w:val="20"/>
                <w:color w:val="auto"/>
              </w:rPr>
            </w:pPr>
            <w:r>
              <w:rPr>
                <w:rFonts w:ascii="Arial" w:cs="Arial" w:eastAsia="Arial" w:hAnsi="Arial"/>
                <w:sz w:val="16"/>
                <w:szCs w:val="16"/>
                <w:color w:val="auto"/>
              </w:rPr>
              <w:t>214</w:t>
            </w:r>
          </w:p>
        </w:tc>
        <w:tc>
          <w:tcPr>
            <w:tcW w:w="320" w:type="dxa"/>
            <w:vAlign w:val="bottom"/>
            <w:shd w:val="clear" w:color="auto" w:fill="D4F1F5"/>
          </w:tcPr>
          <w:p>
            <w:pPr>
              <w:jc w:val="right"/>
              <w:ind w:right="139"/>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D4F1F5"/>
          </w:tcPr>
          <w:p>
            <w:pPr>
              <w:jc w:val="right"/>
              <w:spacing w:after="0"/>
              <w:rPr>
                <w:sz w:val="20"/>
                <w:szCs w:val="20"/>
                <w:color w:val="auto"/>
              </w:rPr>
            </w:pPr>
            <w:r>
              <w:rPr>
                <w:rFonts w:ascii="Arial" w:cs="Arial" w:eastAsia="Arial" w:hAnsi="Arial"/>
                <w:sz w:val="16"/>
                <w:szCs w:val="16"/>
                <w:color w:val="auto"/>
              </w:rPr>
              <w:t>285</w:t>
            </w:r>
          </w:p>
        </w:tc>
      </w:tr>
      <w:tr>
        <w:trPr>
          <w:trHeight w:val="215"/>
        </w:trPr>
        <w:tc>
          <w:tcPr>
            <w:tcW w:w="8520" w:type="dxa"/>
            <w:vAlign w:val="bottom"/>
          </w:tcPr>
          <w:p>
            <w:pPr>
              <w:ind w:left="20"/>
              <w:spacing w:after="0"/>
              <w:rPr>
                <w:sz w:val="20"/>
                <w:szCs w:val="20"/>
                <w:color w:val="auto"/>
              </w:rPr>
            </w:pPr>
            <w:r>
              <w:rPr>
                <w:rFonts w:ascii="Arial" w:cs="Arial" w:eastAsia="Arial" w:hAnsi="Arial"/>
                <w:sz w:val="16"/>
                <w:szCs w:val="16"/>
                <w:color w:val="auto"/>
              </w:rPr>
              <w:t>Provisions for expected credit losses</w:t>
            </w:r>
          </w:p>
        </w:tc>
        <w:tc>
          <w:tcPr>
            <w:tcW w:w="9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7</w:t>
            </w: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9</w:t>
            </w:r>
          </w:p>
        </w:tc>
      </w:tr>
      <w:tr>
        <w:trPr>
          <w:trHeight w:val="217"/>
        </w:trPr>
        <w:tc>
          <w:tcPr>
            <w:tcW w:w="8520" w:type="dxa"/>
            <w:vAlign w:val="bottom"/>
            <w:shd w:val="clear" w:color="auto" w:fill="D4F1F5"/>
          </w:tcPr>
          <w:p>
            <w:pPr>
              <w:ind w:left="20"/>
              <w:spacing w:after="0"/>
              <w:rPr>
                <w:sz w:val="20"/>
                <w:szCs w:val="20"/>
                <w:color w:val="auto"/>
              </w:rPr>
            </w:pPr>
            <w:r>
              <w:rPr>
                <w:rFonts w:ascii="Arial" w:cs="Arial" w:eastAsia="Arial" w:hAnsi="Arial"/>
                <w:sz w:val="16"/>
                <w:szCs w:val="16"/>
                <w:color w:val="auto"/>
              </w:rPr>
              <w:t>Write-offs</w:t>
            </w:r>
          </w:p>
        </w:tc>
        <w:tc>
          <w:tcPr>
            <w:tcW w:w="920" w:type="dxa"/>
            <w:vAlign w:val="bottom"/>
            <w:tcBorders>
              <w:bottom w:val="single" w:sz="8" w:color="auto"/>
            </w:tcBorders>
            <w:shd w:val="clear" w:color="auto" w:fill="D4F1F5"/>
          </w:tcPr>
          <w:p>
            <w:pPr>
              <w:spacing w:after="0"/>
              <w:rPr>
                <w:sz w:val="18"/>
                <w:szCs w:val="18"/>
                <w:color w:val="auto"/>
              </w:rPr>
            </w:pPr>
          </w:p>
        </w:tc>
        <w:tc>
          <w:tcPr>
            <w:tcW w:w="440" w:type="dxa"/>
            <w:vAlign w:val="bottom"/>
            <w:tcBorders>
              <w:bottom w:val="single" w:sz="8" w:color="auto"/>
            </w:tcBorders>
            <w:shd w:val="clear" w:color="auto" w:fill="D4F1F5"/>
          </w:tcPr>
          <w:p>
            <w:pPr>
              <w:jc w:val="right"/>
              <w:spacing w:after="0"/>
              <w:rPr>
                <w:sz w:val="20"/>
                <w:szCs w:val="20"/>
                <w:color w:val="auto"/>
              </w:rPr>
            </w:pPr>
            <w:r>
              <w:rPr>
                <w:rFonts w:ascii="Arial" w:cs="Arial" w:eastAsia="Arial" w:hAnsi="Arial"/>
                <w:sz w:val="16"/>
                <w:szCs w:val="16"/>
                <w:color w:val="auto"/>
              </w:rPr>
              <w:t>(24)</w:t>
            </w:r>
          </w:p>
        </w:tc>
        <w:tc>
          <w:tcPr>
            <w:tcW w:w="320" w:type="dxa"/>
            <w:vAlign w:val="bottom"/>
            <w:tcBorders>
              <w:bottom w:val="single" w:sz="8" w:color="auto"/>
            </w:tcBorders>
            <w:shd w:val="clear" w:color="auto" w:fill="D4F1F5"/>
          </w:tcPr>
          <w:p>
            <w:pPr>
              <w:spacing w:after="0"/>
              <w:rPr>
                <w:sz w:val="18"/>
                <w:szCs w:val="18"/>
                <w:color w:val="auto"/>
              </w:rPr>
            </w:pPr>
          </w:p>
        </w:tc>
        <w:tc>
          <w:tcPr>
            <w:tcW w:w="1040" w:type="dxa"/>
            <w:vAlign w:val="bottom"/>
            <w:tcBorders>
              <w:bottom w:val="single" w:sz="8" w:color="auto"/>
            </w:tcBorders>
            <w:shd w:val="clear" w:color="auto" w:fill="D4F1F5"/>
          </w:tcPr>
          <w:p>
            <w:pPr>
              <w:jc w:val="right"/>
              <w:spacing w:after="0"/>
              <w:rPr>
                <w:sz w:val="20"/>
                <w:szCs w:val="20"/>
                <w:color w:val="auto"/>
              </w:rPr>
            </w:pPr>
            <w:r>
              <w:rPr>
                <w:rFonts w:ascii="Arial" w:cs="Arial" w:eastAsia="Arial" w:hAnsi="Arial"/>
                <w:sz w:val="16"/>
                <w:szCs w:val="16"/>
                <w:color w:val="auto"/>
              </w:rPr>
              <w:t>(28)</w:t>
            </w:r>
          </w:p>
        </w:tc>
      </w:tr>
      <w:tr>
        <w:trPr>
          <w:trHeight w:val="217"/>
        </w:trPr>
        <w:tc>
          <w:tcPr>
            <w:tcW w:w="85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Allowances for credit losses at March 31</w:t>
            </w:r>
          </w:p>
        </w:tc>
        <w:tc>
          <w:tcPr>
            <w:tcW w:w="920" w:type="dxa"/>
            <w:vAlign w:val="bottom"/>
            <w:tcBorders>
              <w:bottom w:val="single" w:sz="8" w:color="auto"/>
            </w:tcBorders>
          </w:tcPr>
          <w:p>
            <w:pPr>
              <w:jc w:val="right"/>
              <w:ind w:right="740"/>
              <w:spacing w:after="0"/>
              <w:rPr>
                <w:sz w:val="20"/>
                <w:szCs w:val="20"/>
                <w:color w:val="auto"/>
              </w:rPr>
            </w:pPr>
            <w:r>
              <w:rPr>
                <w:rFonts w:ascii="Arial" w:cs="Arial" w:eastAsia="Arial" w:hAnsi="Arial"/>
                <w:sz w:val="16"/>
                <w:szCs w:val="16"/>
                <w:color w:val="auto"/>
                <w:w w:val="89"/>
              </w:rPr>
              <w:t>$</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197</w:t>
            </w:r>
          </w:p>
        </w:tc>
        <w:tc>
          <w:tcPr>
            <w:tcW w:w="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266</w:t>
            </w:r>
          </w:p>
        </w:tc>
      </w:tr>
    </w:tbl>
    <w:p>
      <w:pPr>
        <w:spacing w:after="0" w:line="99" w:lineRule="exact"/>
        <w:rPr>
          <w:sz w:val="20"/>
          <w:szCs w:val="20"/>
          <w:color w:val="auto"/>
        </w:rPr>
      </w:pPr>
    </w:p>
    <w:p>
      <w:pPr>
        <w:spacing w:after="0"/>
        <w:rPr>
          <w:sz w:val="20"/>
          <w:szCs w:val="20"/>
          <w:color w:val="auto"/>
        </w:rPr>
      </w:pPr>
      <w:r>
        <w:rPr>
          <w:rFonts w:ascii="Arial" w:cs="Arial" w:eastAsia="Arial" w:hAnsi="Arial"/>
          <w:sz w:val="21"/>
          <w:szCs w:val="21"/>
          <w:i w:val="1"/>
          <w:iCs w:val="1"/>
          <w:color w:val="auto"/>
          <w:vertAlign w:val="superscript"/>
        </w:rPr>
        <w:t>(1)</w:t>
      </w:r>
      <w:r>
        <w:rPr>
          <w:rFonts w:ascii="Arial" w:cs="Arial" w:eastAsia="Arial" w:hAnsi="Arial"/>
          <w:sz w:val="14"/>
          <w:szCs w:val="14"/>
          <w:i w:val="1"/>
          <w:iCs w:val="1"/>
          <w:color w:val="auto"/>
        </w:rPr>
        <w:t xml:space="preserve">  Includes activities in 2026 within the disposal group that is classified as held for sale.</w:t>
      </w:r>
    </w:p>
    <w:p>
      <w:pPr>
        <w:spacing w:after="0" w:line="100" w:lineRule="exact"/>
        <w:rPr>
          <w:sz w:val="20"/>
          <w:szCs w:val="20"/>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Allowances for credit losses related to trade receivables, other receivables and a note receivable are included in the Condensed Consolidated Balance Sheets as follows:</w:t>
      </w:r>
    </w:p>
    <w:p>
      <w:pPr>
        <w:spacing w:after="0" w:line="112"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FFFFFF"/>
        </w:rPr>
        <w:t>ALLOWANCES FOR CREDIT LOSSES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-115570</wp:posOffset>
            </wp:positionV>
            <wp:extent cx="7132320" cy="26543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265430"/>
                    </a:xfrm>
                    <a:prstGeom prst="rect">
                      <a:avLst/>
                    </a:prstGeom>
                    <a:noFill/>
                  </pic:spPr>
                </pic:pic>
              </a:graphicData>
            </a:graphic>
          </wp:anchor>
        </w:drawing>
      </w:r>
    </w:p>
    <w:p>
      <w:pPr>
        <w:spacing w:after="0" w:line="19" w:lineRule="exact"/>
        <w:rPr>
          <w:sz w:val="20"/>
          <w:szCs w:val="20"/>
          <w:color w:val="auto"/>
        </w:rPr>
      </w:pPr>
    </w:p>
    <w:p>
      <w:pPr>
        <w:ind w:left="20"/>
        <w:spacing w:after="0"/>
        <w:rPr>
          <w:sz w:val="20"/>
          <w:szCs w:val="20"/>
          <w:color w:val="auto"/>
        </w:rPr>
      </w:pPr>
      <w:r>
        <w:rPr>
          <w:rFonts w:ascii="Arial" w:cs="Arial" w:eastAsia="Arial" w:hAnsi="Arial"/>
          <w:sz w:val="14"/>
          <w:szCs w:val="14"/>
          <w:i w:val="1"/>
          <w:iCs w:val="1"/>
          <w:color w:val="FFFFFF"/>
        </w:rPr>
        <w:t>(Dollars in millions)</w:t>
      </w:r>
    </w:p>
    <w:p>
      <w:pPr>
        <w:spacing w:after="0" w:line="5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5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March 31,</w:t>
            </w:r>
          </w:p>
        </w:tc>
        <w:tc>
          <w:tcPr>
            <w:tcW w:w="3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80" w:type="dxa"/>
            <w:vAlign w:val="bottom"/>
          </w:tcPr>
          <w:p>
            <w:pPr>
              <w:jc w:val="right"/>
              <w:ind w:right="140"/>
              <w:spacing w:after="0"/>
              <w:rPr>
                <w:sz w:val="20"/>
                <w:szCs w:val="20"/>
                <w:color w:val="auto"/>
              </w:rPr>
            </w:pPr>
            <w:r>
              <w:rPr>
                <w:rFonts w:ascii="Arial" w:cs="Arial" w:eastAsia="Arial" w:hAnsi="Arial"/>
                <w:sz w:val="14"/>
                <w:szCs w:val="14"/>
                <w:color w:val="auto"/>
              </w:rPr>
              <w:t>December 31,</w:t>
            </w:r>
          </w:p>
        </w:tc>
      </w:tr>
      <w:tr>
        <w:trPr>
          <w:trHeight w:val="220"/>
        </w:trPr>
        <w:tc>
          <w:tcPr>
            <w:tcW w:w="85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81"/>
              <w:spacing w:after="0"/>
              <w:rPr>
                <w:sz w:val="20"/>
                <w:szCs w:val="20"/>
                <w:color w:val="auto"/>
              </w:rPr>
            </w:pPr>
            <w:r>
              <w:rPr>
                <w:rFonts w:ascii="Arial" w:cs="Arial" w:eastAsia="Arial" w:hAnsi="Arial"/>
                <w:sz w:val="14"/>
                <w:szCs w:val="14"/>
                <w:color w:val="auto"/>
              </w:rPr>
              <w:t>2026</w:t>
            </w:r>
          </w:p>
        </w:tc>
        <w:tc>
          <w:tcPr>
            <w:tcW w:w="3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440"/>
              <w:spacing w:after="0"/>
              <w:rPr>
                <w:sz w:val="20"/>
                <w:szCs w:val="20"/>
                <w:color w:val="auto"/>
              </w:rPr>
            </w:pPr>
            <w:r>
              <w:rPr>
                <w:rFonts w:ascii="Arial" w:cs="Arial" w:eastAsia="Arial" w:hAnsi="Arial"/>
                <w:sz w:val="14"/>
                <w:szCs w:val="14"/>
                <w:color w:val="auto"/>
              </w:rPr>
              <w:t>2025</w:t>
            </w:r>
          </w:p>
        </w:tc>
      </w:tr>
      <w:tr>
        <w:trPr>
          <w:trHeight w:val="213"/>
        </w:trPr>
        <w:tc>
          <w:tcPr>
            <w:tcW w:w="8540" w:type="dxa"/>
            <w:vAlign w:val="bottom"/>
            <w:shd w:val="clear" w:color="auto" w:fill="D4F1F5"/>
          </w:tcPr>
          <w:p>
            <w:pPr>
              <w:ind w:left="20"/>
              <w:spacing w:after="0"/>
              <w:rPr>
                <w:sz w:val="20"/>
                <w:szCs w:val="20"/>
                <w:color w:val="auto"/>
              </w:rPr>
            </w:pPr>
            <w:r>
              <w:rPr>
                <w:rFonts w:ascii="Arial" w:cs="Arial" w:eastAsia="Arial" w:hAnsi="Arial"/>
                <w:sz w:val="16"/>
                <w:szCs w:val="16"/>
                <w:b w:val="1"/>
                <w:bCs w:val="1"/>
                <w:color w:val="auto"/>
              </w:rPr>
              <w:t>Sempra:</w:t>
            </w:r>
          </w:p>
        </w:tc>
        <w:tc>
          <w:tcPr>
            <w:tcW w:w="1000" w:type="dxa"/>
            <w:vAlign w:val="bottom"/>
            <w:shd w:val="clear" w:color="auto" w:fill="D4F1F5"/>
          </w:tcPr>
          <w:p>
            <w:pPr>
              <w:spacing w:after="0"/>
              <w:rPr>
                <w:sz w:val="18"/>
                <w:szCs w:val="18"/>
                <w:color w:val="auto"/>
              </w:rPr>
            </w:pPr>
          </w:p>
        </w:tc>
        <w:tc>
          <w:tcPr>
            <w:tcW w:w="320" w:type="dxa"/>
            <w:vAlign w:val="bottom"/>
            <w:shd w:val="clear" w:color="auto" w:fill="D4F1F5"/>
          </w:tcPr>
          <w:p>
            <w:pPr>
              <w:spacing w:after="0"/>
              <w:rPr>
                <w:sz w:val="18"/>
                <w:szCs w:val="18"/>
                <w:color w:val="auto"/>
              </w:rPr>
            </w:pPr>
          </w:p>
        </w:tc>
        <w:tc>
          <w:tcPr>
            <w:tcW w:w="200" w:type="dxa"/>
            <w:vAlign w:val="bottom"/>
            <w:shd w:val="clear" w:color="auto" w:fill="D4F1F5"/>
          </w:tcPr>
          <w:p>
            <w:pPr>
              <w:spacing w:after="0"/>
              <w:rPr>
                <w:sz w:val="18"/>
                <w:szCs w:val="18"/>
                <w:color w:val="auto"/>
              </w:rPr>
            </w:pPr>
          </w:p>
        </w:tc>
        <w:tc>
          <w:tcPr>
            <w:tcW w:w="1180" w:type="dxa"/>
            <w:vAlign w:val="bottom"/>
            <w:shd w:val="clear" w:color="auto" w:fill="D4F1F5"/>
          </w:tcPr>
          <w:p>
            <w:pPr>
              <w:spacing w:after="0"/>
              <w:rPr>
                <w:sz w:val="18"/>
                <w:szCs w:val="18"/>
                <w:color w:val="auto"/>
              </w:rPr>
            </w:pPr>
          </w:p>
        </w:tc>
      </w:tr>
      <w:tr>
        <w:trPr>
          <w:trHeight w:val="215"/>
        </w:trPr>
        <w:tc>
          <w:tcPr>
            <w:tcW w:w="8540" w:type="dxa"/>
            <w:vAlign w:val="bottom"/>
          </w:tcPr>
          <w:p>
            <w:pPr>
              <w:ind w:left="20"/>
              <w:spacing w:after="0"/>
              <w:rPr>
                <w:sz w:val="20"/>
                <w:szCs w:val="20"/>
                <w:color w:val="auto"/>
              </w:rPr>
            </w:pPr>
            <w:r>
              <w:rPr>
                <w:rFonts w:ascii="Arial" w:cs="Arial" w:eastAsia="Arial" w:hAnsi="Arial"/>
                <w:sz w:val="16"/>
                <w:szCs w:val="16"/>
                <w:color w:val="auto"/>
              </w:rPr>
              <w:t>Accounts receivable – trade, net</w:t>
            </w:r>
          </w:p>
        </w:tc>
        <w:tc>
          <w:tcPr>
            <w:tcW w:w="1000" w:type="dxa"/>
            <w:vAlign w:val="bottom"/>
          </w:tcPr>
          <w:p>
            <w:pPr>
              <w:jc w:val="right"/>
              <w:ind w:right="821"/>
              <w:spacing w:after="0"/>
              <w:rPr>
                <w:sz w:val="20"/>
                <w:szCs w:val="20"/>
                <w:color w:val="auto"/>
              </w:rPr>
            </w:pPr>
            <w:r>
              <w:rPr>
                <w:rFonts w:ascii="Arial" w:cs="Arial" w:eastAsia="Arial" w:hAnsi="Arial"/>
                <w:sz w:val="16"/>
                <w:szCs w:val="16"/>
                <w:color w:val="auto"/>
                <w:w w:val="89"/>
              </w:rPr>
              <w:t>$</w:t>
            </w:r>
          </w:p>
        </w:tc>
        <w:tc>
          <w:tcPr>
            <w:tcW w:w="320" w:type="dxa"/>
            <w:vAlign w:val="bottom"/>
          </w:tcPr>
          <w:p>
            <w:pPr>
              <w:jc w:val="right"/>
              <w:spacing w:after="0"/>
              <w:rPr>
                <w:sz w:val="20"/>
                <w:szCs w:val="20"/>
                <w:color w:val="auto"/>
              </w:rPr>
            </w:pPr>
            <w:r>
              <w:rPr>
                <w:rFonts w:ascii="Arial" w:cs="Arial" w:eastAsia="Arial" w:hAnsi="Arial"/>
                <w:sz w:val="16"/>
                <w:szCs w:val="16"/>
                <w:color w:val="auto"/>
                <w:w w:val="97"/>
              </w:rPr>
              <w:t>219</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235</w:t>
            </w:r>
          </w:p>
        </w:tc>
      </w:tr>
      <w:tr>
        <w:trPr>
          <w:trHeight w:val="217"/>
        </w:trPr>
        <w:tc>
          <w:tcPr>
            <w:tcW w:w="8540" w:type="dxa"/>
            <w:vAlign w:val="bottom"/>
            <w:shd w:val="clear" w:color="auto" w:fill="D4F1F5"/>
          </w:tcPr>
          <w:p>
            <w:pPr>
              <w:ind w:left="20"/>
              <w:spacing w:after="0"/>
              <w:rPr>
                <w:sz w:val="20"/>
                <w:szCs w:val="20"/>
                <w:color w:val="auto"/>
              </w:rPr>
            </w:pPr>
            <w:r>
              <w:rPr>
                <w:rFonts w:ascii="Arial" w:cs="Arial" w:eastAsia="Arial" w:hAnsi="Arial"/>
                <w:sz w:val="16"/>
                <w:szCs w:val="16"/>
                <w:color w:val="auto"/>
              </w:rPr>
              <w:t>Accounts receivable – other, net</w:t>
            </w:r>
          </w:p>
        </w:tc>
        <w:tc>
          <w:tcPr>
            <w:tcW w:w="1000" w:type="dxa"/>
            <w:vAlign w:val="bottom"/>
            <w:shd w:val="clear" w:color="auto" w:fill="D4F1F5"/>
          </w:tcPr>
          <w:p>
            <w:pPr>
              <w:spacing w:after="0"/>
              <w:rPr>
                <w:sz w:val="18"/>
                <w:szCs w:val="18"/>
                <w:color w:val="auto"/>
              </w:rPr>
            </w:pPr>
          </w:p>
        </w:tc>
        <w:tc>
          <w:tcPr>
            <w:tcW w:w="320" w:type="dxa"/>
            <w:vAlign w:val="bottom"/>
            <w:shd w:val="clear" w:color="auto" w:fill="D4F1F5"/>
          </w:tcPr>
          <w:p>
            <w:pPr>
              <w:jc w:val="right"/>
              <w:spacing w:after="0"/>
              <w:rPr>
                <w:sz w:val="20"/>
                <w:szCs w:val="20"/>
                <w:color w:val="auto"/>
              </w:rPr>
            </w:pPr>
            <w:r>
              <w:rPr>
                <w:rFonts w:ascii="Arial" w:cs="Arial" w:eastAsia="Arial" w:hAnsi="Arial"/>
                <w:sz w:val="16"/>
                <w:szCs w:val="16"/>
                <w:color w:val="auto"/>
              </w:rPr>
              <w:t>48</w:t>
            </w:r>
          </w:p>
        </w:tc>
        <w:tc>
          <w:tcPr>
            <w:tcW w:w="200" w:type="dxa"/>
            <w:vAlign w:val="bottom"/>
            <w:shd w:val="clear" w:color="auto" w:fill="D4F1F5"/>
          </w:tcPr>
          <w:p>
            <w:pPr>
              <w:spacing w:after="0"/>
              <w:rPr>
                <w:sz w:val="18"/>
                <w:szCs w:val="18"/>
                <w:color w:val="auto"/>
              </w:rPr>
            </w:pPr>
          </w:p>
        </w:tc>
        <w:tc>
          <w:tcPr>
            <w:tcW w:w="1180" w:type="dxa"/>
            <w:vAlign w:val="bottom"/>
            <w:shd w:val="clear" w:color="auto" w:fill="D4F1F5"/>
          </w:tcPr>
          <w:p>
            <w:pPr>
              <w:jc w:val="right"/>
              <w:spacing w:after="0"/>
              <w:rPr>
                <w:sz w:val="20"/>
                <w:szCs w:val="20"/>
                <w:color w:val="auto"/>
              </w:rPr>
            </w:pPr>
            <w:r>
              <w:rPr>
                <w:rFonts w:ascii="Arial" w:cs="Arial" w:eastAsia="Arial" w:hAnsi="Arial"/>
                <w:sz w:val="16"/>
                <w:szCs w:val="16"/>
                <w:color w:val="auto"/>
              </w:rPr>
              <w:t>47</w:t>
            </w:r>
          </w:p>
        </w:tc>
      </w:tr>
      <w:tr>
        <w:trPr>
          <w:trHeight w:val="216"/>
        </w:trPr>
        <w:tc>
          <w:tcPr>
            <w:tcW w:w="8540" w:type="dxa"/>
            <w:vAlign w:val="bottom"/>
            <w:tcBorders>
              <w:bottom w:val="single" w:sz="8" w:color="D4F1F5"/>
            </w:tcBorders>
          </w:tcPr>
          <w:p>
            <w:pPr>
              <w:ind w:left="20"/>
              <w:spacing w:after="0" w:line="216" w:lineRule="exact"/>
              <w:rPr>
                <w:sz w:val="20"/>
                <w:szCs w:val="20"/>
                <w:color w:val="auto"/>
              </w:rPr>
            </w:pPr>
            <w:r>
              <w:rPr>
                <w:rFonts w:ascii="Arial" w:cs="Arial" w:eastAsia="Arial" w:hAnsi="Arial"/>
                <w:sz w:val="16"/>
                <w:szCs w:val="16"/>
                <w:color w:val="auto"/>
              </w:rPr>
              <w:t>Other long-term assets</w:t>
            </w:r>
            <w:r>
              <w:rPr>
                <w:rFonts w:ascii="Arial" w:cs="Arial" w:eastAsia="Arial" w:hAnsi="Arial"/>
                <w:sz w:val="21"/>
                <w:szCs w:val="21"/>
                <w:color w:val="auto"/>
                <w:vertAlign w:val="superscript"/>
              </w:rPr>
              <w:t>(1)(2)</w:t>
            </w:r>
          </w:p>
        </w:tc>
        <w:tc>
          <w:tcPr>
            <w:tcW w:w="100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w:t>
            </w:r>
          </w:p>
        </w:tc>
        <w:tc>
          <w:tcPr>
            <w:tcW w:w="2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w:t>
            </w:r>
          </w:p>
        </w:tc>
      </w:tr>
      <w:tr>
        <w:trPr>
          <w:trHeight w:val="217"/>
        </w:trPr>
        <w:tc>
          <w:tcPr>
            <w:tcW w:w="8540" w:type="dxa"/>
            <w:vAlign w:val="bottom"/>
            <w:tcBorders>
              <w:bottom w:val="single" w:sz="8" w:color="auto"/>
            </w:tcBorders>
            <w:shd w:val="clear" w:color="auto" w:fill="D4F1F5"/>
          </w:tcPr>
          <w:p>
            <w:pPr>
              <w:ind w:left="20"/>
              <w:spacing w:after="0"/>
              <w:rPr>
                <w:sz w:val="20"/>
                <w:szCs w:val="20"/>
                <w:color w:val="auto"/>
              </w:rPr>
            </w:pPr>
            <w:r>
              <w:rPr>
                <w:rFonts w:ascii="Arial" w:cs="Arial" w:eastAsia="Arial" w:hAnsi="Arial"/>
                <w:sz w:val="16"/>
                <w:szCs w:val="16"/>
                <w:color w:val="auto"/>
              </w:rPr>
              <w:t>Total allowances for credit losses</w:t>
            </w:r>
          </w:p>
        </w:tc>
        <w:tc>
          <w:tcPr>
            <w:tcW w:w="1000" w:type="dxa"/>
            <w:vAlign w:val="bottom"/>
            <w:tcBorders>
              <w:bottom w:val="single" w:sz="8" w:color="auto"/>
            </w:tcBorders>
            <w:shd w:val="clear" w:color="auto" w:fill="D4F1F5"/>
          </w:tcPr>
          <w:p>
            <w:pPr>
              <w:jc w:val="right"/>
              <w:ind w:right="821"/>
              <w:spacing w:after="0"/>
              <w:rPr>
                <w:sz w:val="20"/>
                <w:szCs w:val="20"/>
                <w:color w:val="auto"/>
              </w:rPr>
            </w:pPr>
            <w:r>
              <w:rPr>
                <w:rFonts w:ascii="Arial" w:cs="Arial" w:eastAsia="Arial" w:hAnsi="Arial"/>
                <w:sz w:val="16"/>
                <w:szCs w:val="16"/>
                <w:color w:val="auto"/>
                <w:w w:val="89"/>
              </w:rPr>
              <w:t>$</w:t>
            </w:r>
          </w:p>
        </w:tc>
        <w:tc>
          <w:tcPr>
            <w:tcW w:w="320" w:type="dxa"/>
            <w:vAlign w:val="bottom"/>
            <w:tcBorders>
              <w:bottom w:val="single" w:sz="8" w:color="auto"/>
            </w:tcBorders>
            <w:shd w:val="clear" w:color="auto" w:fill="D4F1F5"/>
          </w:tcPr>
          <w:p>
            <w:pPr>
              <w:jc w:val="right"/>
              <w:spacing w:after="0"/>
              <w:rPr>
                <w:sz w:val="20"/>
                <w:szCs w:val="20"/>
                <w:color w:val="auto"/>
              </w:rPr>
            </w:pPr>
            <w:r>
              <w:rPr>
                <w:rFonts w:ascii="Arial" w:cs="Arial" w:eastAsia="Arial" w:hAnsi="Arial"/>
                <w:sz w:val="16"/>
                <w:szCs w:val="16"/>
                <w:color w:val="auto"/>
                <w:w w:val="97"/>
              </w:rPr>
              <w:t>282</w:t>
            </w:r>
          </w:p>
        </w:tc>
        <w:tc>
          <w:tcPr>
            <w:tcW w:w="200" w:type="dxa"/>
            <w:vAlign w:val="bottom"/>
            <w:tcBorders>
              <w:bottom w:val="single" w:sz="8" w:color="auto"/>
            </w:tcBorders>
            <w:shd w:val="clear" w:color="auto" w:fill="D4F1F5"/>
          </w:tcPr>
          <w:p>
            <w:pPr>
              <w:jc w:val="right"/>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shd w:val="clear" w:color="auto" w:fill="D4F1F5"/>
          </w:tcPr>
          <w:p>
            <w:pPr>
              <w:jc w:val="right"/>
              <w:spacing w:after="0"/>
              <w:rPr>
                <w:sz w:val="20"/>
                <w:szCs w:val="20"/>
                <w:color w:val="auto"/>
              </w:rPr>
            </w:pPr>
            <w:r>
              <w:rPr>
                <w:rFonts w:ascii="Arial" w:cs="Arial" w:eastAsia="Arial" w:hAnsi="Arial"/>
                <w:sz w:val="16"/>
                <w:szCs w:val="16"/>
                <w:color w:val="auto"/>
              </w:rPr>
              <w:t>298</w:t>
            </w:r>
          </w:p>
        </w:tc>
      </w:tr>
      <w:tr>
        <w:trPr>
          <w:trHeight w:val="216"/>
        </w:trPr>
        <w:tc>
          <w:tcPr>
            <w:tcW w:w="8540" w:type="dxa"/>
            <w:vAlign w:val="bottom"/>
          </w:tcPr>
          <w:p>
            <w:pPr>
              <w:ind w:left="20"/>
              <w:spacing w:after="0"/>
              <w:rPr>
                <w:sz w:val="20"/>
                <w:szCs w:val="20"/>
                <w:color w:val="auto"/>
              </w:rPr>
            </w:pPr>
            <w:r>
              <w:rPr>
                <w:rFonts w:ascii="Arial" w:cs="Arial" w:eastAsia="Arial" w:hAnsi="Arial"/>
                <w:sz w:val="16"/>
                <w:szCs w:val="16"/>
                <w:b w:val="1"/>
                <w:bCs w:val="1"/>
                <w:color w:val="auto"/>
              </w:rPr>
              <w:t>SDG&amp;E:</w:t>
            </w:r>
          </w:p>
        </w:tc>
        <w:tc>
          <w:tcPr>
            <w:tcW w:w="1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16"/>
        </w:trPr>
        <w:tc>
          <w:tcPr>
            <w:tcW w:w="8540" w:type="dxa"/>
            <w:vAlign w:val="bottom"/>
            <w:shd w:val="clear" w:color="auto" w:fill="D4F1F5"/>
          </w:tcPr>
          <w:p>
            <w:pPr>
              <w:ind w:left="20"/>
              <w:spacing w:after="0"/>
              <w:rPr>
                <w:sz w:val="20"/>
                <w:szCs w:val="20"/>
                <w:color w:val="auto"/>
              </w:rPr>
            </w:pPr>
            <w:r>
              <w:rPr>
                <w:rFonts w:ascii="Arial" w:cs="Arial" w:eastAsia="Arial" w:hAnsi="Arial"/>
                <w:sz w:val="16"/>
                <w:szCs w:val="16"/>
                <w:color w:val="auto"/>
              </w:rPr>
              <w:t>Accounts receivable – trade, net</w:t>
            </w:r>
          </w:p>
        </w:tc>
        <w:tc>
          <w:tcPr>
            <w:tcW w:w="1000" w:type="dxa"/>
            <w:vAlign w:val="bottom"/>
            <w:shd w:val="clear" w:color="auto" w:fill="D4F1F5"/>
          </w:tcPr>
          <w:p>
            <w:pPr>
              <w:jc w:val="right"/>
              <w:ind w:right="821"/>
              <w:spacing w:after="0"/>
              <w:rPr>
                <w:sz w:val="20"/>
                <w:szCs w:val="20"/>
                <w:color w:val="auto"/>
              </w:rPr>
            </w:pPr>
            <w:r>
              <w:rPr>
                <w:rFonts w:ascii="Arial" w:cs="Arial" w:eastAsia="Arial" w:hAnsi="Arial"/>
                <w:sz w:val="16"/>
                <w:szCs w:val="16"/>
                <w:color w:val="auto"/>
                <w:w w:val="89"/>
              </w:rPr>
              <w:t>$</w:t>
            </w:r>
          </w:p>
        </w:tc>
        <w:tc>
          <w:tcPr>
            <w:tcW w:w="320" w:type="dxa"/>
            <w:vAlign w:val="bottom"/>
            <w:shd w:val="clear" w:color="auto" w:fill="D4F1F5"/>
          </w:tcPr>
          <w:p>
            <w:pPr>
              <w:jc w:val="right"/>
              <w:spacing w:after="0"/>
              <w:rPr>
                <w:sz w:val="20"/>
                <w:szCs w:val="20"/>
                <w:color w:val="auto"/>
              </w:rPr>
            </w:pPr>
            <w:r>
              <w:rPr>
                <w:rFonts w:ascii="Arial" w:cs="Arial" w:eastAsia="Arial" w:hAnsi="Arial"/>
                <w:sz w:val="16"/>
                <w:szCs w:val="16"/>
                <w:color w:val="auto"/>
              </w:rPr>
              <w:t>50</w:t>
            </w:r>
          </w:p>
        </w:tc>
        <w:tc>
          <w:tcPr>
            <w:tcW w:w="200" w:type="dxa"/>
            <w:vAlign w:val="bottom"/>
            <w:shd w:val="clear" w:color="auto" w:fill="D4F1F5"/>
          </w:tcPr>
          <w:p>
            <w:pPr>
              <w:jc w:val="right"/>
              <w:spacing w:after="0"/>
              <w:rPr>
                <w:sz w:val="20"/>
                <w:szCs w:val="20"/>
                <w:color w:val="auto"/>
              </w:rPr>
            </w:pPr>
            <w:r>
              <w:rPr>
                <w:rFonts w:ascii="Arial" w:cs="Arial" w:eastAsia="Arial" w:hAnsi="Arial"/>
                <w:sz w:val="16"/>
                <w:szCs w:val="16"/>
                <w:color w:val="auto"/>
              </w:rPr>
              <w:t>$</w:t>
            </w:r>
          </w:p>
        </w:tc>
        <w:tc>
          <w:tcPr>
            <w:tcW w:w="1180" w:type="dxa"/>
            <w:vAlign w:val="bottom"/>
            <w:shd w:val="clear" w:color="auto" w:fill="D4F1F5"/>
          </w:tcPr>
          <w:p>
            <w:pPr>
              <w:jc w:val="right"/>
              <w:spacing w:after="0"/>
              <w:rPr>
                <w:sz w:val="20"/>
                <w:szCs w:val="20"/>
                <w:color w:val="auto"/>
              </w:rPr>
            </w:pPr>
            <w:r>
              <w:rPr>
                <w:rFonts w:ascii="Arial" w:cs="Arial" w:eastAsia="Arial" w:hAnsi="Arial"/>
                <w:sz w:val="16"/>
                <w:szCs w:val="16"/>
                <w:color w:val="auto"/>
              </w:rPr>
              <w:t>49</w:t>
            </w:r>
          </w:p>
        </w:tc>
      </w:tr>
      <w:tr>
        <w:trPr>
          <w:trHeight w:val="215"/>
        </w:trPr>
        <w:tc>
          <w:tcPr>
            <w:tcW w:w="8540" w:type="dxa"/>
            <w:vAlign w:val="bottom"/>
          </w:tcPr>
          <w:p>
            <w:pPr>
              <w:ind w:left="20"/>
              <w:spacing w:after="0"/>
              <w:rPr>
                <w:sz w:val="20"/>
                <w:szCs w:val="20"/>
                <w:color w:val="auto"/>
              </w:rPr>
            </w:pPr>
            <w:r>
              <w:rPr>
                <w:rFonts w:ascii="Arial" w:cs="Arial" w:eastAsia="Arial" w:hAnsi="Arial"/>
                <w:sz w:val="16"/>
                <w:szCs w:val="16"/>
                <w:color w:val="auto"/>
              </w:rPr>
              <w:t>Accounts receivable – other, net</w:t>
            </w:r>
          </w:p>
        </w:tc>
        <w:tc>
          <w:tcPr>
            <w:tcW w:w="100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6"/>
                <w:szCs w:val="16"/>
                <w:color w:val="auto"/>
              </w:rPr>
              <w:t>27</w:t>
            </w:r>
          </w:p>
        </w:tc>
        <w:tc>
          <w:tcPr>
            <w:tcW w:w="2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26</w:t>
            </w:r>
          </w:p>
        </w:tc>
      </w:tr>
      <w:tr>
        <w:trPr>
          <w:trHeight w:val="217"/>
        </w:trPr>
        <w:tc>
          <w:tcPr>
            <w:tcW w:w="8540" w:type="dxa"/>
            <w:vAlign w:val="bottom"/>
            <w:shd w:val="clear" w:color="auto" w:fill="D4F1F5"/>
          </w:tcPr>
          <w:p>
            <w:pPr>
              <w:ind w:left="20"/>
              <w:spacing w:after="0" w:line="217" w:lineRule="exact"/>
              <w:rPr>
                <w:sz w:val="20"/>
                <w:szCs w:val="20"/>
                <w:color w:val="auto"/>
              </w:rPr>
            </w:pPr>
            <w:r>
              <w:rPr>
                <w:rFonts w:ascii="Arial" w:cs="Arial" w:eastAsia="Arial" w:hAnsi="Arial"/>
                <w:sz w:val="16"/>
                <w:szCs w:val="16"/>
                <w:color w:val="auto"/>
              </w:rPr>
              <w:t>Other long-term assets</w:t>
            </w:r>
            <w:r>
              <w:rPr>
                <w:rFonts w:ascii="Arial" w:cs="Arial" w:eastAsia="Arial" w:hAnsi="Arial"/>
                <w:sz w:val="21"/>
                <w:szCs w:val="21"/>
                <w:color w:val="auto"/>
                <w:vertAlign w:val="superscript"/>
              </w:rPr>
              <w:t>(1)</w:t>
            </w:r>
          </w:p>
        </w:tc>
        <w:tc>
          <w:tcPr>
            <w:tcW w:w="1000" w:type="dxa"/>
            <w:vAlign w:val="bottom"/>
            <w:tcBorders>
              <w:bottom w:val="single" w:sz="8" w:color="auto"/>
            </w:tcBorders>
            <w:shd w:val="clear" w:color="auto" w:fill="D4F1F5"/>
          </w:tcPr>
          <w:p>
            <w:pPr>
              <w:spacing w:after="0"/>
              <w:rPr>
                <w:sz w:val="18"/>
                <w:szCs w:val="18"/>
                <w:color w:val="auto"/>
              </w:rPr>
            </w:pPr>
          </w:p>
        </w:tc>
        <w:tc>
          <w:tcPr>
            <w:tcW w:w="320" w:type="dxa"/>
            <w:vAlign w:val="bottom"/>
            <w:tcBorders>
              <w:bottom w:val="single" w:sz="8" w:color="auto"/>
            </w:tcBorders>
            <w:shd w:val="clear" w:color="auto" w:fill="D4F1F5"/>
          </w:tcPr>
          <w:p>
            <w:pPr>
              <w:jc w:val="right"/>
              <w:spacing w:after="0"/>
              <w:rPr>
                <w:sz w:val="20"/>
                <w:szCs w:val="20"/>
                <w:color w:val="auto"/>
              </w:rPr>
            </w:pPr>
            <w:r>
              <w:rPr>
                <w:rFonts w:ascii="Arial" w:cs="Arial" w:eastAsia="Arial" w:hAnsi="Arial"/>
                <w:sz w:val="16"/>
                <w:szCs w:val="16"/>
                <w:color w:val="auto"/>
              </w:rPr>
              <w:t>4</w:t>
            </w:r>
          </w:p>
        </w:tc>
        <w:tc>
          <w:tcPr>
            <w:tcW w:w="200" w:type="dxa"/>
            <w:vAlign w:val="bottom"/>
            <w:tcBorders>
              <w:bottom w:val="single" w:sz="8" w:color="auto"/>
            </w:tcBorders>
            <w:shd w:val="clear" w:color="auto" w:fill="D4F1F5"/>
          </w:tcPr>
          <w:p>
            <w:pPr>
              <w:spacing w:after="0"/>
              <w:rPr>
                <w:sz w:val="18"/>
                <w:szCs w:val="18"/>
                <w:color w:val="auto"/>
              </w:rPr>
            </w:pPr>
          </w:p>
        </w:tc>
        <w:tc>
          <w:tcPr>
            <w:tcW w:w="1180" w:type="dxa"/>
            <w:vAlign w:val="bottom"/>
            <w:tcBorders>
              <w:bottom w:val="single" w:sz="8" w:color="auto"/>
            </w:tcBorders>
            <w:shd w:val="clear" w:color="auto" w:fill="D4F1F5"/>
          </w:tcPr>
          <w:p>
            <w:pPr>
              <w:jc w:val="right"/>
              <w:spacing w:after="0"/>
              <w:rPr>
                <w:sz w:val="20"/>
                <w:szCs w:val="20"/>
                <w:color w:val="auto"/>
              </w:rPr>
            </w:pPr>
            <w:r>
              <w:rPr>
                <w:rFonts w:ascii="Arial" w:cs="Arial" w:eastAsia="Arial" w:hAnsi="Arial"/>
                <w:sz w:val="16"/>
                <w:szCs w:val="16"/>
                <w:color w:val="auto"/>
              </w:rPr>
              <w:t>5</w:t>
            </w:r>
          </w:p>
        </w:tc>
      </w:tr>
      <w:tr>
        <w:trPr>
          <w:trHeight w:val="217"/>
        </w:trPr>
        <w:tc>
          <w:tcPr>
            <w:tcW w:w="85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Total allowances for credit losses</w:t>
            </w:r>
          </w:p>
        </w:tc>
        <w:tc>
          <w:tcPr>
            <w:tcW w:w="1000" w:type="dxa"/>
            <w:vAlign w:val="bottom"/>
            <w:tcBorders>
              <w:bottom w:val="single" w:sz="8" w:color="auto"/>
            </w:tcBorders>
          </w:tcPr>
          <w:p>
            <w:pPr>
              <w:jc w:val="right"/>
              <w:ind w:right="821"/>
              <w:spacing w:after="0"/>
              <w:rPr>
                <w:sz w:val="20"/>
                <w:szCs w:val="20"/>
                <w:color w:val="auto"/>
              </w:rPr>
            </w:pPr>
            <w:r>
              <w:rPr>
                <w:rFonts w:ascii="Arial" w:cs="Arial" w:eastAsia="Arial" w:hAnsi="Arial"/>
                <w:sz w:val="16"/>
                <w:szCs w:val="16"/>
                <w:color w:val="auto"/>
                <w:w w:val="89"/>
              </w:rPr>
              <w:t>$</w:t>
            </w: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81</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80</w:t>
            </w:r>
          </w:p>
        </w:tc>
      </w:tr>
      <w:tr>
        <w:trPr>
          <w:trHeight w:val="216"/>
        </w:trPr>
        <w:tc>
          <w:tcPr>
            <w:tcW w:w="8540" w:type="dxa"/>
            <w:vAlign w:val="bottom"/>
            <w:shd w:val="clear" w:color="auto" w:fill="D4F1F5"/>
          </w:tcPr>
          <w:p>
            <w:pPr>
              <w:ind w:left="20"/>
              <w:spacing w:after="0"/>
              <w:rPr>
                <w:sz w:val="20"/>
                <w:szCs w:val="20"/>
                <w:color w:val="auto"/>
              </w:rPr>
            </w:pPr>
            <w:r>
              <w:rPr>
                <w:rFonts w:ascii="Arial" w:cs="Arial" w:eastAsia="Arial" w:hAnsi="Arial"/>
                <w:sz w:val="16"/>
                <w:szCs w:val="16"/>
                <w:b w:val="1"/>
                <w:bCs w:val="1"/>
                <w:color w:val="auto"/>
              </w:rPr>
              <w:t>SoCalGas:</w:t>
            </w:r>
          </w:p>
        </w:tc>
        <w:tc>
          <w:tcPr>
            <w:tcW w:w="1000" w:type="dxa"/>
            <w:vAlign w:val="bottom"/>
            <w:shd w:val="clear" w:color="auto" w:fill="D4F1F5"/>
          </w:tcPr>
          <w:p>
            <w:pPr>
              <w:spacing w:after="0"/>
              <w:rPr>
                <w:sz w:val="18"/>
                <w:szCs w:val="18"/>
                <w:color w:val="auto"/>
              </w:rPr>
            </w:pPr>
          </w:p>
        </w:tc>
        <w:tc>
          <w:tcPr>
            <w:tcW w:w="320" w:type="dxa"/>
            <w:vAlign w:val="bottom"/>
            <w:shd w:val="clear" w:color="auto" w:fill="D4F1F5"/>
          </w:tcPr>
          <w:p>
            <w:pPr>
              <w:spacing w:after="0"/>
              <w:rPr>
                <w:sz w:val="18"/>
                <w:szCs w:val="18"/>
                <w:color w:val="auto"/>
              </w:rPr>
            </w:pPr>
          </w:p>
        </w:tc>
        <w:tc>
          <w:tcPr>
            <w:tcW w:w="200" w:type="dxa"/>
            <w:vAlign w:val="bottom"/>
            <w:shd w:val="clear" w:color="auto" w:fill="D4F1F5"/>
          </w:tcPr>
          <w:p>
            <w:pPr>
              <w:spacing w:after="0"/>
              <w:rPr>
                <w:sz w:val="18"/>
                <w:szCs w:val="18"/>
                <w:color w:val="auto"/>
              </w:rPr>
            </w:pPr>
          </w:p>
        </w:tc>
        <w:tc>
          <w:tcPr>
            <w:tcW w:w="1180" w:type="dxa"/>
            <w:vAlign w:val="bottom"/>
            <w:shd w:val="clear" w:color="auto" w:fill="D4F1F5"/>
          </w:tcPr>
          <w:p>
            <w:pPr>
              <w:spacing w:after="0"/>
              <w:rPr>
                <w:sz w:val="18"/>
                <w:szCs w:val="18"/>
                <w:color w:val="auto"/>
              </w:rPr>
            </w:pPr>
          </w:p>
        </w:tc>
      </w:tr>
      <w:tr>
        <w:trPr>
          <w:trHeight w:val="215"/>
        </w:trPr>
        <w:tc>
          <w:tcPr>
            <w:tcW w:w="8540" w:type="dxa"/>
            <w:vAlign w:val="bottom"/>
          </w:tcPr>
          <w:p>
            <w:pPr>
              <w:ind w:left="20"/>
              <w:spacing w:after="0"/>
              <w:rPr>
                <w:sz w:val="20"/>
                <w:szCs w:val="20"/>
                <w:color w:val="auto"/>
              </w:rPr>
            </w:pPr>
            <w:r>
              <w:rPr>
                <w:rFonts w:ascii="Arial" w:cs="Arial" w:eastAsia="Arial" w:hAnsi="Arial"/>
                <w:sz w:val="16"/>
                <w:szCs w:val="16"/>
                <w:color w:val="auto"/>
              </w:rPr>
              <w:t>Accounts receivable – trade, net</w:t>
            </w:r>
          </w:p>
        </w:tc>
        <w:tc>
          <w:tcPr>
            <w:tcW w:w="1000" w:type="dxa"/>
            <w:vAlign w:val="bottom"/>
          </w:tcPr>
          <w:p>
            <w:pPr>
              <w:jc w:val="right"/>
              <w:ind w:right="821"/>
              <w:spacing w:after="0"/>
              <w:rPr>
                <w:sz w:val="20"/>
                <w:szCs w:val="20"/>
                <w:color w:val="auto"/>
              </w:rPr>
            </w:pPr>
            <w:r>
              <w:rPr>
                <w:rFonts w:ascii="Arial" w:cs="Arial" w:eastAsia="Arial" w:hAnsi="Arial"/>
                <w:sz w:val="16"/>
                <w:szCs w:val="16"/>
                <w:color w:val="auto"/>
                <w:w w:val="89"/>
              </w:rPr>
              <w:t>$</w:t>
            </w:r>
          </w:p>
        </w:tc>
        <w:tc>
          <w:tcPr>
            <w:tcW w:w="320" w:type="dxa"/>
            <w:vAlign w:val="bottom"/>
          </w:tcPr>
          <w:p>
            <w:pPr>
              <w:jc w:val="right"/>
              <w:spacing w:after="0"/>
              <w:rPr>
                <w:sz w:val="20"/>
                <w:szCs w:val="20"/>
                <w:color w:val="auto"/>
              </w:rPr>
            </w:pPr>
            <w:r>
              <w:rPr>
                <w:rFonts w:ascii="Arial" w:cs="Arial" w:eastAsia="Arial" w:hAnsi="Arial"/>
                <w:sz w:val="16"/>
                <w:szCs w:val="16"/>
                <w:color w:val="auto"/>
                <w:w w:val="97"/>
              </w:rPr>
              <w:t>169</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186</w:t>
            </w:r>
          </w:p>
        </w:tc>
      </w:tr>
      <w:tr>
        <w:trPr>
          <w:trHeight w:val="217"/>
        </w:trPr>
        <w:tc>
          <w:tcPr>
            <w:tcW w:w="8540" w:type="dxa"/>
            <w:vAlign w:val="bottom"/>
            <w:shd w:val="clear" w:color="auto" w:fill="D4F1F5"/>
          </w:tcPr>
          <w:p>
            <w:pPr>
              <w:ind w:left="20"/>
              <w:spacing w:after="0"/>
              <w:rPr>
                <w:sz w:val="20"/>
                <w:szCs w:val="20"/>
                <w:color w:val="auto"/>
              </w:rPr>
            </w:pPr>
            <w:r>
              <w:rPr>
                <w:rFonts w:ascii="Arial" w:cs="Arial" w:eastAsia="Arial" w:hAnsi="Arial"/>
                <w:sz w:val="16"/>
                <w:szCs w:val="16"/>
                <w:color w:val="auto"/>
              </w:rPr>
              <w:t>Accounts receivable – other, net</w:t>
            </w:r>
          </w:p>
        </w:tc>
        <w:tc>
          <w:tcPr>
            <w:tcW w:w="1000" w:type="dxa"/>
            <w:vAlign w:val="bottom"/>
            <w:shd w:val="clear" w:color="auto" w:fill="D4F1F5"/>
          </w:tcPr>
          <w:p>
            <w:pPr>
              <w:spacing w:after="0"/>
              <w:rPr>
                <w:sz w:val="18"/>
                <w:szCs w:val="18"/>
                <w:color w:val="auto"/>
              </w:rPr>
            </w:pPr>
          </w:p>
        </w:tc>
        <w:tc>
          <w:tcPr>
            <w:tcW w:w="320" w:type="dxa"/>
            <w:vAlign w:val="bottom"/>
            <w:shd w:val="clear" w:color="auto" w:fill="D4F1F5"/>
          </w:tcPr>
          <w:p>
            <w:pPr>
              <w:jc w:val="right"/>
              <w:spacing w:after="0"/>
              <w:rPr>
                <w:sz w:val="20"/>
                <w:szCs w:val="20"/>
                <w:color w:val="auto"/>
              </w:rPr>
            </w:pPr>
            <w:r>
              <w:rPr>
                <w:rFonts w:ascii="Arial" w:cs="Arial" w:eastAsia="Arial" w:hAnsi="Arial"/>
                <w:sz w:val="16"/>
                <w:szCs w:val="16"/>
                <w:color w:val="auto"/>
              </w:rPr>
              <w:t>21</w:t>
            </w:r>
          </w:p>
        </w:tc>
        <w:tc>
          <w:tcPr>
            <w:tcW w:w="200" w:type="dxa"/>
            <w:vAlign w:val="bottom"/>
            <w:shd w:val="clear" w:color="auto" w:fill="D4F1F5"/>
          </w:tcPr>
          <w:p>
            <w:pPr>
              <w:spacing w:after="0"/>
              <w:rPr>
                <w:sz w:val="18"/>
                <w:szCs w:val="18"/>
                <w:color w:val="auto"/>
              </w:rPr>
            </w:pPr>
          </w:p>
        </w:tc>
        <w:tc>
          <w:tcPr>
            <w:tcW w:w="1180" w:type="dxa"/>
            <w:vAlign w:val="bottom"/>
            <w:shd w:val="clear" w:color="auto" w:fill="D4F1F5"/>
          </w:tcPr>
          <w:p>
            <w:pPr>
              <w:jc w:val="right"/>
              <w:spacing w:after="0"/>
              <w:rPr>
                <w:sz w:val="20"/>
                <w:szCs w:val="20"/>
                <w:color w:val="auto"/>
              </w:rPr>
            </w:pPr>
            <w:r>
              <w:rPr>
                <w:rFonts w:ascii="Arial" w:cs="Arial" w:eastAsia="Arial" w:hAnsi="Arial"/>
                <w:sz w:val="16"/>
                <w:szCs w:val="16"/>
                <w:color w:val="auto"/>
              </w:rPr>
              <w:t>21</w:t>
            </w:r>
          </w:p>
        </w:tc>
      </w:tr>
      <w:tr>
        <w:trPr>
          <w:trHeight w:val="216"/>
        </w:trPr>
        <w:tc>
          <w:tcPr>
            <w:tcW w:w="8540" w:type="dxa"/>
            <w:vAlign w:val="bottom"/>
            <w:tcBorders>
              <w:bottom w:val="single" w:sz="8" w:color="D4F1F5"/>
            </w:tcBorders>
          </w:tcPr>
          <w:p>
            <w:pPr>
              <w:ind w:left="20"/>
              <w:spacing w:after="0" w:line="216" w:lineRule="exact"/>
              <w:rPr>
                <w:sz w:val="20"/>
                <w:szCs w:val="20"/>
                <w:color w:val="auto"/>
              </w:rPr>
            </w:pPr>
            <w:r>
              <w:rPr>
                <w:rFonts w:ascii="Arial" w:cs="Arial" w:eastAsia="Arial" w:hAnsi="Arial"/>
                <w:sz w:val="16"/>
                <w:szCs w:val="16"/>
                <w:color w:val="auto"/>
              </w:rPr>
              <w:t>Other long-term assets</w:t>
            </w:r>
            <w:r>
              <w:rPr>
                <w:rFonts w:ascii="Arial" w:cs="Arial" w:eastAsia="Arial" w:hAnsi="Arial"/>
                <w:sz w:val="21"/>
                <w:szCs w:val="21"/>
                <w:color w:val="auto"/>
                <w:vertAlign w:val="superscript"/>
              </w:rPr>
              <w:t>(1)</w:t>
            </w:r>
          </w:p>
        </w:tc>
        <w:tc>
          <w:tcPr>
            <w:tcW w:w="100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w:t>
            </w:r>
          </w:p>
        </w:tc>
        <w:tc>
          <w:tcPr>
            <w:tcW w:w="2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w:t>
            </w:r>
          </w:p>
        </w:tc>
      </w:tr>
      <w:tr>
        <w:trPr>
          <w:trHeight w:val="217"/>
        </w:trPr>
        <w:tc>
          <w:tcPr>
            <w:tcW w:w="8540" w:type="dxa"/>
            <w:vAlign w:val="bottom"/>
            <w:tcBorders>
              <w:bottom w:val="single" w:sz="8" w:color="auto"/>
            </w:tcBorders>
            <w:shd w:val="clear" w:color="auto" w:fill="D4F1F5"/>
          </w:tcPr>
          <w:p>
            <w:pPr>
              <w:ind w:left="20"/>
              <w:spacing w:after="0"/>
              <w:rPr>
                <w:sz w:val="20"/>
                <w:szCs w:val="20"/>
                <w:color w:val="auto"/>
              </w:rPr>
            </w:pPr>
            <w:r>
              <w:rPr>
                <w:rFonts w:ascii="Arial" w:cs="Arial" w:eastAsia="Arial" w:hAnsi="Arial"/>
                <w:sz w:val="16"/>
                <w:szCs w:val="16"/>
                <w:color w:val="auto"/>
              </w:rPr>
              <w:t>Total allowances for credit losses</w:t>
            </w:r>
          </w:p>
        </w:tc>
        <w:tc>
          <w:tcPr>
            <w:tcW w:w="1000" w:type="dxa"/>
            <w:vAlign w:val="bottom"/>
            <w:tcBorders>
              <w:bottom w:val="single" w:sz="8" w:color="auto"/>
            </w:tcBorders>
            <w:shd w:val="clear" w:color="auto" w:fill="D4F1F5"/>
          </w:tcPr>
          <w:p>
            <w:pPr>
              <w:jc w:val="right"/>
              <w:ind w:right="821"/>
              <w:spacing w:after="0"/>
              <w:rPr>
                <w:sz w:val="20"/>
                <w:szCs w:val="20"/>
                <w:color w:val="auto"/>
              </w:rPr>
            </w:pPr>
            <w:r>
              <w:rPr>
                <w:rFonts w:ascii="Arial" w:cs="Arial" w:eastAsia="Arial" w:hAnsi="Arial"/>
                <w:sz w:val="16"/>
                <w:szCs w:val="16"/>
                <w:color w:val="auto"/>
                <w:w w:val="89"/>
              </w:rPr>
              <w:t>$</w:t>
            </w:r>
          </w:p>
        </w:tc>
        <w:tc>
          <w:tcPr>
            <w:tcW w:w="320" w:type="dxa"/>
            <w:vAlign w:val="bottom"/>
            <w:tcBorders>
              <w:bottom w:val="single" w:sz="8" w:color="auto"/>
            </w:tcBorders>
            <w:shd w:val="clear" w:color="auto" w:fill="D4F1F5"/>
          </w:tcPr>
          <w:p>
            <w:pPr>
              <w:jc w:val="right"/>
              <w:spacing w:after="0"/>
              <w:rPr>
                <w:sz w:val="20"/>
                <w:szCs w:val="20"/>
                <w:color w:val="auto"/>
              </w:rPr>
            </w:pPr>
            <w:r>
              <w:rPr>
                <w:rFonts w:ascii="Arial" w:cs="Arial" w:eastAsia="Arial" w:hAnsi="Arial"/>
                <w:sz w:val="16"/>
                <w:szCs w:val="16"/>
                <w:color w:val="auto"/>
                <w:w w:val="97"/>
              </w:rPr>
              <w:t>197</w:t>
            </w:r>
          </w:p>
        </w:tc>
        <w:tc>
          <w:tcPr>
            <w:tcW w:w="200" w:type="dxa"/>
            <w:vAlign w:val="bottom"/>
            <w:tcBorders>
              <w:bottom w:val="single" w:sz="8" w:color="auto"/>
            </w:tcBorders>
            <w:shd w:val="clear" w:color="auto" w:fill="D4F1F5"/>
          </w:tcPr>
          <w:p>
            <w:pPr>
              <w:jc w:val="right"/>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shd w:val="clear" w:color="auto" w:fill="D4F1F5"/>
          </w:tcPr>
          <w:p>
            <w:pPr>
              <w:jc w:val="right"/>
              <w:spacing w:after="0"/>
              <w:rPr>
                <w:sz w:val="20"/>
                <w:szCs w:val="20"/>
                <w:color w:val="auto"/>
              </w:rPr>
            </w:pPr>
            <w:r>
              <w:rPr>
                <w:rFonts w:ascii="Arial" w:cs="Arial" w:eastAsia="Arial" w:hAnsi="Arial"/>
                <w:sz w:val="16"/>
                <w:szCs w:val="16"/>
                <w:color w:val="auto"/>
              </w:rPr>
              <w:t>214</w:t>
            </w:r>
          </w:p>
        </w:tc>
      </w:tr>
    </w:tbl>
    <w:p>
      <w:pPr>
        <w:spacing w:after="0" w:line="61" w:lineRule="exact"/>
        <w:rPr>
          <w:sz w:val="20"/>
          <w:szCs w:val="20"/>
          <w:color w:val="auto"/>
        </w:rPr>
      </w:pPr>
    </w:p>
    <w:p>
      <w:pPr>
        <w:ind w:left="260" w:hanging="252"/>
        <w:spacing w:after="0"/>
        <w:tabs>
          <w:tab w:leader="none" w:pos="260" w:val="left"/>
        </w:tabs>
        <w:numPr>
          <w:ilvl w:val="0"/>
          <w:numId w:val="7"/>
        </w:numPr>
        <w:rPr>
          <w:rFonts w:ascii="Arial" w:cs="Arial" w:eastAsia="Arial" w:hAnsi="Arial"/>
          <w:sz w:val="21"/>
          <w:szCs w:val="21"/>
          <w:i w:val="1"/>
          <w:iCs w:val="1"/>
          <w:color w:val="auto"/>
          <w:vertAlign w:val="superscript"/>
        </w:rPr>
      </w:pPr>
      <w:r>
        <w:rPr>
          <w:rFonts w:ascii="Arial" w:cs="Arial" w:eastAsia="Arial" w:hAnsi="Arial"/>
          <w:sz w:val="14"/>
          <w:szCs w:val="14"/>
          <w:i w:val="1"/>
          <w:iCs w:val="1"/>
          <w:color w:val="auto"/>
        </w:rPr>
        <w:t>In January 2024, the CPUC directed SDG&amp;E and SoCalGas to offer long-term payment plans to eligible residential customers with past-due balances.</w:t>
      </w:r>
    </w:p>
    <w:p>
      <w:pPr>
        <w:spacing w:after="0" w:line="39" w:lineRule="exact"/>
        <w:rPr>
          <w:rFonts w:ascii="Arial" w:cs="Arial" w:eastAsia="Arial" w:hAnsi="Arial"/>
          <w:sz w:val="21"/>
          <w:szCs w:val="21"/>
          <w:i w:val="1"/>
          <w:iCs w:val="1"/>
          <w:color w:val="auto"/>
          <w:vertAlign w:val="superscript"/>
        </w:rPr>
      </w:pPr>
    </w:p>
    <w:p>
      <w:pPr>
        <w:ind w:left="260" w:hanging="252"/>
        <w:spacing w:after="0" w:line="183" w:lineRule="auto"/>
        <w:tabs>
          <w:tab w:leader="none" w:pos="260" w:val="left"/>
        </w:tabs>
        <w:numPr>
          <w:ilvl w:val="0"/>
          <w:numId w:val="7"/>
        </w:numPr>
        <w:rPr>
          <w:rFonts w:ascii="Arial" w:cs="Arial" w:eastAsia="Arial" w:hAnsi="Arial"/>
          <w:sz w:val="20"/>
          <w:szCs w:val="20"/>
          <w:i w:val="1"/>
          <w:iCs w:val="1"/>
          <w:color w:val="auto"/>
          <w:vertAlign w:val="superscript"/>
        </w:rPr>
      </w:pPr>
      <w:r>
        <w:rPr>
          <w:rFonts w:ascii="Arial" w:cs="Arial" w:eastAsia="Arial" w:hAnsi="Arial"/>
          <w:sz w:val="14"/>
          <w:szCs w:val="14"/>
          <w:i w:val="1"/>
          <w:iCs w:val="1"/>
          <w:color w:val="auto"/>
        </w:rPr>
        <w:t>At both March 31, 2026 and December 31, 2025, includes $4 of expected credit losses on an interest-bearing promissory note due from KKR Pinnacle.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Off-Balance Sheet Credit Exposures</w:t>
      </w:r>
    </w:p>
    <w:p>
      <w:pPr>
        <w:spacing w:after="0" w:line="49" w:lineRule="exact"/>
        <w:rPr>
          <w:sz w:val="20"/>
          <w:szCs w:val="20"/>
          <w:color w:val="auto"/>
        </w:rPr>
      </w:pPr>
    </w:p>
    <w:p>
      <w:pPr>
        <w:ind w:right="140"/>
        <w:spacing w:after="0" w:line="285" w:lineRule="auto"/>
        <w:rPr>
          <w:sz w:val="20"/>
          <w:szCs w:val="20"/>
          <w:color w:val="auto"/>
        </w:rPr>
      </w:pPr>
      <w:r>
        <w:rPr>
          <w:rFonts w:ascii="Times New Roman" w:cs="Times New Roman" w:eastAsia="Times New Roman" w:hAnsi="Times New Roman"/>
          <w:sz w:val="17"/>
          <w:szCs w:val="17"/>
          <w:color w:val="auto"/>
        </w:rPr>
        <w:t>We are exposed to credit losses from off-balance sheet arrangements through Sempra’s guarantees related to the SDSRA and SI Partners’ February 2025 credit support agreement, which we discuss in Note 13. On a quarterly basis, we evaluate credit losses and record liabilities for expected credit losses on our off-balance sheet arrangements based on external credit ratings, published default rate studies and the maturity date of the arrangements. On Sempra’s Condensed Consolidated Balance Sheets, expected credit losses of $5 million are included in Deferred Credits and Other at both March 31, 2026 and December 31, 2025, and $1 million and $2 million are included in Liabilities Held for Sale at March 31, 2026 and December 31, 2025, respectively.</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150495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TRANSACTIONS WITH AFFILIATES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summarize amounts due from and to unconsolidated affiliates at SDG&amp;E and SoCalGas in the following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111760</wp:posOffset>
            </wp:positionV>
            <wp:extent cx="7132320" cy="3003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300355"/>
                    </a:xfrm>
                    <a:prstGeom prst="rect">
                      <a:avLst/>
                    </a:prstGeom>
                    <a:noFill/>
                  </pic:spPr>
                </pic:pic>
              </a:graphicData>
            </a:graphic>
          </wp:anchor>
        </w:drawing>
      </w:r>
    </w:p>
    <w:p>
      <w:pPr>
        <w:spacing w:after="0" w:line="169"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FFFFFF"/>
        </w:rPr>
        <w:t>AMOUNTS DUE FROM (TO) UNCONSOLIDATED AFFILIATES</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5620" w:type="dxa"/>
            <w:vAlign w:val="bottom"/>
          </w:tcPr>
          <w:p>
            <w:pPr>
              <w:ind w:left="20"/>
              <w:spacing w:after="0"/>
              <w:rPr>
                <w:sz w:val="20"/>
                <w:szCs w:val="20"/>
                <w:color w:val="auto"/>
              </w:rPr>
            </w:pPr>
            <w:r>
              <w:rPr>
                <w:rFonts w:ascii="Arial" w:cs="Arial" w:eastAsia="Arial" w:hAnsi="Arial"/>
                <w:sz w:val="14"/>
                <w:szCs w:val="14"/>
                <w:i w:val="1"/>
                <w:iCs w:val="1"/>
                <w:color w:val="FFFFFF"/>
              </w:rPr>
              <w:t>(Dollars in millions)</w:t>
            </w: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shd w:val="clear" w:color="auto" w:fill="001689"/>
          </w:tcPr>
          <w:p>
            <w:pPr>
              <w:spacing w:after="0"/>
              <w:rPr>
                <w:sz w:val="18"/>
                <w:szCs w:val="18"/>
                <w:color w:val="auto"/>
              </w:rPr>
            </w:pPr>
          </w:p>
        </w:tc>
        <w:tc>
          <w:tcPr>
            <w:tcW w:w="220" w:type="dxa"/>
            <w:vAlign w:val="bottom"/>
            <w:shd w:val="clear" w:color="auto" w:fill="001689"/>
          </w:tcPr>
          <w:p>
            <w:pPr>
              <w:spacing w:after="0"/>
              <w:rPr>
                <w:sz w:val="18"/>
                <w:szCs w:val="18"/>
                <w:color w:val="auto"/>
              </w:rPr>
            </w:pPr>
          </w:p>
        </w:tc>
        <w:tc>
          <w:tcPr>
            <w:tcW w:w="1140" w:type="dxa"/>
            <w:vAlign w:val="bottom"/>
            <w:shd w:val="clear" w:color="auto" w:fill="001689"/>
          </w:tcPr>
          <w:p>
            <w:pPr>
              <w:spacing w:after="0"/>
              <w:rPr>
                <w:sz w:val="18"/>
                <w:szCs w:val="18"/>
                <w:color w:val="auto"/>
              </w:rPr>
            </w:pPr>
          </w:p>
        </w:tc>
        <w:tc>
          <w:tcPr>
            <w:tcW w:w="200" w:type="dxa"/>
            <w:vAlign w:val="bottom"/>
            <w:shd w:val="clear" w:color="auto" w:fill="001689"/>
          </w:tcPr>
          <w:p>
            <w:pPr>
              <w:spacing w:after="0"/>
              <w:rPr>
                <w:sz w:val="18"/>
                <w:szCs w:val="18"/>
                <w:color w:val="auto"/>
              </w:rPr>
            </w:pPr>
          </w:p>
        </w:tc>
        <w:tc>
          <w:tcPr>
            <w:tcW w:w="1160" w:type="dxa"/>
            <w:vAlign w:val="bottom"/>
            <w:shd w:val="clear" w:color="auto" w:fill="001689"/>
          </w:tcPr>
          <w:p>
            <w:pPr>
              <w:spacing w:after="0"/>
              <w:rPr>
                <w:sz w:val="18"/>
                <w:szCs w:val="18"/>
                <w:color w:val="auto"/>
              </w:rPr>
            </w:pPr>
          </w:p>
        </w:tc>
      </w:tr>
      <w:tr>
        <w:trPr>
          <w:trHeight w:val="212"/>
        </w:trPr>
        <w:tc>
          <w:tcPr>
            <w:tcW w:w="56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SDG&amp;E</w:t>
            </w:r>
          </w:p>
        </w:tc>
        <w:tc>
          <w:tcPr>
            <w:tcW w:w="110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500" w:type="dxa"/>
            <w:vAlign w:val="bottom"/>
            <w:tcBorders>
              <w:bottom w:val="single" w:sz="8" w:color="auto"/>
            </w:tcBorders>
            <w:gridSpan w:val="3"/>
          </w:tcPr>
          <w:p>
            <w:pPr>
              <w:jc w:val="right"/>
              <w:ind w:right="941"/>
              <w:spacing w:after="0"/>
              <w:rPr>
                <w:sz w:val="20"/>
                <w:szCs w:val="20"/>
                <w:color w:val="auto"/>
              </w:rPr>
            </w:pPr>
            <w:r>
              <w:rPr>
                <w:rFonts w:ascii="Arial" w:cs="Arial" w:eastAsia="Arial" w:hAnsi="Arial"/>
                <w:sz w:val="14"/>
                <w:szCs w:val="14"/>
                <w:color w:val="auto"/>
              </w:rPr>
              <w:t>SoCalGas</w:t>
            </w:r>
          </w:p>
        </w:tc>
      </w:tr>
      <w:tr>
        <w:trPr>
          <w:trHeight w:val="177"/>
        </w:trPr>
        <w:tc>
          <w:tcPr>
            <w:tcW w:w="56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20" w:type="dxa"/>
            <w:vAlign w:val="bottom"/>
          </w:tcPr>
          <w:p>
            <w:pPr>
              <w:jc w:val="right"/>
              <w:ind w:right="282"/>
              <w:spacing w:after="0"/>
              <w:rPr>
                <w:sz w:val="20"/>
                <w:szCs w:val="20"/>
                <w:color w:val="auto"/>
              </w:rPr>
            </w:pPr>
            <w:r>
              <w:rPr>
                <w:rFonts w:ascii="Arial" w:cs="Arial" w:eastAsia="Arial" w:hAnsi="Arial"/>
                <w:sz w:val="14"/>
                <w:szCs w:val="14"/>
                <w:color w:val="auto"/>
              </w:rPr>
              <w:t>March 31,</w:t>
            </w:r>
          </w:p>
        </w:tc>
        <w:tc>
          <w:tcPr>
            <w:tcW w:w="260" w:type="dxa"/>
            <w:vAlign w:val="bottom"/>
          </w:tcPr>
          <w:p>
            <w:pPr>
              <w:spacing w:after="0"/>
              <w:rPr>
                <w:sz w:val="15"/>
                <w:szCs w:val="15"/>
                <w:color w:val="auto"/>
              </w:rPr>
            </w:pPr>
          </w:p>
        </w:tc>
        <w:tc>
          <w:tcPr>
            <w:tcW w:w="1100" w:type="dxa"/>
            <w:vAlign w:val="bottom"/>
          </w:tcPr>
          <w:p>
            <w:pPr>
              <w:jc w:val="right"/>
              <w:ind w:right="121"/>
              <w:spacing w:after="0"/>
              <w:rPr>
                <w:sz w:val="20"/>
                <w:szCs w:val="20"/>
                <w:color w:val="auto"/>
              </w:rPr>
            </w:pPr>
            <w:r>
              <w:rPr>
                <w:rFonts w:ascii="Arial" w:cs="Arial" w:eastAsia="Arial" w:hAnsi="Arial"/>
                <w:sz w:val="14"/>
                <w:szCs w:val="14"/>
                <w:color w:val="auto"/>
              </w:rPr>
              <w:t>December 31,</w:t>
            </w: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tcPr>
          <w:p>
            <w:pPr>
              <w:jc w:val="right"/>
              <w:ind w:right="302"/>
              <w:spacing w:after="0"/>
              <w:rPr>
                <w:sz w:val="20"/>
                <w:szCs w:val="20"/>
                <w:color w:val="auto"/>
              </w:rPr>
            </w:pPr>
            <w:r>
              <w:rPr>
                <w:rFonts w:ascii="Arial" w:cs="Arial" w:eastAsia="Arial" w:hAnsi="Arial"/>
                <w:sz w:val="14"/>
                <w:szCs w:val="14"/>
                <w:color w:val="auto"/>
              </w:rPr>
              <w:t>March 31,</w:t>
            </w:r>
          </w:p>
        </w:tc>
        <w:tc>
          <w:tcPr>
            <w:tcW w:w="200" w:type="dxa"/>
            <w:vAlign w:val="bottom"/>
          </w:tcPr>
          <w:p>
            <w:pPr>
              <w:spacing w:after="0"/>
              <w:rPr>
                <w:sz w:val="15"/>
                <w:szCs w:val="15"/>
                <w:color w:val="auto"/>
              </w:rPr>
            </w:pPr>
          </w:p>
        </w:tc>
        <w:tc>
          <w:tcPr>
            <w:tcW w:w="1160" w:type="dxa"/>
            <w:vAlign w:val="bottom"/>
          </w:tcPr>
          <w:p>
            <w:pPr>
              <w:jc w:val="right"/>
              <w:ind w:right="121"/>
              <w:spacing w:after="0"/>
              <w:rPr>
                <w:sz w:val="20"/>
                <w:szCs w:val="20"/>
                <w:color w:val="auto"/>
              </w:rPr>
            </w:pPr>
            <w:r>
              <w:rPr>
                <w:rFonts w:ascii="Arial" w:cs="Arial" w:eastAsia="Arial" w:hAnsi="Arial"/>
                <w:sz w:val="14"/>
                <w:szCs w:val="14"/>
                <w:color w:val="auto"/>
              </w:rPr>
              <w:t>December 31,</w:t>
            </w:r>
          </w:p>
        </w:tc>
      </w:tr>
      <w:tr>
        <w:trPr>
          <w:trHeight w:val="190"/>
        </w:trPr>
        <w:tc>
          <w:tcPr>
            <w:tcW w:w="5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jc w:val="right"/>
              <w:ind w:right="442"/>
              <w:spacing w:after="0"/>
              <w:rPr>
                <w:sz w:val="20"/>
                <w:szCs w:val="20"/>
                <w:color w:val="auto"/>
              </w:rPr>
            </w:pPr>
            <w:r>
              <w:rPr>
                <w:rFonts w:ascii="Arial" w:cs="Arial" w:eastAsia="Arial" w:hAnsi="Arial"/>
                <w:sz w:val="14"/>
                <w:szCs w:val="14"/>
                <w:color w:val="auto"/>
              </w:rPr>
              <w:t>2026</w:t>
            </w:r>
          </w:p>
        </w:tc>
        <w:tc>
          <w:tcPr>
            <w:tcW w:w="260" w:type="dxa"/>
            <w:vAlign w:val="bottom"/>
          </w:tcPr>
          <w:p>
            <w:pPr>
              <w:spacing w:after="0"/>
              <w:rPr>
                <w:sz w:val="16"/>
                <w:szCs w:val="16"/>
                <w:color w:val="auto"/>
              </w:rPr>
            </w:pPr>
          </w:p>
        </w:tc>
        <w:tc>
          <w:tcPr>
            <w:tcW w:w="1100" w:type="dxa"/>
            <w:vAlign w:val="bottom"/>
          </w:tcPr>
          <w:p>
            <w:pPr>
              <w:jc w:val="right"/>
              <w:ind w:right="401"/>
              <w:spacing w:after="0"/>
              <w:rPr>
                <w:sz w:val="20"/>
                <w:szCs w:val="20"/>
                <w:color w:val="auto"/>
              </w:rPr>
            </w:pPr>
            <w:r>
              <w:rPr>
                <w:rFonts w:ascii="Arial" w:cs="Arial" w:eastAsia="Arial" w:hAnsi="Arial"/>
                <w:sz w:val="14"/>
                <w:szCs w:val="14"/>
                <w:color w:val="auto"/>
              </w:rPr>
              <w:t>2025</w:t>
            </w: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Pr>
          <w:p>
            <w:pPr>
              <w:jc w:val="right"/>
              <w:ind w:right="462"/>
              <w:spacing w:after="0"/>
              <w:rPr>
                <w:sz w:val="20"/>
                <w:szCs w:val="20"/>
                <w:color w:val="auto"/>
              </w:rPr>
            </w:pPr>
            <w:r>
              <w:rPr>
                <w:rFonts w:ascii="Arial" w:cs="Arial" w:eastAsia="Arial" w:hAnsi="Arial"/>
                <w:sz w:val="14"/>
                <w:szCs w:val="14"/>
                <w:color w:val="auto"/>
              </w:rPr>
              <w:t>2026</w:t>
            </w:r>
          </w:p>
        </w:tc>
        <w:tc>
          <w:tcPr>
            <w:tcW w:w="200" w:type="dxa"/>
            <w:vAlign w:val="bottom"/>
          </w:tcPr>
          <w:p>
            <w:pPr>
              <w:spacing w:after="0"/>
              <w:rPr>
                <w:sz w:val="16"/>
                <w:szCs w:val="16"/>
                <w:color w:val="auto"/>
              </w:rPr>
            </w:pPr>
          </w:p>
        </w:tc>
        <w:tc>
          <w:tcPr>
            <w:tcW w:w="1160" w:type="dxa"/>
            <w:vAlign w:val="bottom"/>
          </w:tcPr>
          <w:p>
            <w:pPr>
              <w:jc w:val="right"/>
              <w:ind w:right="421"/>
              <w:spacing w:after="0"/>
              <w:rPr>
                <w:sz w:val="20"/>
                <w:szCs w:val="20"/>
                <w:color w:val="auto"/>
              </w:rPr>
            </w:pPr>
            <w:r>
              <w:rPr>
                <w:rFonts w:ascii="Arial" w:cs="Arial" w:eastAsia="Arial" w:hAnsi="Arial"/>
                <w:sz w:val="14"/>
                <w:szCs w:val="14"/>
                <w:color w:val="auto"/>
              </w:rPr>
              <w:t>2025</w:t>
            </w:r>
          </w:p>
        </w:tc>
      </w:tr>
      <w:tr>
        <w:trPr>
          <w:trHeight w:val="22"/>
        </w:trPr>
        <w:tc>
          <w:tcPr>
            <w:tcW w:w="56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209"/>
        </w:trPr>
        <w:tc>
          <w:tcPr>
            <w:tcW w:w="5620" w:type="dxa"/>
            <w:vAlign w:val="bottom"/>
            <w:shd w:val="clear" w:color="auto" w:fill="D4F1F5"/>
          </w:tcPr>
          <w:p>
            <w:pPr>
              <w:ind w:left="20"/>
              <w:spacing w:after="0"/>
              <w:rPr>
                <w:sz w:val="20"/>
                <w:szCs w:val="20"/>
                <w:color w:val="auto"/>
              </w:rPr>
            </w:pPr>
            <w:r>
              <w:rPr>
                <w:rFonts w:ascii="Arial" w:cs="Arial" w:eastAsia="Arial" w:hAnsi="Arial"/>
                <w:sz w:val="16"/>
                <w:szCs w:val="16"/>
                <w:color w:val="auto"/>
              </w:rPr>
              <w:t>SDG&amp;E</w:t>
            </w:r>
          </w:p>
        </w:tc>
        <w:tc>
          <w:tcPr>
            <w:tcW w:w="220" w:type="dxa"/>
            <w:vAlign w:val="bottom"/>
            <w:shd w:val="clear" w:color="auto" w:fill="D4F1F5"/>
          </w:tcPr>
          <w:p>
            <w:pPr>
              <w:spacing w:after="0"/>
              <w:rPr>
                <w:sz w:val="18"/>
                <w:szCs w:val="18"/>
                <w:color w:val="auto"/>
              </w:rPr>
            </w:pPr>
          </w:p>
        </w:tc>
        <w:tc>
          <w:tcPr>
            <w:tcW w:w="1120" w:type="dxa"/>
            <w:vAlign w:val="bottom"/>
            <w:shd w:val="clear" w:color="auto" w:fill="D4F1F5"/>
          </w:tcPr>
          <w:p>
            <w:pPr>
              <w:spacing w:after="0"/>
              <w:rPr>
                <w:sz w:val="18"/>
                <w:szCs w:val="18"/>
                <w:color w:val="auto"/>
              </w:rPr>
            </w:pPr>
          </w:p>
        </w:tc>
        <w:tc>
          <w:tcPr>
            <w:tcW w:w="260" w:type="dxa"/>
            <w:vAlign w:val="bottom"/>
            <w:shd w:val="clear" w:color="auto" w:fill="D4F1F5"/>
          </w:tcPr>
          <w:p>
            <w:pPr>
              <w:spacing w:after="0"/>
              <w:rPr>
                <w:sz w:val="18"/>
                <w:szCs w:val="18"/>
                <w:color w:val="auto"/>
              </w:rPr>
            </w:pPr>
          </w:p>
        </w:tc>
        <w:tc>
          <w:tcPr>
            <w:tcW w:w="1100" w:type="dxa"/>
            <w:vAlign w:val="bottom"/>
            <w:shd w:val="clear" w:color="auto" w:fill="D4F1F5"/>
          </w:tcPr>
          <w:p>
            <w:pPr>
              <w:spacing w:after="0"/>
              <w:rPr>
                <w:sz w:val="18"/>
                <w:szCs w:val="18"/>
                <w:color w:val="auto"/>
              </w:rPr>
            </w:pPr>
          </w:p>
        </w:tc>
        <w:tc>
          <w:tcPr>
            <w:tcW w:w="420" w:type="dxa"/>
            <w:vAlign w:val="bottom"/>
            <w:gridSpan w:val="2"/>
            <w:shd w:val="clear" w:color="auto" w:fill="D4F1F5"/>
          </w:tcPr>
          <w:p>
            <w:pPr>
              <w:jc w:val="right"/>
              <w:ind w:right="100"/>
              <w:spacing w:after="0"/>
              <w:rPr>
                <w:sz w:val="20"/>
                <w:szCs w:val="20"/>
                <w:color w:val="auto"/>
              </w:rPr>
            </w:pPr>
            <w:r>
              <w:rPr>
                <w:rFonts w:ascii="Arial" w:cs="Arial" w:eastAsia="Arial" w:hAnsi="Arial"/>
                <w:sz w:val="16"/>
                <w:szCs w:val="16"/>
                <w:color w:val="auto"/>
              </w:rPr>
              <w:t>$</w:t>
            </w:r>
          </w:p>
        </w:tc>
        <w:tc>
          <w:tcPr>
            <w:tcW w:w="1140" w:type="dxa"/>
            <w:vAlign w:val="bottom"/>
            <w:shd w:val="clear" w:color="auto" w:fill="D4F1F5"/>
          </w:tcPr>
          <w:p>
            <w:pPr>
              <w:jc w:val="right"/>
              <w:ind w:right="42"/>
              <w:spacing w:after="0"/>
              <w:rPr>
                <w:sz w:val="20"/>
                <w:szCs w:val="20"/>
                <w:color w:val="auto"/>
              </w:rPr>
            </w:pPr>
            <w:r>
              <w:rPr>
                <w:rFonts w:ascii="Arial" w:cs="Arial" w:eastAsia="Arial" w:hAnsi="Arial"/>
                <w:sz w:val="16"/>
                <w:szCs w:val="16"/>
                <w:color w:val="auto"/>
              </w:rPr>
              <w:t>8</w:t>
            </w:r>
          </w:p>
        </w:tc>
        <w:tc>
          <w:tcPr>
            <w:tcW w:w="200" w:type="dxa"/>
            <w:vAlign w:val="bottom"/>
            <w:shd w:val="clear" w:color="auto" w:fill="D4F1F5"/>
          </w:tcPr>
          <w:p>
            <w:pPr>
              <w:jc w:val="right"/>
              <w:spacing w:after="0"/>
              <w:rPr>
                <w:sz w:val="20"/>
                <w:szCs w:val="20"/>
                <w:color w:val="auto"/>
              </w:rPr>
            </w:pPr>
            <w:r>
              <w:rPr>
                <w:rFonts w:ascii="Arial" w:cs="Arial" w:eastAsia="Arial" w:hAnsi="Arial"/>
                <w:sz w:val="16"/>
                <w:szCs w:val="16"/>
                <w:color w:val="auto"/>
              </w:rPr>
              <w:t>$</w:t>
            </w:r>
          </w:p>
        </w:tc>
        <w:tc>
          <w:tcPr>
            <w:tcW w:w="1160" w:type="dxa"/>
            <w:vAlign w:val="bottom"/>
            <w:shd w:val="clear" w:color="auto" w:fill="D4F1F5"/>
          </w:tcPr>
          <w:p>
            <w:pPr>
              <w:jc w:val="right"/>
              <w:ind w:right="1"/>
              <w:spacing w:after="0"/>
              <w:rPr>
                <w:sz w:val="20"/>
                <w:szCs w:val="20"/>
                <w:color w:val="auto"/>
              </w:rPr>
            </w:pPr>
            <w:r>
              <w:rPr>
                <w:rFonts w:ascii="Arial" w:cs="Arial" w:eastAsia="Arial" w:hAnsi="Arial"/>
                <w:sz w:val="16"/>
                <w:szCs w:val="16"/>
                <w:color w:val="auto"/>
              </w:rPr>
              <w:t>6</w:t>
            </w:r>
          </w:p>
        </w:tc>
      </w:tr>
      <w:tr>
        <w:trPr>
          <w:trHeight w:val="215"/>
        </w:trPr>
        <w:tc>
          <w:tcPr>
            <w:tcW w:w="5620" w:type="dxa"/>
            <w:vAlign w:val="bottom"/>
            <w:tcBorders>
              <w:bottom w:val="single" w:sz="8" w:color="D4F1F5"/>
            </w:tcBorders>
          </w:tcPr>
          <w:p>
            <w:pPr>
              <w:ind w:left="20"/>
              <w:spacing w:after="0"/>
              <w:rPr>
                <w:sz w:val="20"/>
                <w:szCs w:val="20"/>
                <w:color w:val="auto"/>
              </w:rPr>
            </w:pPr>
            <w:r>
              <w:rPr>
                <w:rFonts w:ascii="Arial" w:cs="Arial" w:eastAsia="Arial" w:hAnsi="Arial"/>
                <w:sz w:val="16"/>
                <w:szCs w:val="16"/>
                <w:color w:val="auto"/>
              </w:rPr>
              <w:t>Various affiliates</w:t>
            </w: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color w:val="auto"/>
              </w:rPr>
              <w:t>1</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2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color w:val="auto"/>
              </w:rPr>
              <w:t>2</w:t>
            </w:r>
          </w:p>
        </w:tc>
        <w:tc>
          <w:tcPr>
            <w:tcW w:w="2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2</w:t>
            </w:r>
          </w:p>
        </w:tc>
      </w:tr>
      <w:tr>
        <w:trPr>
          <w:trHeight w:val="217"/>
        </w:trPr>
        <w:tc>
          <w:tcPr>
            <w:tcW w:w="5620" w:type="dxa"/>
            <w:vAlign w:val="bottom"/>
            <w:tcBorders>
              <w:bottom w:val="single" w:sz="8" w:color="D4F1F5"/>
            </w:tcBorders>
            <w:shd w:val="clear" w:color="auto" w:fill="D4F1F5"/>
          </w:tcPr>
          <w:p>
            <w:pPr>
              <w:ind w:left="240"/>
              <w:spacing w:after="0"/>
              <w:rPr>
                <w:sz w:val="20"/>
                <w:szCs w:val="20"/>
                <w:color w:val="auto"/>
              </w:rPr>
            </w:pPr>
            <w:r>
              <w:rPr>
                <w:rFonts w:ascii="Arial" w:cs="Arial" w:eastAsia="Arial" w:hAnsi="Arial"/>
                <w:sz w:val="16"/>
                <w:szCs w:val="16"/>
                <w:color w:val="auto"/>
              </w:rPr>
              <w:t>Total due from unconsolidated affiliates – current</w:t>
            </w:r>
          </w:p>
        </w:tc>
        <w:tc>
          <w:tcPr>
            <w:tcW w:w="220" w:type="dxa"/>
            <w:vAlign w:val="bottom"/>
            <w:tcBorders>
              <w:bottom w:val="single" w:sz="8" w:color="auto"/>
            </w:tcBorders>
            <w:shd w:val="clear" w:color="auto" w:fill="D4F1F5"/>
          </w:tcPr>
          <w:p>
            <w:pPr>
              <w:jc w:val="right"/>
              <w:ind w:right="1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shd w:val="clear" w:color="auto" w:fill="D4F1F5"/>
          </w:tcPr>
          <w:p>
            <w:pPr>
              <w:jc w:val="right"/>
              <w:ind w:right="42"/>
              <w:spacing w:after="0"/>
              <w:rPr>
                <w:sz w:val="20"/>
                <w:szCs w:val="20"/>
                <w:color w:val="auto"/>
              </w:rPr>
            </w:pPr>
            <w:r>
              <w:rPr>
                <w:rFonts w:ascii="Arial" w:cs="Arial" w:eastAsia="Arial" w:hAnsi="Arial"/>
                <w:sz w:val="16"/>
                <w:szCs w:val="16"/>
                <w:color w:val="auto"/>
              </w:rPr>
              <w:t>1</w:t>
            </w:r>
          </w:p>
        </w:tc>
        <w:tc>
          <w:tcPr>
            <w:tcW w:w="260" w:type="dxa"/>
            <w:vAlign w:val="bottom"/>
            <w:tcBorders>
              <w:bottom w:val="single" w:sz="8" w:color="auto"/>
            </w:tcBorders>
            <w:shd w:val="clear" w:color="auto" w:fill="D4F1F5"/>
          </w:tcPr>
          <w:p>
            <w:pPr>
              <w:jc w:val="right"/>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shd w:val="clear" w:color="auto" w:fill="D4F1F5"/>
          </w:tcPr>
          <w:p>
            <w:pPr>
              <w:jc w:val="right"/>
              <w:spacing w:after="0"/>
              <w:rPr>
                <w:sz w:val="20"/>
                <w:szCs w:val="20"/>
                <w:color w:val="auto"/>
              </w:rPr>
            </w:pPr>
            <w:r>
              <w:rPr>
                <w:rFonts w:ascii="Arial" w:cs="Arial" w:eastAsia="Arial" w:hAnsi="Arial"/>
                <w:sz w:val="16"/>
                <w:szCs w:val="16"/>
                <w:color w:val="auto"/>
              </w:rPr>
              <w:t>1</w:t>
            </w:r>
          </w:p>
        </w:tc>
        <w:tc>
          <w:tcPr>
            <w:tcW w:w="420" w:type="dxa"/>
            <w:vAlign w:val="bottom"/>
            <w:tcBorders>
              <w:bottom w:val="single" w:sz="8" w:color="auto"/>
            </w:tcBorders>
            <w:gridSpan w:val="2"/>
            <w:shd w:val="clear" w:color="auto" w:fill="D4F1F5"/>
          </w:tcPr>
          <w:p>
            <w:pPr>
              <w:jc w:val="right"/>
              <w:ind w:right="100"/>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shd w:val="clear" w:color="auto" w:fill="D4F1F5"/>
          </w:tcPr>
          <w:p>
            <w:pPr>
              <w:jc w:val="right"/>
              <w:ind w:right="42"/>
              <w:spacing w:after="0"/>
              <w:rPr>
                <w:sz w:val="20"/>
                <w:szCs w:val="20"/>
                <w:color w:val="auto"/>
              </w:rPr>
            </w:pPr>
            <w:r>
              <w:rPr>
                <w:rFonts w:ascii="Arial" w:cs="Arial" w:eastAsia="Arial" w:hAnsi="Arial"/>
                <w:sz w:val="16"/>
                <w:szCs w:val="16"/>
                <w:color w:val="auto"/>
              </w:rPr>
              <w:t>10</w:t>
            </w:r>
          </w:p>
        </w:tc>
        <w:tc>
          <w:tcPr>
            <w:tcW w:w="200" w:type="dxa"/>
            <w:vAlign w:val="bottom"/>
            <w:tcBorders>
              <w:bottom w:val="single" w:sz="8" w:color="auto"/>
            </w:tcBorders>
            <w:shd w:val="clear" w:color="auto" w:fill="D4F1F5"/>
          </w:tcPr>
          <w:p>
            <w:pPr>
              <w:jc w:val="right"/>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shd w:val="clear" w:color="auto" w:fill="D4F1F5"/>
          </w:tcPr>
          <w:p>
            <w:pPr>
              <w:jc w:val="right"/>
              <w:ind w:right="1"/>
              <w:spacing w:after="0"/>
              <w:rPr>
                <w:sz w:val="20"/>
                <w:szCs w:val="20"/>
                <w:color w:val="auto"/>
              </w:rPr>
            </w:pPr>
            <w:r>
              <w:rPr>
                <w:rFonts w:ascii="Arial" w:cs="Arial" w:eastAsia="Arial" w:hAnsi="Arial"/>
                <w:sz w:val="16"/>
                <w:szCs w:val="16"/>
                <w:color w:val="auto"/>
              </w:rPr>
              <w:t>8</w:t>
            </w:r>
          </w:p>
        </w:tc>
      </w:tr>
      <w:tr>
        <w:trPr>
          <w:trHeight w:val="203"/>
        </w:trPr>
        <w:tc>
          <w:tcPr>
            <w:tcW w:w="5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16"/>
        </w:trPr>
        <w:tc>
          <w:tcPr>
            <w:tcW w:w="5620" w:type="dxa"/>
            <w:vAlign w:val="bottom"/>
            <w:shd w:val="clear" w:color="auto" w:fill="D4F1F5"/>
          </w:tcPr>
          <w:p>
            <w:pPr>
              <w:ind w:left="20"/>
              <w:spacing w:after="0"/>
              <w:rPr>
                <w:sz w:val="20"/>
                <w:szCs w:val="20"/>
                <w:color w:val="auto"/>
              </w:rPr>
            </w:pPr>
            <w:r>
              <w:rPr>
                <w:rFonts w:ascii="Arial" w:cs="Arial" w:eastAsia="Arial" w:hAnsi="Arial"/>
                <w:sz w:val="16"/>
                <w:szCs w:val="16"/>
                <w:color w:val="auto"/>
              </w:rPr>
              <w:t>Sempra</w:t>
            </w:r>
          </w:p>
        </w:tc>
        <w:tc>
          <w:tcPr>
            <w:tcW w:w="220" w:type="dxa"/>
            <w:vAlign w:val="bottom"/>
            <w:shd w:val="clear" w:color="auto" w:fill="D4F1F5"/>
          </w:tcPr>
          <w:p>
            <w:pPr>
              <w:jc w:val="right"/>
              <w:ind w:right="19"/>
              <w:spacing w:after="0"/>
              <w:rPr>
                <w:sz w:val="20"/>
                <w:szCs w:val="20"/>
                <w:color w:val="auto"/>
              </w:rPr>
            </w:pPr>
            <w:r>
              <w:rPr>
                <w:rFonts w:ascii="Arial" w:cs="Arial" w:eastAsia="Arial" w:hAnsi="Arial"/>
                <w:sz w:val="16"/>
                <w:szCs w:val="16"/>
                <w:color w:val="auto"/>
              </w:rPr>
              <w:t>$</w:t>
            </w:r>
          </w:p>
        </w:tc>
        <w:tc>
          <w:tcPr>
            <w:tcW w:w="1120" w:type="dxa"/>
            <w:vAlign w:val="bottom"/>
            <w:shd w:val="clear" w:color="auto" w:fill="D4F1F5"/>
          </w:tcPr>
          <w:p>
            <w:pPr>
              <w:jc w:val="right"/>
              <w:spacing w:after="0"/>
              <w:rPr>
                <w:sz w:val="20"/>
                <w:szCs w:val="20"/>
                <w:color w:val="auto"/>
              </w:rPr>
            </w:pPr>
            <w:r>
              <w:rPr>
                <w:rFonts w:ascii="Arial" w:cs="Arial" w:eastAsia="Arial" w:hAnsi="Arial"/>
                <w:sz w:val="16"/>
                <w:szCs w:val="16"/>
                <w:color w:val="auto"/>
              </w:rPr>
              <w:t>(53)</w:t>
            </w:r>
          </w:p>
        </w:tc>
        <w:tc>
          <w:tcPr>
            <w:tcW w:w="260" w:type="dxa"/>
            <w:vAlign w:val="bottom"/>
            <w:shd w:val="clear" w:color="auto" w:fill="D4F1F5"/>
          </w:tcPr>
          <w:p>
            <w:pPr>
              <w:jc w:val="right"/>
              <w:spacing w:after="0"/>
              <w:rPr>
                <w:sz w:val="20"/>
                <w:szCs w:val="20"/>
                <w:color w:val="auto"/>
              </w:rPr>
            </w:pPr>
            <w:r>
              <w:rPr>
                <w:rFonts w:ascii="Arial" w:cs="Arial" w:eastAsia="Arial" w:hAnsi="Arial"/>
                <w:sz w:val="16"/>
                <w:szCs w:val="16"/>
                <w:color w:val="auto"/>
              </w:rPr>
              <w:t>$</w:t>
            </w:r>
          </w:p>
        </w:tc>
        <w:tc>
          <w:tcPr>
            <w:tcW w:w="1100" w:type="dxa"/>
            <w:vAlign w:val="bottom"/>
            <w:shd w:val="clear" w:color="auto" w:fill="D4F1F5"/>
          </w:tcPr>
          <w:p>
            <w:pPr>
              <w:jc w:val="right"/>
              <w:spacing w:after="0"/>
              <w:rPr>
                <w:sz w:val="20"/>
                <w:szCs w:val="20"/>
                <w:color w:val="auto"/>
              </w:rPr>
            </w:pPr>
            <w:r>
              <w:rPr>
                <w:rFonts w:ascii="Arial" w:cs="Arial" w:eastAsia="Arial" w:hAnsi="Arial"/>
                <w:sz w:val="16"/>
                <w:szCs w:val="16"/>
                <w:color w:val="auto"/>
              </w:rPr>
              <w:t>(48)</w:t>
            </w:r>
          </w:p>
        </w:tc>
        <w:tc>
          <w:tcPr>
            <w:tcW w:w="420" w:type="dxa"/>
            <w:vAlign w:val="bottom"/>
            <w:gridSpan w:val="2"/>
            <w:shd w:val="clear" w:color="auto" w:fill="D4F1F5"/>
          </w:tcPr>
          <w:p>
            <w:pPr>
              <w:jc w:val="right"/>
              <w:ind w:right="100"/>
              <w:spacing w:after="0"/>
              <w:rPr>
                <w:sz w:val="20"/>
                <w:szCs w:val="20"/>
                <w:color w:val="auto"/>
              </w:rPr>
            </w:pPr>
            <w:r>
              <w:rPr>
                <w:rFonts w:ascii="Arial" w:cs="Arial" w:eastAsia="Arial" w:hAnsi="Arial"/>
                <w:sz w:val="16"/>
                <w:szCs w:val="16"/>
                <w:color w:val="auto"/>
              </w:rPr>
              <w:t>$</w:t>
            </w:r>
          </w:p>
        </w:tc>
        <w:tc>
          <w:tcPr>
            <w:tcW w:w="1140" w:type="dxa"/>
            <w:vAlign w:val="bottom"/>
            <w:shd w:val="clear" w:color="auto" w:fill="D4F1F5"/>
          </w:tcPr>
          <w:p>
            <w:pPr>
              <w:jc w:val="right"/>
              <w:ind w:right="2"/>
              <w:spacing w:after="0"/>
              <w:rPr>
                <w:sz w:val="20"/>
                <w:szCs w:val="20"/>
                <w:color w:val="auto"/>
              </w:rPr>
            </w:pPr>
            <w:r>
              <w:rPr>
                <w:rFonts w:ascii="Arial" w:cs="Arial" w:eastAsia="Arial" w:hAnsi="Arial"/>
                <w:sz w:val="16"/>
                <w:szCs w:val="16"/>
                <w:color w:val="auto"/>
              </w:rPr>
              <w:t>(44)</w:t>
            </w:r>
          </w:p>
        </w:tc>
        <w:tc>
          <w:tcPr>
            <w:tcW w:w="200" w:type="dxa"/>
            <w:vAlign w:val="bottom"/>
            <w:shd w:val="clear" w:color="auto" w:fill="D4F1F5"/>
          </w:tcPr>
          <w:p>
            <w:pPr>
              <w:jc w:val="right"/>
              <w:spacing w:after="0"/>
              <w:rPr>
                <w:sz w:val="20"/>
                <w:szCs w:val="20"/>
                <w:color w:val="auto"/>
              </w:rPr>
            </w:pPr>
            <w:r>
              <w:rPr>
                <w:rFonts w:ascii="Arial" w:cs="Arial" w:eastAsia="Arial" w:hAnsi="Arial"/>
                <w:sz w:val="16"/>
                <w:szCs w:val="16"/>
                <w:color w:val="auto"/>
              </w:rPr>
              <w:t>$</w:t>
            </w:r>
          </w:p>
        </w:tc>
        <w:tc>
          <w:tcPr>
            <w:tcW w:w="1160" w:type="dxa"/>
            <w:vAlign w:val="bottom"/>
            <w:shd w:val="clear" w:color="auto" w:fill="D4F1F5"/>
          </w:tcPr>
          <w:p>
            <w:pPr>
              <w:jc w:val="right"/>
              <w:spacing w:after="0"/>
              <w:rPr>
                <w:sz w:val="20"/>
                <w:szCs w:val="20"/>
                <w:color w:val="auto"/>
              </w:rPr>
            </w:pPr>
            <w:r>
              <w:rPr>
                <w:rFonts w:ascii="Arial" w:cs="Arial" w:eastAsia="Arial" w:hAnsi="Arial"/>
                <w:sz w:val="16"/>
                <w:szCs w:val="16"/>
                <w:color w:val="auto"/>
              </w:rPr>
              <w:t>(35)</w:t>
            </w:r>
          </w:p>
        </w:tc>
      </w:tr>
      <w:tr>
        <w:trPr>
          <w:trHeight w:val="215"/>
        </w:trPr>
        <w:tc>
          <w:tcPr>
            <w:tcW w:w="5620" w:type="dxa"/>
            <w:vAlign w:val="bottom"/>
          </w:tcPr>
          <w:p>
            <w:pPr>
              <w:ind w:left="20"/>
              <w:spacing w:after="0"/>
              <w:rPr>
                <w:sz w:val="20"/>
                <w:szCs w:val="20"/>
                <w:color w:val="auto"/>
              </w:rPr>
            </w:pPr>
            <w:r>
              <w:rPr>
                <w:rFonts w:ascii="Arial" w:cs="Arial" w:eastAsia="Arial" w:hAnsi="Arial"/>
                <w:sz w:val="16"/>
                <w:szCs w:val="16"/>
                <w:color w:val="auto"/>
              </w:rPr>
              <w:t>SoCalGas</w:t>
            </w:r>
          </w:p>
        </w:tc>
        <w:tc>
          <w:tcPr>
            <w:tcW w:w="2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(8)</w:t>
            </w:r>
          </w:p>
        </w:tc>
        <w:tc>
          <w:tcPr>
            <w:tcW w:w="2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(6)</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16"/>
        </w:trPr>
        <w:tc>
          <w:tcPr>
            <w:tcW w:w="5620" w:type="dxa"/>
            <w:vAlign w:val="bottom"/>
            <w:shd w:val="clear" w:color="auto" w:fill="D4F1F5"/>
          </w:tcPr>
          <w:p>
            <w:pPr>
              <w:ind w:left="20"/>
              <w:spacing w:after="0"/>
              <w:rPr>
                <w:sz w:val="20"/>
                <w:szCs w:val="20"/>
                <w:color w:val="auto"/>
              </w:rPr>
            </w:pPr>
            <w:r>
              <w:rPr>
                <w:rFonts w:ascii="Arial" w:cs="Arial" w:eastAsia="Arial" w:hAnsi="Arial"/>
                <w:sz w:val="16"/>
                <w:szCs w:val="16"/>
                <w:color w:val="auto"/>
              </w:rPr>
              <w:t>Various affiliates</w:t>
            </w:r>
          </w:p>
        </w:tc>
        <w:tc>
          <w:tcPr>
            <w:tcW w:w="220" w:type="dxa"/>
            <w:vAlign w:val="bottom"/>
            <w:tcBorders>
              <w:bottom w:val="single" w:sz="8" w:color="auto"/>
            </w:tcBorders>
            <w:shd w:val="clear" w:color="auto" w:fill="D4F1F5"/>
          </w:tcPr>
          <w:p>
            <w:pPr>
              <w:spacing w:after="0"/>
              <w:rPr>
                <w:sz w:val="18"/>
                <w:szCs w:val="18"/>
                <w:color w:val="auto"/>
              </w:rPr>
            </w:pPr>
          </w:p>
        </w:tc>
        <w:tc>
          <w:tcPr>
            <w:tcW w:w="1120" w:type="dxa"/>
            <w:vAlign w:val="bottom"/>
            <w:tcBorders>
              <w:bottom w:val="single" w:sz="8" w:color="auto"/>
            </w:tcBorders>
            <w:shd w:val="clear" w:color="auto" w:fill="D4F1F5"/>
          </w:tcPr>
          <w:p>
            <w:pPr>
              <w:jc w:val="right"/>
              <w:spacing w:after="0"/>
              <w:rPr>
                <w:sz w:val="20"/>
                <w:szCs w:val="20"/>
                <w:color w:val="auto"/>
              </w:rPr>
            </w:pPr>
            <w:r>
              <w:rPr>
                <w:rFonts w:ascii="Arial" w:cs="Arial" w:eastAsia="Arial" w:hAnsi="Arial"/>
                <w:sz w:val="16"/>
                <w:szCs w:val="16"/>
                <w:color w:val="auto"/>
              </w:rPr>
              <w:t>(9)</w:t>
            </w:r>
          </w:p>
        </w:tc>
        <w:tc>
          <w:tcPr>
            <w:tcW w:w="260" w:type="dxa"/>
            <w:vAlign w:val="bottom"/>
            <w:tcBorders>
              <w:bottom w:val="single" w:sz="8" w:color="auto"/>
            </w:tcBorders>
            <w:shd w:val="clear" w:color="auto" w:fill="D4F1F5"/>
          </w:tcPr>
          <w:p>
            <w:pPr>
              <w:spacing w:after="0"/>
              <w:rPr>
                <w:sz w:val="18"/>
                <w:szCs w:val="18"/>
                <w:color w:val="auto"/>
              </w:rPr>
            </w:pPr>
          </w:p>
        </w:tc>
        <w:tc>
          <w:tcPr>
            <w:tcW w:w="1100" w:type="dxa"/>
            <w:vAlign w:val="bottom"/>
            <w:tcBorders>
              <w:bottom w:val="single" w:sz="8" w:color="auto"/>
            </w:tcBorders>
            <w:shd w:val="clear" w:color="auto" w:fill="D4F1F5"/>
          </w:tcPr>
          <w:p>
            <w:pPr>
              <w:jc w:val="right"/>
              <w:spacing w:after="0"/>
              <w:rPr>
                <w:sz w:val="20"/>
                <w:szCs w:val="20"/>
                <w:color w:val="auto"/>
              </w:rPr>
            </w:pPr>
            <w:r>
              <w:rPr>
                <w:rFonts w:ascii="Arial" w:cs="Arial" w:eastAsia="Arial" w:hAnsi="Arial"/>
                <w:sz w:val="16"/>
                <w:szCs w:val="16"/>
                <w:color w:val="auto"/>
              </w:rPr>
              <w:t>(5)</w:t>
            </w:r>
          </w:p>
        </w:tc>
        <w:tc>
          <w:tcPr>
            <w:tcW w:w="200" w:type="dxa"/>
            <w:vAlign w:val="bottom"/>
            <w:tcBorders>
              <w:bottom w:val="single" w:sz="8" w:color="auto"/>
            </w:tcBorders>
            <w:shd w:val="clear" w:color="auto" w:fill="D4F1F5"/>
          </w:tcPr>
          <w:p>
            <w:pPr>
              <w:spacing w:after="0"/>
              <w:rPr>
                <w:sz w:val="18"/>
                <w:szCs w:val="18"/>
                <w:color w:val="auto"/>
              </w:rPr>
            </w:pPr>
          </w:p>
        </w:tc>
        <w:tc>
          <w:tcPr>
            <w:tcW w:w="220" w:type="dxa"/>
            <w:vAlign w:val="bottom"/>
            <w:tcBorders>
              <w:bottom w:val="single" w:sz="8" w:color="auto"/>
            </w:tcBorders>
            <w:shd w:val="clear" w:color="auto" w:fill="D4F1F5"/>
          </w:tcPr>
          <w:p>
            <w:pPr>
              <w:spacing w:after="0"/>
              <w:rPr>
                <w:sz w:val="18"/>
                <w:szCs w:val="18"/>
                <w:color w:val="auto"/>
              </w:rPr>
            </w:pPr>
          </w:p>
        </w:tc>
        <w:tc>
          <w:tcPr>
            <w:tcW w:w="1140" w:type="dxa"/>
            <w:vAlign w:val="bottom"/>
            <w:tcBorders>
              <w:bottom w:val="single" w:sz="8" w:color="auto"/>
            </w:tcBorders>
            <w:shd w:val="clear" w:color="auto" w:fill="D4F1F5"/>
          </w:tcPr>
          <w:p>
            <w:pPr>
              <w:jc w:val="right"/>
              <w:ind w:right="42"/>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auto"/>
            </w:tcBorders>
            <w:shd w:val="clear" w:color="auto" w:fill="D4F1F5"/>
          </w:tcPr>
          <w:p>
            <w:pPr>
              <w:spacing w:after="0"/>
              <w:rPr>
                <w:sz w:val="18"/>
                <w:szCs w:val="18"/>
                <w:color w:val="auto"/>
              </w:rPr>
            </w:pPr>
          </w:p>
        </w:tc>
        <w:tc>
          <w:tcPr>
            <w:tcW w:w="1160" w:type="dxa"/>
            <w:vAlign w:val="bottom"/>
            <w:tcBorders>
              <w:bottom w:val="single" w:sz="8" w:color="auto"/>
            </w:tcBorders>
            <w:shd w:val="clear" w:color="auto" w:fill="D4F1F5"/>
          </w:tcPr>
          <w:p>
            <w:pPr>
              <w:jc w:val="right"/>
              <w:ind w:right="1"/>
              <w:spacing w:after="0"/>
              <w:rPr>
                <w:sz w:val="20"/>
                <w:szCs w:val="20"/>
                <w:color w:val="auto"/>
              </w:rPr>
            </w:pPr>
            <w:r>
              <w:rPr>
                <w:rFonts w:ascii="Arial" w:cs="Arial" w:eastAsia="Arial" w:hAnsi="Arial"/>
                <w:sz w:val="16"/>
                <w:szCs w:val="16"/>
                <w:color w:val="auto"/>
              </w:rPr>
              <w:t>—</w:t>
            </w:r>
          </w:p>
        </w:tc>
      </w:tr>
      <w:tr>
        <w:trPr>
          <w:trHeight w:val="217"/>
        </w:trPr>
        <w:tc>
          <w:tcPr>
            <w:tcW w:w="5620" w:type="dxa"/>
            <w:vAlign w:val="bottom"/>
            <w:tcBorders>
              <w:bottom w:val="single" w:sz="8" w:color="D4F1F5"/>
            </w:tcBorders>
          </w:tcPr>
          <w:p>
            <w:pPr>
              <w:ind w:left="240"/>
              <w:spacing w:after="0"/>
              <w:rPr>
                <w:sz w:val="20"/>
                <w:szCs w:val="20"/>
                <w:color w:val="auto"/>
              </w:rPr>
            </w:pPr>
            <w:r>
              <w:rPr>
                <w:rFonts w:ascii="Arial" w:cs="Arial" w:eastAsia="Arial" w:hAnsi="Arial"/>
                <w:sz w:val="16"/>
                <w:szCs w:val="16"/>
                <w:color w:val="auto"/>
              </w:rPr>
              <w:t>Total due to unconsolidated affiliates – current</w:t>
            </w: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(70)</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(59)</w:t>
            </w:r>
          </w:p>
        </w:tc>
        <w:tc>
          <w:tcPr>
            <w:tcW w:w="42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(44)</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w:t>
            </w:r>
          </w:p>
        </w:tc>
      </w:tr>
      <w:tr>
        <w:trPr>
          <w:trHeight w:val="189"/>
        </w:trPr>
        <w:tc>
          <w:tcPr>
            <w:tcW w:w="5620" w:type="dxa"/>
            <w:vAlign w:val="bottom"/>
            <w:shd w:val="clear" w:color="auto" w:fill="D4F1F5"/>
          </w:tcPr>
          <w:p>
            <w:pPr>
              <w:spacing w:after="0"/>
              <w:rPr>
                <w:sz w:val="16"/>
                <w:szCs w:val="16"/>
                <w:color w:val="auto"/>
              </w:rPr>
            </w:pPr>
          </w:p>
        </w:tc>
        <w:tc>
          <w:tcPr>
            <w:tcW w:w="220" w:type="dxa"/>
            <w:vAlign w:val="bottom"/>
            <w:shd w:val="clear" w:color="auto" w:fill="D4F1F5"/>
          </w:tcPr>
          <w:p>
            <w:pPr>
              <w:spacing w:after="0"/>
              <w:rPr>
                <w:sz w:val="16"/>
                <w:szCs w:val="16"/>
                <w:color w:val="auto"/>
              </w:rPr>
            </w:pPr>
          </w:p>
        </w:tc>
        <w:tc>
          <w:tcPr>
            <w:tcW w:w="1120" w:type="dxa"/>
            <w:vAlign w:val="bottom"/>
            <w:shd w:val="clear" w:color="auto" w:fill="D4F1F5"/>
          </w:tcPr>
          <w:p>
            <w:pPr>
              <w:spacing w:after="0"/>
              <w:rPr>
                <w:sz w:val="16"/>
                <w:szCs w:val="16"/>
                <w:color w:val="auto"/>
              </w:rPr>
            </w:pPr>
          </w:p>
        </w:tc>
        <w:tc>
          <w:tcPr>
            <w:tcW w:w="260" w:type="dxa"/>
            <w:vAlign w:val="bottom"/>
            <w:shd w:val="clear" w:color="auto" w:fill="D4F1F5"/>
          </w:tcPr>
          <w:p>
            <w:pPr>
              <w:spacing w:after="0"/>
              <w:rPr>
                <w:sz w:val="16"/>
                <w:szCs w:val="16"/>
                <w:color w:val="auto"/>
              </w:rPr>
            </w:pPr>
          </w:p>
        </w:tc>
        <w:tc>
          <w:tcPr>
            <w:tcW w:w="1100" w:type="dxa"/>
            <w:vAlign w:val="bottom"/>
            <w:shd w:val="clear" w:color="auto" w:fill="D4F1F5"/>
          </w:tcPr>
          <w:p>
            <w:pPr>
              <w:spacing w:after="0"/>
              <w:rPr>
                <w:sz w:val="16"/>
                <w:szCs w:val="16"/>
                <w:color w:val="auto"/>
              </w:rPr>
            </w:pPr>
          </w:p>
        </w:tc>
        <w:tc>
          <w:tcPr>
            <w:tcW w:w="200" w:type="dxa"/>
            <w:vAlign w:val="bottom"/>
            <w:shd w:val="clear" w:color="auto" w:fill="D4F1F5"/>
          </w:tcPr>
          <w:p>
            <w:pPr>
              <w:spacing w:after="0"/>
              <w:rPr>
                <w:sz w:val="16"/>
                <w:szCs w:val="16"/>
                <w:color w:val="auto"/>
              </w:rPr>
            </w:pPr>
          </w:p>
        </w:tc>
        <w:tc>
          <w:tcPr>
            <w:tcW w:w="220" w:type="dxa"/>
            <w:vAlign w:val="bottom"/>
            <w:shd w:val="clear" w:color="auto" w:fill="D4F1F5"/>
          </w:tcPr>
          <w:p>
            <w:pPr>
              <w:spacing w:after="0"/>
              <w:rPr>
                <w:sz w:val="16"/>
                <w:szCs w:val="16"/>
                <w:color w:val="auto"/>
              </w:rPr>
            </w:pPr>
          </w:p>
        </w:tc>
        <w:tc>
          <w:tcPr>
            <w:tcW w:w="1140" w:type="dxa"/>
            <w:vAlign w:val="bottom"/>
            <w:shd w:val="clear" w:color="auto" w:fill="D4F1F5"/>
          </w:tcPr>
          <w:p>
            <w:pPr>
              <w:spacing w:after="0"/>
              <w:rPr>
                <w:sz w:val="16"/>
                <w:szCs w:val="16"/>
                <w:color w:val="auto"/>
              </w:rPr>
            </w:pPr>
          </w:p>
        </w:tc>
        <w:tc>
          <w:tcPr>
            <w:tcW w:w="200" w:type="dxa"/>
            <w:vAlign w:val="bottom"/>
            <w:shd w:val="clear" w:color="auto" w:fill="D4F1F5"/>
          </w:tcPr>
          <w:p>
            <w:pPr>
              <w:spacing w:after="0"/>
              <w:rPr>
                <w:sz w:val="16"/>
                <w:szCs w:val="16"/>
                <w:color w:val="auto"/>
              </w:rPr>
            </w:pPr>
          </w:p>
        </w:tc>
        <w:tc>
          <w:tcPr>
            <w:tcW w:w="1160" w:type="dxa"/>
            <w:vAlign w:val="bottom"/>
            <w:shd w:val="clear" w:color="auto" w:fill="D4F1F5"/>
          </w:tcPr>
          <w:p>
            <w:pPr>
              <w:spacing w:after="0"/>
              <w:rPr>
                <w:sz w:val="16"/>
                <w:szCs w:val="16"/>
                <w:color w:val="auto"/>
              </w:rPr>
            </w:pPr>
          </w:p>
        </w:tc>
      </w:tr>
      <w:tr>
        <w:trPr>
          <w:trHeight w:val="223"/>
        </w:trPr>
        <w:tc>
          <w:tcPr>
            <w:tcW w:w="5620" w:type="dxa"/>
            <w:vAlign w:val="bottom"/>
            <w:tcBorders>
              <w:bottom w:val="single" w:sz="8" w:color="ACACAC"/>
            </w:tcBorders>
          </w:tcPr>
          <w:p>
            <w:pPr>
              <w:ind w:left="20"/>
              <w:spacing w:after="0" w:line="216" w:lineRule="exact"/>
              <w:rPr>
                <w:sz w:val="20"/>
                <w:szCs w:val="20"/>
                <w:color w:val="auto"/>
              </w:rPr>
            </w:pPr>
            <w:r>
              <w:rPr>
                <w:rFonts w:ascii="Arial" w:cs="Arial" w:eastAsia="Arial" w:hAnsi="Arial"/>
                <w:sz w:val="16"/>
                <w:szCs w:val="16"/>
                <w:color w:val="auto"/>
              </w:rPr>
              <w:t>Income taxes due (to) from Sempra</w:t>
            </w:r>
            <w:r>
              <w:rPr>
                <w:rFonts w:ascii="Arial" w:cs="Arial" w:eastAsia="Arial" w:hAnsi="Arial"/>
                <w:sz w:val="21"/>
                <w:szCs w:val="21"/>
                <w:color w:val="auto"/>
                <w:vertAlign w:val="superscript"/>
              </w:rPr>
              <w:t>(1)</w:t>
            </w:r>
          </w:p>
        </w:tc>
        <w:tc>
          <w:tcPr>
            <w:tcW w:w="220" w:type="dxa"/>
            <w:vAlign w:val="bottom"/>
            <w:tcBorders>
              <w:bottom w:val="single" w:sz="8" w:color="ACACAC"/>
            </w:tcBorders>
          </w:tcPr>
          <w:p>
            <w:pPr>
              <w:jc w:val="right"/>
              <w:ind w:right="1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CACAC"/>
            </w:tcBorders>
          </w:tcPr>
          <w:p>
            <w:pPr>
              <w:jc w:val="right"/>
              <w:spacing w:after="0"/>
              <w:rPr>
                <w:sz w:val="20"/>
                <w:szCs w:val="20"/>
                <w:color w:val="auto"/>
              </w:rPr>
            </w:pPr>
            <w:r>
              <w:rPr>
                <w:rFonts w:ascii="Arial" w:cs="Arial" w:eastAsia="Arial" w:hAnsi="Arial"/>
                <w:sz w:val="16"/>
                <w:szCs w:val="16"/>
                <w:color w:val="auto"/>
              </w:rPr>
              <w:t>(3)</w:t>
            </w:r>
          </w:p>
        </w:tc>
        <w:tc>
          <w:tcPr>
            <w:tcW w:w="260" w:type="dxa"/>
            <w:vAlign w:val="bottom"/>
            <w:tcBorders>
              <w:bottom w:val="single" w:sz="8" w:color="ACACAC"/>
            </w:tcBorders>
          </w:tcPr>
          <w:p>
            <w:pPr>
              <w:jc w:val="right"/>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CACAC"/>
            </w:tcBorders>
          </w:tcPr>
          <w:p>
            <w:pPr>
              <w:jc w:val="right"/>
              <w:spacing w:after="0"/>
              <w:rPr>
                <w:sz w:val="20"/>
                <w:szCs w:val="20"/>
                <w:color w:val="auto"/>
              </w:rPr>
            </w:pPr>
            <w:r>
              <w:rPr>
                <w:rFonts w:ascii="Arial" w:cs="Arial" w:eastAsia="Arial" w:hAnsi="Arial"/>
                <w:sz w:val="16"/>
                <w:szCs w:val="16"/>
                <w:color w:val="auto"/>
              </w:rPr>
              <w:t>43</w:t>
            </w:r>
          </w:p>
        </w:tc>
        <w:tc>
          <w:tcPr>
            <w:tcW w:w="420" w:type="dxa"/>
            <w:vAlign w:val="bottom"/>
            <w:tcBorders>
              <w:bottom w:val="single" w:sz="8" w:color="ACACAC"/>
            </w:tcBorders>
            <w:gridSpan w:val="2"/>
          </w:tcPr>
          <w:p>
            <w:pPr>
              <w:jc w:val="right"/>
              <w:ind w:right="100"/>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CACAC"/>
            </w:tcBorders>
          </w:tcPr>
          <w:p>
            <w:pPr>
              <w:jc w:val="right"/>
              <w:ind w:right="2"/>
              <w:spacing w:after="0"/>
              <w:rPr>
                <w:sz w:val="20"/>
                <w:szCs w:val="20"/>
                <w:color w:val="auto"/>
              </w:rPr>
            </w:pPr>
            <w:r>
              <w:rPr>
                <w:rFonts w:ascii="Arial" w:cs="Arial" w:eastAsia="Arial" w:hAnsi="Arial"/>
                <w:sz w:val="16"/>
                <w:szCs w:val="16"/>
                <w:color w:val="auto"/>
              </w:rPr>
              <w:t>(46)</w:t>
            </w:r>
          </w:p>
        </w:tc>
        <w:tc>
          <w:tcPr>
            <w:tcW w:w="200" w:type="dxa"/>
            <w:vAlign w:val="bottom"/>
            <w:tcBorders>
              <w:bottom w:val="single" w:sz="8" w:color="ACACAC"/>
            </w:tcBorders>
          </w:tcPr>
          <w:p>
            <w:pPr>
              <w:jc w:val="right"/>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CACAC"/>
            </w:tcBorders>
          </w:tcPr>
          <w:p>
            <w:pPr>
              <w:jc w:val="right"/>
              <w:spacing w:after="0"/>
              <w:rPr>
                <w:sz w:val="20"/>
                <w:szCs w:val="20"/>
                <w:color w:val="auto"/>
              </w:rPr>
            </w:pPr>
            <w:r>
              <w:rPr>
                <w:rFonts w:ascii="Arial" w:cs="Arial" w:eastAsia="Arial" w:hAnsi="Arial"/>
                <w:sz w:val="16"/>
                <w:szCs w:val="16"/>
                <w:color w:val="auto"/>
              </w:rPr>
              <w:t>(6)</w:t>
            </w:r>
          </w:p>
        </w:tc>
      </w:tr>
    </w:tbl>
    <w:p>
      <w:pPr>
        <w:spacing w:after="0" w:line="114" w:lineRule="exact"/>
        <w:rPr>
          <w:sz w:val="20"/>
          <w:szCs w:val="20"/>
          <w:color w:val="auto"/>
        </w:rPr>
      </w:pPr>
    </w:p>
    <w:p>
      <w:pPr>
        <w:ind w:left="340" w:right="200" w:hanging="332"/>
        <w:spacing w:after="0" w:line="216" w:lineRule="auto"/>
        <w:tabs>
          <w:tab w:leader="none" w:pos="248" w:val="left"/>
        </w:tabs>
        <w:numPr>
          <w:ilvl w:val="0"/>
          <w:numId w:val="8"/>
        </w:numPr>
        <w:rPr>
          <w:rFonts w:ascii="Arial" w:cs="Arial" w:eastAsia="Arial" w:hAnsi="Arial"/>
          <w:sz w:val="21"/>
          <w:szCs w:val="21"/>
          <w:i w:val="1"/>
          <w:iCs w:val="1"/>
          <w:color w:val="auto"/>
          <w:vertAlign w:val="superscript"/>
        </w:rPr>
      </w:pPr>
      <w:r>
        <w:rPr>
          <w:rFonts w:ascii="Arial" w:cs="Arial" w:eastAsia="Arial" w:hAnsi="Arial"/>
          <w:sz w:val="14"/>
          <w:szCs w:val="14"/>
          <w:i w:val="1"/>
          <w:iCs w:val="1"/>
          <w:color w:val="auto"/>
        </w:rPr>
        <w:t>SDG&amp;E and SoCalGas are included in the consolidated income tax return of Sempra, and their respective income tax expense/benefit is computed as an amount equal to that which would result from each company having always filed a separate return. Amounts include current and noncurrent income taxes due from/to Sempra.</w:t>
      </w:r>
    </w:p>
    <w:p>
      <w:pPr>
        <w:spacing w:after="0" w:line="248" w:lineRule="exact"/>
        <w:rPr>
          <w:sz w:val="20"/>
          <w:szCs w:val="20"/>
          <w:color w:val="auto"/>
        </w:rPr>
      </w:pPr>
    </w:p>
    <w:p>
      <w:pPr>
        <w:ind w:right="160"/>
        <w:spacing w:after="0" w:line="281" w:lineRule="auto"/>
        <w:rPr>
          <w:sz w:val="20"/>
          <w:szCs w:val="20"/>
          <w:color w:val="auto"/>
        </w:rPr>
      </w:pPr>
      <w:r>
        <w:rPr>
          <w:rFonts w:ascii="Times New Roman" w:cs="Times New Roman" w:eastAsia="Times New Roman" w:hAnsi="Times New Roman"/>
          <w:sz w:val="18"/>
          <w:szCs w:val="18"/>
          <w:color w:val="auto"/>
        </w:rPr>
        <w:t>At March 31, 2026 and December 31, 2025, net current amounts due to Sempra from Oncor Holdings related to a tax sharing agreement are $34 million and negligible, respectively. At March 31, 2026 and December 31, 2025, net current amounts due from Sempra to Oncor Holdings related to a tax sharing agreement are negligible and $8 million, respectively.</w:t>
      </w:r>
    </w:p>
    <w:p>
      <w:pPr>
        <w:spacing w:after="0" w:line="110" w:lineRule="exact"/>
        <w:rPr>
          <w:sz w:val="20"/>
          <w:szCs w:val="20"/>
          <w:color w:val="auto"/>
        </w:rPr>
      </w:pPr>
    </w:p>
    <w:p>
      <w:pPr>
        <w:ind w:right="20"/>
        <w:spacing w:after="0" w:line="233" w:lineRule="exact"/>
        <w:rPr>
          <w:sz w:val="20"/>
          <w:szCs w:val="20"/>
          <w:color w:val="auto"/>
        </w:rPr>
      </w:pPr>
      <w:r>
        <w:rPr>
          <w:rFonts w:ascii="Times New Roman" w:cs="Times New Roman" w:eastAsia="Times New Roman" w:hAnsi="Times New Roman"/>
          <w:sz w:val="18"/>
          <w:szCs w:val="18"/>
          <w:color w:val="auto"/>
        </w:rPr>
        <w:t>At March 31, 2026 and December 31, 2025, amounts due from unconsolidated affiliates – current of $4 million and $3 million, respectively, are included in Assets Held for Sale on the Sempra Condensed Consolidated Balance Sheets. At March 31, 2026 and December 31, 2025, amounts due to unconsolidated affiliates – noncurrent of $485 million and $477 million, respectively, are included in Liabilities Held for Sale on the Sempra Condensed Consolidated Balance Sheets. These amounts relate to U.S. dollar</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denominated loans at fixed interest rates with TAG Pipelines and TAG Norte and a variable interest rate note with IMG, and include outstanding principal, accrued interest, and value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added tax payable to the Mexican government.</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income statement information from unconsolidated affiliates.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111760</wp:posOffset>
            </wp:positionV>
            <wp:extent cx="7132320" cy="3003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300355"/>
                    </a:xfrm>
                    <a:prstGeom prst="rect">
                      <a:avLst/>
                    </a:prstGeom>
                    <a:noFill/>
                  </pic:spPr>
                </pic:pic>
              </a:graphicData>
            </a:graphic>
          </wp:anchor>
        </w:drawing>
      </w:r>
    </w:p>
    <w:p>
      <w:pPr>
        <w:spacing w:after="0" w:line="169"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FFFFFF"/>
        </w:rPr>
        <w:t>INCOME STATEMENT IMPACT FROM UNCONSOLIDATED AFFILIATES</w:t>
      </w:r>
    </w:p>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8320" w:type="dxa"/>
            <w:vAlign w:val="bottom"/>
          </w:tcPr>
          <w:p>
            <w:pPr>
              <w:ind w:left="20"/>
              <w:spacing w:after="0"/>
              <w:rPr>
                <w:sz w:val="20"/>
                <w:szCs w:val="20"/>
                <w:color w:val="auto"/>
              </w:rPr>
            </w:pPr>
            <w:r>
              <w:rPr>
                <w:rFonts w:ascii="Arial" w:cs="Arial" w:eastAsia="Arial" w:hAnsi="Arial"/>
                <w:sz w:val="14"/>
                <w:szCs w:val="14"/>
                <w:i w:val="1"/>
                <w:iCs w:val="1"/>
                <w:color w:val="FFFFFF"/>
              </w:rPr>
              <w:t>(Dollars in millions)</w:t>
            </w:r>
          </w:p>
        </w:tc>
        <w:tc>
          <w:tcPr>
            <w:tcW w:w="10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360" w:type="dxa"/>
            <w:vAlign w:val="bottom"/>
          </w:tcPr>
          <w:p>
            <w:pPr>
              <w:spacing w:after="0"/>
              <w:rPr>
                <w:sz w:val="16"/>
                <w:szCs w:val="16"/>
                <w:color w:val="auto"/>
              </w:rPr>
            </w:pPr>
          </w:p>
        </w:tc>
      </w:tr>
      <w:tr>
        <w:trPr>
          <w:trHeight w:val="234"/>
        </w:trPr>
        <w:tc>
          <w:tcPr>
            <w:tcW w:w="8320" w:type="dxa"/>
            <w:vAlign w:val="bottom"/>
          </w:tcPr>
          <w:p>
            <w:pPr>
              <w:spacing w:after="0"/>
              <w:rPr>
                <w:sz w:val="20"/>
                <w:szCs w:val="20"/>
                <w:color w:val="auto"/>
              </w:rPr>
            </w:pPr>
          </w:p>
        </w:tc>
        <w:tc>
          <w:tcPr>
            <w:tcW w:w="2560" w:type="dxa"/>
            <w:vAlign w:val="bottom"/>
            <w:tcBorders>
              <w:bottom w:val="single" w:sz="8" w:color="auto"/>
            </w:tcBorders>
            <w:gridSpan w:val="3"/>
          </w:tcPr>
          <w:p>
            <w:pPr>
              <w:jc w:val="right"/>
              <w:ind w:right="21"/>
              <w:spacing w:after="0"/>
              <w:rPr>
                <w:sz w:val="20"/>
                <w:szCs w:val="20"/>
                <w:color w:val="auto"/>
              </w:rPr>
            </w:pPr>
            <w:r>
              <w:rPr>
                <w:rFonts w:ascii="Arial" w:cs="Arial" w:eastAsia="Arial" w:hAnsi="Arial"/>
                <w:sz w:val="14"/>
                <w:szCs w:val="14"/>
                <w:color w:val="auto"/>
              </w:rPr>
              <w:t>Three months ended March 31,</w:t>
            </w:r>
          </w:p>
        </w:tc>
        <w:tc>
          <w:tcPr>
            <w:tcW w:w="360" w:type="dxa"/>
            <w:vAlign w:val="bottom"/>
            <w:tcBorders>
              <w:bottom w:val="single" w:sz="8" w:color="auto"/>
            </w:tcBorders>
          </w:tcPr>
          <w:p>
            <w:pPr>
              <w:spacing w:after="0"/>
              <w:rPr>
                <w:sz w:val="20"/>
                <w:szCs w:val="20"/>
                <w:color w:val="auto"/>
              </w:rPr>
            </w:pPr>
          </w:p>
        </w:tc>
      </w:tr>
      <w:tr>
        <w:trPr>
          <w:trHeight w:val="209"/>
        </w:trPr>
        <w:tc>
          <w:tcPr>
            <w:tcW w:w="83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63"/>
              <w:spacing w:after="0"/>
              <w:rPr>
                <w:sz w:val="20"/>
                <w:szCs w:val="20"/>
                <w:color w:val="auto"/>
              </w:rPr>
            </w:pPr>
            <w:r>
              <w:rPr>
                <w:rFonts w:ascii="Arial" w:cs="Arial" w:eastAsia="Arial" w:hAnsi="Arial"/>
                <w:sz w:val="14"/>
                <w:szCs w:val="14"/>
                <w:color w:val="auto"/>
              </w:rPr>
              <w:t>2026</w:t>
            </w:r>
          </w:p>
        </w:tc>
        <w:tc>
          <w:tcPr>
            <w:tcW w:w="4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101"/>
              <w:spacing w:after="0"/>
              <w:rPr>
                <w:sz w:val="20"/>
                <w:szCs w:val="20"/>
                <w:color w:val="auto"/>
              </w:rPr>
            </w:pPr>
            <w:r>
              <w:rPr>
                <w:rFonts w:ascii="Arial" w:cs="Arial" w:eastAsia="Arial" w:hAnsi="Arial"/>
                <w:sz w:val="14"/>
                <w:szCs w:val="14"/>
                <w:color w:val="auto"/>
              </w:rPr>
              <w:t>2025</w:t>
            </w:r>
          </w:p>
        </w:tc>
        <w:tc>
          <w:tcPr>
            <w:tcW w:w="360" w:type="dxa"/>
            <w:vAlign w:val="bottom"/>
            <w:tcBorders>
              <w:bottom w:val="single" w:sz="8" w:color="auto"/>
            </w:tcBorders>
          </w:tcPr>
          <w:p>
            <w:pPr>
              <w:spacing w:after="0"/>
              <w:rPr>
                <w:sz w:val="18"/>
                <w:szCs w:val="18"/>
                <w:color w:val="auto"/>
              </w:rPr>
            </w:pPr>
          </w:p>
        </w:tc>
      </w:tr>
      <w:tr>
        <w:trPr>
          <w:trHeight w:val="214"/>
        </w:trPr>
        <w:tc>
          <w:tcPr>
            <w:tcW w:w="8320" w:type="dxa"/>
            <w:vAlign w:val="bottom"/>
            <w:shd w:val="clear" w:color="auto" w:fill="D4F1F5"/>
          </w:tcPr>
          <w:p>
            <w:pPr>
              <w:ind w:left="20"/>
              <w:spacing w:after="0"/>
              <w:rPr>
                <w:sz w:val="20"/>
                <w:szCs w:val="20"/>
                <w:color w:val="auto"/>
              </w:rPr>
            </w:pPr>
            <w:r>
              <w:rPr>
                <w:rFonts w:ascii="Arial" w:cs="Arial" w:eastAsia="Arial" w:hAnsi="Arial"/>
                <w:sz w:val="16"/>
                <w:szCs w:val="16"/>
                <w:b w:val="1"/>
                <w:bCs w:val="1"/>
                <w:color w:val="auto"/>
              </w:rPr>
              <w:t>Sempra:</w:t>
            </w:r>
          </w:p>
        </w:tc>
        <w:tc>
          <w:tcPr>
            <w:tcW w:w="1000" w:type="dxa"/>
            <w:vAlign w:val="bottom"/>
            <w:shd w:val="clear" w:color="auto" w:fill="D4F1F5"/>
          </w:tcPr>
          <w:p>
            <w:pPr>
              <w:spacing w:after="0"/>
              <w:rPr>
                <w:sz w:val="18"/>
                <w:szCs w:val="18"/>
                <w:color w:val="auto"/>
              </w:rPr>
            </w:pPr>
          </w:p>
        </w:tc>
        <w:tc>
          <w:tcPr>
            <w:tcW w:w="420" w:type="dxa"/>
            <w:vAlign w:val="bottom"/>
            <w:shd w:val="clear" w:color="auto" w:fill="D4F1F5"/>
          </w:tcPr>
          <w:p>
            <w:pPr>
              <w:spacing w:after="0"/>
              <w:rPr>
                <w:sz w:val="18"/>
                <w:szCs w:val="18"/>
                <w:color w:val="auto"/>
              </w:rPr>
            </w:pPr>
          </w:p>
        </w:tc>
        <w:tc>
          <w:tcPr>
            <w:tcW w:w="1140" w:type="dxa"/>
            <w:vAlign w:val="bottom"/>
            <w:shd w:val="clear" w:color="auto" w:fill="D4F1F5"/>
          </w:tcPr>
          <w:p>
            <w:pPr>
              <w:spacing w:after="0"/>
              <w:rPr>
                <w:sz w:val="18"/>
                <w:szCs w:val="18"/>
                <w:color w:val="auto"/>
              </w:rPr>
            </w:pPr>
          </w:p>
        </w:tc>
        <w:tc>
          <w:tcPr>
            <w:tcW w:w="360" w:type="dxa"/>
            <w:vAlign w:val="bottom"/>
            <w:shd w:val="clear" w:color="auto" w:fill="D4F1F5"/>
          </w:tcPr>
          <w:p>
            <w:pPr>
              <w:spacing w:after="0"/>
              <w:rPr>
                <w:sz w:val="18"/>
                <w:szCs w:val="18"/>
                <w:color w:val="auto"/>
              </w:rPr>
            </w:pPr>
          </w:p>
        </w:tc>
      </w:tr>
      <w:tr>
        <w:trPr>
          <w:trHeight w:val="215"/>
        </w:trPr>
        <w:tc>
          <w:tcPr>
            <w:tcW w:w="8320" w:type="dxa"/>
            <w:vAlign w:val="bottom"/>
          </w:tcPr>
          <w:p>
            <w:pPr>
              <w:ind w:left="240"/>
              <w:spacing w:after="0"/>
              <w:rPr>
                <w:sz w:val="20"/>
                <w:szCs w:val="20"/>
                <w:color w:val="auto"/>
              </w:rPr>
            </w:pPr>
            <w:r>
              <w:rPr>
                <w:rFonts w:ascii="Arial" w:cs="Arial" w:eastAsia="Arial" w:hAnsi="Arial"/>
                <w:sz w:val="16"/>
                <w:szCs w:val="16"/>
                <w:color w:val="auto"/>
              </w:rPr>
              <w:t>Revenues</w:t>
            </w:r>
          </w:p>
        </w:tc>
        <w:tc>
          <w:tcPr>
            <w:tcW w:w="1000" w:type="dxa"/>
            <w:vAlign w:val="bottom"/>
          </w:tcPr>
          <w:p>
            <w:pPr>
              <w:jc w:val="right"/>
              <w:ind w:right="823"/>
              <w:spacing w:after="0"/>
              <w:rPr>
                <w:sz w:val="20"/>
                <w:szCs w:val="20"/>
                <w:color w:val="auto"/>
              </w:rPr>
            </w:pPr>
            <w:r>
              <w:rPr>
                <w:rFonts w:ascii="Arial" w:cs="Arial" w:eastAsia="Arial" w:hAnsi="Arial"/>
                <w:sz w:val="16"/>
                <w:szCs w:val="16"/>
                <w:color w:val="auto"/>
                <w:w w:val="89"/>
              </w:rPr>
              <w:t>$</w:t>
            </w:r>
          </w:p>
        </w:tc>
        <w:tc>
          <w:tcPr>
            <w:tcW w:w="420" w:type="dxa"/>
            <w:vAlign w:val="bottom"/>
          </w:tcPr>
          <w:p>
            <w:pPr>
              <w:jc w:val="right"/>
              <w:spacing w:after="0"/>
              <w:rPr>
                <w:sz w:val="20"/>
                <w:szCs w:val="20"/>
                <w:color w:val="auto"/>
              </w:rPr>
            </w:pPr>
            <w:r>
              <w:rPr>
                <w:rFonts w:ascii="Arial" w:cs="Arial" w:eastAsia="Arial" w:hAnsi="Arial"/>
                <w:sz w:val="16"/>
                <w:szCs w:val="16"/>
                <w:color w:val="auto"/>
              </w:rPr>
              <w:t>8</w:t>
            </w:r>
          </w:p>
        </w:tc>
        <w:tc>
          <w:tcPr>
            <w:tcW w:w="1140" w:type="dxa"/>
            <w:vAlign w:val="bottom"/>
          </w:tcPr>
          <w:p>
            <w:pPr>
              <w:jc w:val="right"/>
              <w:ind w:right="861"/>
              <w:spacing w:after="0"/>
              <w:rPr>
                <w:sz w:val="20"/>
                <w:szCs w:val="20"/>
                <w:color w:val="auto"/>
              </w:rPr>
            </w:pPr>
            <w:r>
              <w:rPr>
                <w:rFonts w:ascii="Arial" w:cs="Arial" w:eastAsia="Arial" w:hAnsi="Arial"/>
                <w:sz w:val="16"/>
                <w:szCs w:val="16"/>
                <w:color w:val="auto"/>
              </w:rPr>
              <w:t>$</w:t>
            </w:r>
          </w:p>
        </w:tc>
        <w:tc>
          <w:tcPr>
            <w:tcW w:w="360" w:type="dxa"/>
            <w:vAlign w:val="bottom"/>
          </w:tcPr>
          <w:p>
            <w:pPr>
              <w:jc w:val="right"/>
              <w:spacing w:after="0"/>
              <w:rPr>
                <w:sz w:val="20"/>
                <w:szCs w:val="20"/>
                <w:color w:val="auto"/>
              </w:rPr>
            </w:pPr>
            <w:r>
              <w:rPr>
                <w:rFonts w:ascii="Arial" w:cs="Arial" w:eastAsia="Arial" w:hAnsi="Arial"/>
                <w:sz w:val="16"/>
                <w:szCs w:val="16"/>
                <w:color w:val="auto"/>
              </w:rPr>
              <w:t>9</w:t>
            </w:r>
          </w:p>
        </w:tc>
      </w:tr>
      <w:tr>
        <w:trPr>
          <w:trHeight w:val="224"/>
        </w:trPr>
        <w:tc>
          <w:tcPr>
            <w:tcW w:w="8320" w:type="dxa"/>
            <w:vAlign w:val="bottom"/>
            <w:tcBorders>
              <w:bottom w:val="single" w:sz="8" w:color="ACACAC"/>
            </w:tcBorders>
            <w:shd w:val="clear" w:color="auto" w:fill="D4F1F5"/>
          </w:tcPr>
          <w:p>
            <w:pPr>
              <w:ind w:left="240"/>
              <w:spacing w:after="0"/>
              <w:rPr>
                <w:sz w:val="20"/>
                <w:szCs w:val="20"/>
                <w:color w:val="auto"/>
              </w:rPr>
            </w:pPr>
            <w:r>
              <w:rPr>
                <w:rFonts w:ascii="Arial" w:cs="Arial" w:eastAsia="Arial" w:hAnsi="Arial"/>
                <w:sz w:val="16"/>
                <w:szCs w:val="16"/>
                <w:color w:val="auto"/>
              </w:rPr>
              <w:t>Interest expense</w:t>
            </w:r>
          </w:p>
        </w:tc>
        <w:tc>
          <w:tcPr>
            <w:tcW w:w="1000" w:type="dxa"/>
            <w:vAlign w:val="bottom"/>
            <w:tcBorders>
              <w:bottom w:val="single" w:sz="8" w:color="ACACAC"/>
            </w:tcBorders>
            <w:shd w:val="clear" w:color="auto" w:fill="D4F1F5"/>
          </w:tcPr>
          <w:p>
            <w:pPr>
              <w:spacing w:after="0"/>
              <w:rPr>
                <w:sz w:val="19"/>
                <w:szCs w:val="19"/>
                <w:color w:val="auto"/>
              </w:rPr>
            </w:pPr>
          </w:p>
        </w:tc>
        <w:tc>
          <w:tcPr>
            <w:tcW w:w="420" w:type="dxa"/>
            <w:vAlign w:val="bottom"/>
            <w:tcBorders>
              <w:bottom w:val="single" w:sz="8" w:color="ACACAC"/>
            </w:tcBorders>
            <w:shd w:val="clear" w:color="auto" w:fill="D4F1F5"/>
          </w:tcPr>
          <w:p>
            <w:pPr>
              <w:jc w:val="right"/>
              <w:spacing w:after="0"/>
              <w:rPr>
                <w:sz w:val="20"/>
                <w:szCs w:val="20"/>
                <w:color w:val="auto"/>
              </w:rPr>
            </w:pPr>
            <w:r>
              <w:rPr>
                <w:rFonts w:ascii="Arial" w:cs="Arial" w:eastAsia="Arial" w:hAnsi="Arial"/>
                <w:sz w:val="16"/>
                <w:szCs w:val="16"/>
                <w:color w:val="auto"/>
              </w:rPr>
              <w:t>6</w:t>
            </w:r>
          </w:p>
        </w:tc>
        <w:tc>
          <w:tcPr>
            <w:tcW w:w="1140" w:type="dxa"/>
            <w:vAlign w:val="bottom"/>
            <w:tcBorders>
              <w:bottom w:val="single" w:sz="8" w:color="ACACAC"/>
            </w:tcBorders>
            <w:shd w:val="clear" w:color="auto" w:fill="D4F1F5"/>
          </w:tcPr>
          <w:p>
            <w:pPr>
              <w:spacing w:after="0"/>
              <w:rPr>
                <w:sz w:val="19"/>
                <w:szCs w:val="19"/>
                <w:color w:val="auto"/>
              </w:rPr>
            </w:pPr>
          </w:p>
        </w:tc>
        <w:tc>
          <w:tcPr>
            <w:tcW w:w="360" w:type="dxa"/>
            <w:vAlign w:val="bottom"/>
            <w:tcBorders>
              <w:bottom w:val="single" w:sz="8" w:color="ACACAC"/>
            </w:tcBorders>
            <w:shd w:val="clear" w:color="auto" w:fill="D4F1F5"/>
          </w:tcPr>
          <w:p>
            <w:pPr>
              <w:jc w:val="right"/>
              <w:spacing w:after="0"/>
              <w:rPr>
                <w:sz w:val="20"/>
                <w:szCs w:val="20"/>
                <w:color w:val="auto"/>
              </w:rPr>
            </w:pPr>
            <w:r>
              <w:rPr>
                <w:rFonts w:ascii="Arial" w:cs="Arial" w:eastAsia="Arial" w:hAnsi="Arial"/>
                <w:sz w:val="16"/>
                <w:szCs w:val="16"/>
                <w:color w:val="auto"/>
              </w:rPr>
              <w:t>4</w:t>
            </w:r>
          </w:p>
        </w:tc>
      </w:tr>
      <w:tr>
        <w:trPr>
          <w:trHeight w:val="216"/>
        </w:trPr>
        <w:tc>
          <w:tcPr>
            <w:tcW w:w="8320" w:type="dxa"/>
            <w:vAlign w:val="bottom"/>
          </w:tcPr>
          <w:p>
            <w:pPr>
              <w:ind w:left="20"/>
              <w:spacing w:after="0"/>
              <w:rPr>
                <w:sz w:val="20"/>
                <w:szCs w:val="20"/>
                <w:color w:val="auto"/>
              </w:rPr>
            </w:pPr>
            <w:r>
              <w:rPr>
                <w:rFonts w:ascii="Arial" w:cs="Arial" w:eastAsia="Arial" w:hAnsi="Arial"/>
                <w:sz w:val="16"/>
                <w:szCs w:val="16"/>
                <w:b w:val="1"/>
                <w:bCs w:val="1"/>
                <w:color w:val="auto"/>
              </w:rPr>
              <w:t>SDG&amp;E:</w:t>
            </w:r>
          </w:p>
        </w:tc>
        <w:tc>
          <w:tcPr>
            <w:tcW w:w="10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60" w:type="dxa"/>
            <w:vAlign w:val="bottom"/>
          </w:tcPr>
          <w:p>
            <w:pPr>
              <w:spacing w:after="0"/>
              <w:rPr>
                <w:sz w:val="18"/>
                <w:szCs w:val="18"/>
                <w:color w:val="auto"/>
              </w:rPr>
            </w:pPr>
          </w:p>
        </w:tc>
      </w:tr>
      <w:tr>
        <w:trPr>
          <w:trHeight w:val="216"/>
        </w:trPr>
        <w:tc>
          <w:tcPr>
            <w:tcW w:w="8320" w:type="dxa"/>
            <w:vAlign w:val="bottom"/>
            <w:shd w:val="clear" w:color="auto" w:fill="D4F1F5"/>
          </w:tcPr>
          <w:p>
            <w:pPr>
              <w:ind w:left="240"/>
              <w:spacing w:after="0"/>
              <w:rPr>
                <w:sz w:val="20"/>
                <w:szCs w:val="20"/>
                <w:color w:val="auto"/>
              </w:rPr>
            </w:pPr>
            <w:r>
              <w:rPr>
                <w:rFonts w:ascii="Arial" w:cs="Arial" w:eastAsia="Arial" w:hAnsi="Arial"/>
                <w:sz w:val="16"/>
                <w:szCs w:val="16"/>
                <w:color w:val="auto"/>
              </w:rPr>
              <w:t>Revenues</w:t>
            </w:r>
          </w:p>
        </w:tc>
        <w:tc>
          <w:tcPr>
            <w:tcW w:w="1000" w:type="dxa"/>
            <w:vAlign w:val="bottom"/>
            <w:shd w:val="clear" w:color="auto" w:fill="D4F1F5"/>
          </w:tcPr>
          <w:p>
            <w:pPr>
              <w:jc w:val="right"/>
              <w:ind w:right="823"/>
              <w:spacing w:after="0"/>
              <w:rPr>
                <w:sz w:val="20"/>
                <w:szCs w:val="20"/>
                <w:color w:val="auto"/>
              </w:rPr>
            </w:pPr>
            <w:r>
              <w:rPr>
                <w:rFonts w:ascii="Arial" w:cs="Arial" w:eastAsia="Arial" w:hAnsi="Arial"/>
                <w:sz w:val="16"/>
                <w:szCs w:val="16"/>
                <w:color w:val="auto"/>
                <w:w w:val="89"/>
              </w:rPr>
              <w:t>$</w:t>
            </w:r>
          </w:p>
        </w:tc>
        <w:tc>
          <w:tcPr>
            <w:tcW w:w="420" w:type="dxa"/>
            <w:vAlign w:val="bottom"/>
            <w:shd w:val="clear" w:color="auto" w:fill="D4F1F5"/>
          </w:tcPr>
          <w:p>
            <w:pPr>
              <w:jc w:val="right"/>
              <w:spacing w:after="0"/>
              <w:rPr>
                <w:sz w:val="20"/>
                <w:szCs w:val="20"/>
                <w:color w:val="auto"/>
              </w:rPr>
            </w:pPr>
            <w:r>
              <w:rPr>
                <w:rFonts w:ascii="Arial" w:cs="Arial" w:eastAsia="Arial" w:hAnsi="Arial"/>
                <w:sz w:val="16"/>
                <w:szCs w:val="16"/>
                <w:color w:val="auto"/>
              </w:rPr>
              <w:t>6</w:t>
            </w:r>
          </w:p>
        </w:tc>
        <w:tc>
          <w:tcPr>
            <w:tcW w:w="1140" w:type="dxa"/>
            <w:vAlign w:val="bottom"/>
            <w:shd w:val="clear" w:color="auto" w:fill="D4F1F5"/>
          </w:tcPr>
          <w:p>
            <w:pPr>
              <w:jc w:val="right"/>
              <w:ind w:right="861"/>
              <w:spacing w:after="0"/>
              <w:rPr>
                <w:sz w:val="20"/>
                <w:szCs w:val="20"/>
                <w:color w:val="auto"/>
              </w:rPr>
            </w:pPr>
            <w:r>
              <w:rPr>
                <w:rFonts w:ascii="Arial" w:cs="Arial" w:eastAsia="Arial" w:hAnsi="Arial"/>
                <w:sz w:val="16"/>
                <w:szCs w:val="16"/>
                <w:color w:val="auto"/>
              </w:rPr>
              <w:t>$</w:t>
            </w:r>
          </w:p>
        </w:tc>
        <w:tc>
          <w:tcPr>
            <w:tcW w:w="360" w:type="dxa"/>
            <w:vAlign w:val="bottom"/>
            <w:shd w:val="clear" w:color="auto" w:fill="D4F1F5"/>
          </w:tcPr>
          <w:p>
            <w:pPr>
              <w:jc w:val="right"/>
              <w:spacing w:after="0"/>
              <w:rPr>
                <w:sz w:val="20"/>
                <w:szCs w:val="20"/>
                <w:color w:val="auto"/>
              </w:rPr>
            </w:pPr>
            <w:r>
              <w:rPr>
                <w:rFonts w:ascii="Arial" w:cs="Arial" w:eastAsia="Arial" w:hAnsi="Arial"/>
                <w:sz w:val="16"/>
                <w:szCs w:val="16"/>
                <w:color w:val="auto"/>
              </w:rPr>
              <w:t>6</w:t>
            </w:r>
          </w:p>
        </w:tc>
      </w:tr>
      <w:tr>
        <w:trPr>
          <w:trHeight w:val="223"/>
        </w:trPr>
        <w:tc>
          <w:tcPr>
            <w:tcW w:w="8320" w:type="dxa"/>
            <w:vAlign w:val="bottom"/>
            <w:tcBorders>
              <w:bottom w:val="single" w:sz="8" w:color="ACACAC"/>
            </w:tcBorders>
          </w:tcPr>
          <w:p>
            <w:pPr>
              <w:ind w:left="240"/>
              <w:spacing w:after="0"/>
              <w:rPr>
                <w:sz w:val="20"/>
                <w:szCs w:val="20"/>
                <w:color w:val="auto"/>
              </w:rPr>
            </w:pPr>
            <w:r>
              <w:rPr>
                <w:rFonts w:ascii="Arial" w:cs="Arial" w:eastAsia="Arial" w:hAnsi="Arial"/>
                <w:sz w:val="16"/>
                <w:szCs w:val="16"/>
                <w:color w:val="auto"/>
              </w:rPr>
              <w:t>Cost of sales</w:t>
            </w:r>
          </w:p>
        </w:tc>
        <w:tc>
          <w:tcPr>
            <w:tcW w:w="1000" w:type="dxa"/>
            <w:vAlign w:val="bottom"/>
            <w:tcBorders>
              <w:bottom w:val="single" w:sz="8" w:color="ACACAC"/>
            </w:tcBorders>
          </w:tcPr>
          <w:p>
            <w:pPr>
              <w:spacing w:after="0"/>
              <w:rPr>
                <w:sz w:val="19"/>
                <w:szCs w:val="19"/>
                <w:color w:val="auto"/>
              </w:rPr>
            </w:pPr>
          </w:p>
        </w:tc>
        <w:tc>
          <w:tcPr>
            <w:tcW w:w="420" w:type="dxa"/>
            <w:vAlign w:val="bottom"/>
            <w:tcBorders>
              <w:bottom w:val="single" w:sz="8" w:color="ACACAC"/>
            </w:tcBorders>
          </w:tcPr>
          <w:p>
            <w:pPr>
              <w:jc w:val="right"/>
              <w:spacing w:after="0"/>
              <w:rPr>
                <w:sz w:val="20"/>
                <w:szCs w:val="20"/>
                <w:color w:val="auto"/>
              </w:rPr>
            </w:pPr>
            <w:r>
              <w:rPr>
                <w:rFonts w:ascii="Arial" w:cs="Arial" w:eastAsia="Arial" w:hAnsi="Arial"/>
                <w:sz w:val="16"/>
                <w:szCs w:val="16"/>
                <w:color w:val="auto"/>
              </w:rPr>
              <w:t>28</w:t>
            </w:r>
          </w:p>
        </w:tc>
        <w:tc>
          <w:tcPr>
            <w:tcW w:w="1140" w:type="dxa"/>
            <w:vAlign w:val="bottom"/>
            <w:tcBorders>
              <w:bottom w:val="single" w:sz="8" w:color="ACACAC"/>
            </w:tcBorders>
          </w:tcPr>
          <w:p>
            <w:pPr>
              <w:spacing w:after="0"/>
              <w:rPr>
                <w:sz w:val="19"/>
                <w:szCs w:val="19"/>
                <w:color w:val="auto"/>
              </w:rPr>
            </w:pPr>
          </w:p>
        </w:tc>
        <w:tc>
          <w:tcPr>
            <w:tcW w:w="360" w:type="dxa"/>
            <w:vAlign w:val="bottom"/>
            <w:tcBorders>
              <w:bottom w:val="single" w:sz="8" w:color="ACACAC"/>
            </w:tcBorders>
          </w:tcPr>
          <w:p>
            <w:pPr>
              <w:jc w:val="right"/>
              <w:spacing w:after="0"/>
              <w:rPr>
                <w:sz w:val="20"/>
                <w:szCs w:val="20"/>
                <w:color w:val="auto"/>
              </w:rPr>
            </w:pPr>
            <w:r>
              <w:rPr>
                <w:rFonts w:ascii="Arial" w:cs="Arial" w:eastAsia="Arial" w:hAnsi="Arial"/>
                <w:sz w:val="16"/>
                <w:szCs w:val="16"/>
                <w:color w:val="auto"/>
              </w:rPr>
              <w:t>38</w:t>
            </w:r>
          </w:p>
        </w:tc>
      </w:tr>
      <w:tr>
        <w:trPr>
          <w:trHeight w:val="216"/>
        </w:trPr>
        <w:tc>
          <w:tcPr>
            <w:tcW w:w="8320" w:type="dxa"/>
            <w:vAlign w:val="bottom"/>
            <w:shd w:val="clear" w:color="auto" w:fill="D4F1F5"/>
          </w:tcPr>
          <w:p>
            <w:pPr>
              <w:ind w:left="20"/>
              <w:spacing w:after="0"/>
              <w:rPr>
                <w:sz w:val="20"/>
                <w:szCs w:val="20"/>
                <w:color w:val="auto"/>
              </w:rPr>
            </w:pPr>
            <w:r>
              <w:rPr>
                <w:rFonts w:ascii="Arial" w:cs="Arial" w:eastAsia="Arial" w:hAnsi="Arial"/>
                <w:sz w:val="16"/>
                <w:szCs w:val="16"/>
                <w:b w:val="1"/>
                <w:bCs w:val="1"/>
                <w:color w:val="auto"/>
              </w:rPr>
              <w:t>SoCalGas:</w:t>
            </w:r>
          </w:p>
        </w:tc>
        <w:tc>
          <w:tcPr>
            <w:tcW w:w="1000" w:type="dxa"/>
            <w:vAlign w:val="bottom"/>
            <w:shd w:val="clear" w:color="auto" w:fill="D4F1F5"/>
          </w:tcPr>
          <w:p>
            <w:pPr>
              <w:spacing w:after="0"/>
              <w:rPr>
                <w:sz w:val="18"/>
                <w:szCs w:val="18"/>
                <w:color w:val="auto"/>
              </w:rPr>
            </w:pPr>
          </w:p>
        </w:tc>
        <w:tc>
          <w:tcPr>
            <w:tcW w:w="420" w:type="dxa"/>
            <w:vAlign w:val="bottom"/>
            <w:shd w:val="clear" w:color="auto" w:fill="D4F1F5"/>
          </w:tcPr>
          <w:p>
            <w:pPr>
              <w:spacing w:after="0"/>
              <w:rPr>
                <w:sz w:val="18"/>
                <w:szCs w:val="18"/>
                <w:color w:val="auto"/>
              </w:rPr>
            </w:pPr>
          </w:p>
        </w:tc>
        <w:tc>
          <w:tcPr>
            <w:tcW w:w="1140" w:type="dxa"/>
            <w:vAlign w:val="bottom"/>
            <w:shd w:val="clear" w:color="auto" w:fill="D4F1F5"/>
          </w:tcPr>
          <w:p>
            <w:pPr>
              <w:spacing w:after="0"/>
              <w:rPr>
                <w:sz w:val="18"/>
                <w:szCs w:val="18"/>
                <w:color w:val="auto"/>
              </w:rPr>
            </w:pPr>
          </w:p>
        </w:tc>
        <w:tc>
          <w:tcPr>
            <w:tcW w:w="360" w:type="dxa"/>
            <w:vAlign w:val="bottom"/>
            <w:shd w:val="clear" w:color="auto" w:fill="D4F1F5"/>
          </w:tcPr>
          <w:p>
            <w:pPr>
              <w:spacing w:after="0"/>
              <w:rPr>
                <w:sz w:val="18"/>
                <w:szCs w:val="18"/>
                <w:color w:val="auto"/>
              </w:rPr>
            </w:pPr>
          </w:p>
        </w:tc>
      </w:tr>
      <w:tr>
        <w:trPr>
          <w:trHeight w:val="215"/>
        </w:trPr>
        <w:tc>
          <w:tcPr>
            <w:tcW w:w="8320" w:type="dxa"/>
            <w:vAlign w:val="bottom"/>
          </w:tcPr>
          <w:p>
            <w:pPr>
              <w:ind w:left="240"/>
              <w:spacing w:after="0"/>
              <w:rPr>
                <w:sz w:val="20"/>
                <w:szCs w:val="20"/>
                <w:color w:val="auto"/>
              </w:rPr>
            </w:pPr>
            <w:r>
              <w:rPr>
                <w:rFonts w:ascii="Arial" w:cs="Arial" w:eastAsia="Arial" w:hAnsi="Arial"/>
                <w:sz w:val="16"/>
                <w:szCs w:val="16"/>
                <w:color w:val="auto"/>
              </w:rPr>
              <w:t>Revenues</w:t>
            </w:r>
          </w:p>
        </w:tc>
        <w:tc>
          <w:tcPr>
            <w:tcW w:w="1000" w:type="dxa"/>
            <w:vAlign w:val="bottom"/>
          </w:tcPr>
          <w:p>
            <w:pPr>
              <w:jc w:val="right"/>
              <w:ind w:right="823"/>
              <w:spacing w:after="0"/>
              <w:rPr>
                <w:sz w:val="20"/>
                <w:szCs w:val="20"/>
                <w:color w:val="auto"/>
              </w:rPr>
            </w:pPr>
            <w:r>
              <w:rPr>
                <w:rFonts w:ascii="Arial" w:cs="Arial" w:eastAsia="Arial" w:hAnsi="Arial"/>
                <w:sz w:val="16"/>
                <w:szCs w:val="16"/>
                <w:color w:val="auto"/>
                <w:w w:val="89"/>
              </w:rPr>
              <w:t>$</w:t>
            </w:r>
          </w:p>
        </w:tc>
        <w:tc>
          <w:tcPr>
            <w:tcW w:w="420" w:type="dxa"/>
            <w:vAlign w:val="bottom"/>
          </w:tcPr>
          <w:p>
            <w:pPr>
              <w:jc w:val="right"/>
              <w:spacing w:after="0"/>
              <w:rPr>
                <w:sz w:val="20"/>
                <w:szCs w:val="20"/>
                <w:color w:val="auto"/>
              </w:rPr>
            </w:pPr>
            <w:r>
              <w:rPr>
                <w:rFonts w:ascii="Arial" w:cs="Arial" w:eastAsia="Arial" w:hAnsi="Arial"/>
                <w:sz w:val="16"/>
                <w:szCs w:val="16"/>
                <w:color w:val="auto"/>
              </w:rPr>
              <w:t>46</w:t>
            </w:r>
          </w:p>
        </w:tc>
        <w:tc>
          <w:tcPr>
            <w:tcW w:w="1140" w:type="dxa"/>
            <w:vAlign w:val="bottom"/>
          </w:tcPr>
          <w:p>
            <w:pPr>
              <w:jc w:val="right"/>
              <w:ind w:right="861"/>
              <w:spacing w:after="0"/>
              <w:rPr>
                <w:sz w:val="20"/>
                <w:szCs w:val="20"/>
                <w:color w:val="auto"/>
              </w:rPr>
            </w:pPr>
            <w:r>
              <w:rPr>
                <w:rFonts w:ascii="Arial" w:cs="Arial" w:eastAsia="Arial" w:hAnsi="Arial"/>
                <w:sz w:val="16"/>
                <w:szCs w:val="16"/>
                <w:color w:val="auto"/>
              </w:rPr>
              <w:t>$</w:t>
            </w:r>
          </w:p>
        </w:tc>
        <w:tc>
          <w:tcPr>
            <w:tcW w:w="360" w:type="dxa"/>
            <w:vAlign w:val="bottom"/>
          </w:tcPr>
          <w:p>
            <w:pPr>
              <w:jc w:val="right"/>
              <w:spacing w:after="0"/>
              <w:rPr>
                <w:sz w:val="20"/>
                <w:szCs w:val="20"/>
                <w:color w:val="auto"/>
              </w:rPr>
            </w:pPr>
            <w:r>
              <w:rPr>
                <w:rFonts w:ascii="Arial" w:cs="Arial" w:eastAsia="Arial" w:hAnsi="Arial"/>
                <w:sz w:val="16"/>
                <w:szCs w:val="16"/>
                <w:color w:val="auto"/>
              </w:rPr>
              <w:t>41</w:t>
            </w:r>
          </w:p>
        </w:tc>
      </w:tr>
      <w:tr>
        <w:trPr>
          <w:trHeight w:val="224"/>
        </w:trPr>
        <w:tc>
          <w:tcPr>
            <w:tcW w:w="8320" w:type="dxa"/>
            <w:vAlign w:val="bottom"/>
            <w:tcBorders>
              <w:bottom w:val="single" w:sz="8" w:color="ACACAC"/>
            </w:tcBorders>
            <w:shd w:val="clear" w:color="auto" w:fill="D4F1F5"/>
          </w:tcPr>
          <w:p>
            <w:pPr>
              <w:ind w:left="240"/>
              <w:spacing w:after="0" w:line="217" w:lineRule="exact"/>
              <w:rPr>
                <w:sz w:val="20"/>
                <w:szCs w:val="20"/>
                <w:color w:val="auto"/>
              </w:rPr>
            </w:pPr>
            <w:r>
              <w:rPr>
                <w:rFonts w:ascii="Arial" w:cs="Arial" w:eastAsia="Arial" w:hAnsi="Arial"/>
                <w:sz w:val="16"/>
                <w:szCs w:val="16"/>
                <w:color w:val="auto"/>
              </w:rPr>
              <w:t>Cost of sales</w:t>
            </w:r>
            <w:r>
              <w:rPr>
                <w:rFonts w:ascii="Arial" w:cs="Arial" w:eastAsia="Arial" w:hAnsi="Arial"/>
                <w:sz w:val="21"/>
                <w:szCs w:val="21"/>
                <w:color w:val="auto"/>
                <w:vertAlign w:val="superscript"/>
              </w:rPr>
              <w:t>(1)</w:t>
            </w:r>
          </w:p>
        </w:tc>
        <w:tc>
          <w:tcPr>
            <w:tcW w:w="1000" w:type="dxa"/>
            <w:vAlign w:val="bottom"/>
            <w:tcBorders>
              <w:bottom w:val="single" w:sz="8" w:color="ACACAC"/>
            </w:tcBorders>
            <w:shd w:val="clear" w:color="auto" w:fill="D4F1F5"/>
          </w:tcPr>
          <w:p>
            <w:pPr>
              <w:spacing w:after="0"/>
              <w:rPr>
                <w:sz w:val="19"/>
                <w:szCs w:val="19"/>
                <w:color w:val="auto"/>
              </w:rPr>
            </w:pPr>
          </w:p>
        </w:tc>
        <w:tc>
          <w:tcPr>
            <w:tcW w:w="420" w:type="dxa"/>
            <w:vAlign w:val="bottom"/>
            <w:tcBorders>
              <w:bottom w:val="single" w:sz="8" w:color="ACACAC"/>
            </w:tcBorders>
            <w:shd w:val="clear" w:color="auto" w:fill="D4F1F5"/>
          </w:tcPr>
          <w:p>
            <w:pPr>
              <w:jc w:val="right"/>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CACAC"/>
            </w:tcBorders>
            <w:shd w:val="clear" w:color="auto" w:fill="D4F1F5"/>
          </w:tcPr>
          <w:p>
            <w:pPr>
              <w:spacing w:after="0"/>
              <w:rPr>
                <w:sz w:val="19"/>
                <w:szCs w:val="19"/>
                <w:color w:val="auto"/>
              </w:rPr>
            </w:pPr>
          </w:p>
        </w:tc>
        <w:tc>
          <w:tcPr>
            <w:tcW w:w="360" w:type="dxa"/>
            <w:vAlign w:val="bottom"/>
            <w:tcBorders>
              <w:bottom w:val="single" w:sz="8" w:color="ACACAC"/>
            </w:tcBorders>
            <w:shd w:val="clear" w:color="auto" w:fill="D4F1F5"/>
          </w:tcPr>
          <w:p>
            <w:pPr>
              <w:jc w:val="right"/>
              <w:spacing w:after="0"/>
              <w:rPr>
                <w:sz w:val="20"/>
                <w:szCs w:val="20"/>
                <w:color w:val="auto"/>
              </w:rPr>
            </w:pPr>
            <w:r>
              <w:rPr>
                <w:rFonts w:ascii="Arial" w:cs="Arial" w:eastAsia="Arial" w:hAnsi="Arial"/>
                <w:sz w:val="16"/>
                <w:szCs w:val="16"/>
                <w:color w:val="auto"/>
              </w:rPr>
              <w:t>(1)</w:t>
            </w:r>
          </w:p>
        </w:tc>
      </w:tr>
    </w:tbl>
    <w:p>
      <w:pPr>
        <w:spacing w:after="0" w:line="61" w:lineRule="exact"/>
        <w:rPr>
          <w:sz w:val="20"/>
          <w:szCs w:val="20"/>
          <w:color w:val="auto"/>
        </w:rPr>
      </w:pPr>
    </w:p>
    <w:p>
      <w:pPr>
        <w:ind w:left="300" w:hanging="292"/>
        <w:spacing w:after="0"/>
        <w:tabs>
          <w:tab w:leader="none" w:pos="300" w:val="left"/>
        </w:tabs>
        <w:numPr>
          <w:ilvl w:val="0"/>
          <w:numId w:val="9"/>
        </w:numPr>
        <w:rPr>
          <w:rFonts w:ascii="Arial" w:cs="Arial" w:eastAsia="Arial" w:hAnsi="Arial"/>
          <w:sz w:val="21"/>
          <w:szCs w:val="21"/>
          <w:i w:val="1"/>
          <w:iCs w:val="1"/>
          <w:color w:val="auto"/>
          <w:vertAlign w:val="superscript"/>
        </w:rPr>
      </w:pPr>
      <w:r>
        <w:rPr>
          <w:rFonts w:ascii="Arial" w:cs="Arial" w:eastAsia="Arial" w:hAnsi="Arial"/>
          <w:sz w:val="14"/>
          <w:szCs w:val="14"/>
          <w:i w:val="1"/>
          <w:iCs w:val="1"/>
          <w:color w:val="auto"/>
        </w:rPr>
        <w:t>Includes net commodity costs from natural gas transactions with unconsolidated affiliates.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Guarantees</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Sempra provides guarantees to certain unconsolidated affiliates, which we discuss in Note 13.</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150495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INVENTORIES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components of inventories are as follows:</w:t>
      </w:r>
    </w:p>
    <w:p>
      <w:pPr>
        <w:spacing w:after="0" w:line="175"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FFFFFF"/>
        </w:rPr>
        <w:t>INVENTORY BALANCES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-115570</wp:posOffset>
            </wp:positionV>
            <wp:extent cx="7132320" cy="26543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265430"/>
                    </a:xfrm>
                    <a:prstGeom prst="rect">
                      <a:avLst/>
                    </a:prstGeom>
                    <a:noFill/>
                  </pic:spPr>
                </pic:pic>
              </a:graphicData>
            </a:graphic>
          </wp:anchor>
        </w:drawing>
      </w:r>
    </w:p>
    <w:p>
      <w:pPr>
        <w:spacing w:after="0" w:line="19" w:lineRule="exact"/>
        <w:rPr>
          <w:sz w:val="20"/>
          <w:szCs w:val="20"/>
          <w:color w:val="auto"/>
        </w:rPr>
      </w:pPr>
    </w:p>
    <w:p>
      <w:pPr>
        <w:ind w:left="20"/>
        <w:spacing w:after="0"/>
        <w:rPr>
          <w:sz w:val="20"/>
          <w:szCs w:val="20"/>
          <w:color w:val="auto"/>
        </w:rPr>
      </w:pPr>
      <w:r>
        <w:rPr>
          <w:rFonts w:ascii="Arial" w:cs="Arial" w:eastAsia="Arial" w:hAnsi="Arial"/>
          <w:sz w:val="14"/>
          <w:szCs w:val="14"/>
          <w:i w:val="1"/>
          <w:iCs w:val="1"/>
          <w:color w:val="FFFFFF"/>
        </w:rPr>
        <w:t>(Dollars in millions)</w:t>
      </w:r>
    </w:p>
    <w:p>
      <w:pPr>
        <w:spacing w:after="0" w:line="53"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31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420" w:type="dxa"/>
            <w:vAlign w:val="bottom"/>
            <w:tcBorders>
              <w:bottom w:val="single" w:sz="8" w:color="auto"/>
            </w:tcBorders>
            <w:gridSpan w:val="3"/>
          </w:tcPr>
          <w:p>
            <w:pPr>
              <w:jc w:val="right"/>
              <w:ind w:right="983"/>
              <w:spacing w:after="0"/>
              <w:rPr>
                <w:sz w:val="20"/>
                <w:szCs w:val="20"/>
                <w:color w:val="auto"/>
              </w:rPr>
            </w:pPr>
            <w:r>
              <w:rPr>
                <w:rFonts w:ascii="Arial" w:cs="Arial" w:eastAsia="Arial" w:hAnsi="Arial"/>
                <w:sz w:val="14"/>
                <w:szCs w:val="14"/>
                <w:color w:val="auto"/>
              </w:rPr>
              <w:t>Sempra</w:t>
            </w: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440" w:type="dxa"/>
            <w:vAlign w:val="bottom"/>
            <w:tcBorders>
              <w:bottom w:val="single" w:sz="8" w:color="auto"/>
            </w:tcBorders>
            <w:gridSpan w:val="3"/>
          </w:tcPr>
          <w:p>
            <w:pPr>
              <w:jc w:val="right"/>
              <w:ind w:right="1003"/>
              <w:spacing w:after="0"/>
              <w:rPr>
                <w:sz w:val="20"/>
                <w:szCs w:val="20"/>
                <w:color w:val="auto"/>
              </w:rPr>
            </w:pPr>
            <w:r>
              <w:rPr>
                <w:rFonts w:ascii="Arial" w:cs="Arial" w:eastAsia="Arial" w:hAnsi="Arial"/>
                <w:sz w:val="14"/>
                <w:szCs w:val="14"/>
                <w:color w:val="auto"/>
              </w:rPr>
              <w:t>SDG&amp;E</w:t>
            </w: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440" w:type="dxa"/>
            <w:vAlign w:val="bottom"/>
            <w:tcBorders>
              <w:bottom w:val="single" w:sz="8" w:color="auto"/>
            </w:tcBorders>
            <w:gridSpan w:val="3"/>
          </w:tcPr>
          <w:p>
            <w:pPr>
              <w:jc w:val="right"/>
              <w:ind w:right="923"/>
              <w:spacing w:after="0"/>
              <w:rPr>
                <w:sz w:val="20"/>
                <w:szCs w:val="20"/>
                <w:color w:val="auto"/>
              </w:rPr>
            </w:pPr>
            <w:r>
              <w:rPr>
                <w:rFonts w:ascii="Arial" w:cs="Arial" w:eastAsia="Arial" w:hAnsi="Arial"/>
                <w:sz w:val="14"/>
                <w:szCs w:val="14"/>
                <w:color w:val="auto"/>
              </w:rPr>
              <w:t>SoCalGas</w:t>
            </w:r>
          </w:p>
        </w:tc>
      </w:tr>
      <w:tr>
        <w:trPr>
          <w:trHeight w:val="177"/>
        </w:trPr>
        <w:tc>
          <w:tcPr>
            <w:tcW w:w="3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80" w:type="dxa"/>
            <w:vAlign w:val="bottom"/>
          </w:tcPr>
          <w:p>
            <w:pPr>
              <w:jc w:val="right"/>
              <w:ind w:right="264"/>
              <w:spacing w:after="0"/>
              <w:rPr>
                <w:sz w:val="20"/>
                <w:szCs w:val="20"/>
                <w:color w:val="auto"/>
              </w:rPr>
            </w:pPr>
            <w:r>
              <w:rPr>
                <w:rFonts w:ascii="Arial" w:cs="Arial" w:eastAsia="Arial" w:hAnsi="Arial"/>
                <w:sz w:val="14"/>
                <w:szCs w:val="14"/>
                <w:color w:val="auto"/>
              </w:rPr>
              <w:t>March 31,</w:t>
            </w:r>
          </w:p>
        </w:tc>
        <w:tc>
          <w:tcPr>
            <w:tcW w:w="220" w:type="dxa"/>
            <w:vAlign w:val="bottom"/>
          </w:tcPr>
          <w:p>
            <w:pPr>
              <w:spacing w:after="0"/>
              <w:rPr>
                <w:sz w:val="15"/>
                <w:szCs w:val="15"/>
                <w:color w:val="auto"/>
              </w:rPr>
            </w:pPr>
          </w:p>
        </w:tc>
        <w:tc>
          <w:tcPr>
            <w:tcW w:w="1220" w:type="dxa"/>
            <w:vAlign w:val="bottom"/>
            <w:gridSpan w:val="2"/>
          </w:tcPr>
          <w:p>
            <w:pPr>
              <w:ind w:left="40"/>
              <w:spacing w:after="0"/>
              <w:rPr>
                <w:sz w:val="20"/>
                <w:szCs w:val="20"/>
                <w:color w:val="auto"/>
              </w:rPr>
            </w:pPr>
            <w:r>
              <w:rPr>
                <w:rFonts w:ascii="Arial" w:cs="Arial" w:eastAsia="Arial" w:hAnsi="Arial"/>
                <w:sz w:val="14"/>
                <w:szCs w:val="14"/>
                <w:color w:val="auto"/>
              </w:rPr>
              <w:t>December 31,</w:t>
            </w:r>
          </w:p>
        </w:tc>
        <w:tc>
          <w:tcPr>
            <w:tcW w:w="200" w:type="dxa"/>
            <w:vAlign w:val="bottom"/>
          </w:tcPr>
          <w:p>
            <w:pPr>
              <w:spacing w:after="0"/>
              <w:rPr>
                <w:sz w:val="15"/>
                <w:szCs w:val="15"/>
                <w:color w:val="auto"/>
              </w:rPr>
            </w:pPr>
          </w:p>
        </w:tc>
        <w:tc>
          <w:tcPr>
            <w:tcW w:w="1080" w:type="dxa"/>
            <w:vAlign w:val="bottom"/>
          </w:tcPr>
          <w:p>
            <w:pPr>
              <w:jc w:val="right"/>
              <w:ind w:right="264"/>
              <w:spacing w:after="0"/>
              <w:rPr>
                <w:sz w:val="20"/>
                <w:szCs w:val="20"/>
                <w:color w:val="auto"/>
              </w:rPr>
            </w:pPr>
            <w:r>
              <w:rPr>
                <w:rFonts w:ascii="Arial" w:cs="Arial" w:eastAsia="Arial" w:hAnsi="Arial"/>
                <w:sz w:val="14"/>
                <w:szCs w:val="14"/>
                <w:color w:val="auto"/>
              </w:rPr>
              <w:t>March 31,</w:t>
            </w:r>
          </w:p>
        </w:tc>
        <w:tc>
          <w:tcPr>
            <w:tcW w:w="220" w:type="dxa"/>
            <w:vAlign w:val="bottom"/>
          </w:tcPr>
          <w:p>
            <w:pPr>
              <w:spacing w:after="0"/>
              <w:rPr>
                <w:sz w:val="15"/>
                <w:szCs w:val="15"/>
                <w:color w:val="auto"/>
              </w:rPr>
            </w:pPr>
          </w:p>
        </w:tc>
        <w:tc>
          <w:tcPr>
            <w:tcW w:w="1240" w:type="dxa"/>
            <w:vAlign w:val="bottom"/>
            <w:gridSpan w:val="2"/>
          </w:tcPr>
          <w:p>
            <w:pPr>
              <w:ind w:left="40"/>
              <w:spacing w:after="0"/>
              <w:rPr>
                <w:sz w:val="20"/>
                <w:szCs w:val="20"/>
                <w:color w:val="auto"/>
              </w:rPr>
            </w:pPr>
            <w:r>
              <w:rPr>
                <w:rFonts w:ascii="Arial" w:cs="Arial" w:eastAsia="Arial" w:hAnsi="Arial"/>
                <w:sz w:val="14"/>
                <w:szCs w:val="14"/>
                <w:color w:val="auto"/>
              </w:rPr>
              <w:t>December 31,</w:t>
            </w:r>
          </w:p>
        </w:tc>
        <w:tc>
          <w:tcPr>
            <w:tcW w:w="200" w:type="dxa"/>
            <w:vAlign w:val="bottom"/>
          </w:tcPr>
          <w:p>
            <w:pPr>
              <w:spacing w:after="0"/>
              <w:rPr>
                <w:sz w:val="15"/>
                <w:szCs w:val="15"/>
                <w:color w:val="auto"/>
              </w:rPr>
            </w:pPr>
          </w:p>
        </w:tc>
        <w:tc>
          <w:tcPr>
            <w:tcW w:w="1080" w:type="dxa"/>
            <w:vAlign w:val="bottom"/>
          </w:tcPr>
          <w:p>
            <w:pPr>
              <w:jc w:val="right"/>
              <w:ind w:right="264"/>
              <w:spacing w:after="0"/>
              <w:rPr>
                <w:sz w:val="20"/>
                <w:szCs w:val="20"/>
                <w:color w:val="auto"/>
              </w:rPr>
            </w:pPr>
            <w:r>
              <w:rPr>
                <w:rFonts w:ascii="Arial" w:cs="Arial" w:eastAsia="Arial" w:hAnsi="Arial"/>
                <w:sz w:val="14"/>
                <w:szCs w:val="14"/>
                <w:color w:val="auto"/>
              </w:rPr>
              <w:t>March 31,</w:t>
            </w:r>
          </w:p>
        </w:tc>
        <w:tc>
          <w:tcPr>
            <w:tcW w:w="220" w:type="dxa"/>
            <w:vAlign w:val="bottom"/>
          </w:tcPr>
          <w:p>
            <w:pPr>
              <w:spacing w:after="0"/>
              <w:rPr>
                <w:sz w:val="15"/>
                <w:szCs w:val="15"/>
                <w:color w:val="auto"/>
              </w:rPr>
            </w:pPr>
          </w:p>
        </w:tc>
        <w:tc>
          <w:tcPr>
            <w:tcW w:w="1140" w:type="dxa"/>
            <w:vAlign w:val="bottom"/>
          </w:tcPr>
          <w:p>
            <w:pPr>
              <w:jc w:val="right"/>
              <w:ind w:right="103"/>
              <w:spacing w:after="0"/>
              <w:rPr>
                <w:sz w:val="20"/>
                <w:szCs w:val="20"/>
                <w:color w:val="auto"/>
              </w:rPr>
            </w:pPr>
            <w:r>
              <w:rPr>
                <w:rFonts w:ascii="Arial" w:cs="Arial" w:eastAsia="Arial" w:hAnsi="Arial"/>
                <w:sz w:val="14"/>
                <w:szCs w:val="14"/>
                <w:color w:val="auto"/>
              </w:rPr>
              <w:t>December 31,</w:t>
            </w:r>
          </w:p>
        </w:tc>
      </w:tr>
      <w:tr>
        <w:trPr>
          <w:trHeight w:val="190"/>
        </w:trPr>
        <w:tc>
          <w:tcPr>
            <w:tcW w:w="3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80" w:type="dxa"/>
            <w:vAlign w:val="bottom"/>
          </w:tcPr>
          <w:p>
            <w:pPr>
              <w:jc w:val="right"/>
              <w:ind w:right="424"/>
              <w:spacing w:after="0"/>
              <w:rPr>
                <w:sz w:val="20"/>
                <w:szCs w:val="20"/>
                <w:color w:val="auto"/>
              </w:rPr>
            </w:pPr>
            <w:r>
              <w:rPr>
                <w:rFonts w:ascii="Arial" w:cs="Arial" w:eastAsia="Arial" w:hAnsi="Arial"/>
                <w:sz w:val="14"/>
                <w:szCs w:val="14"/>
                <w:color w:val="auto"/>
              </w:rPr>
              <w:t>2026</w:t>
            </w:r>
          </w:p>
        </w:tc>
        <w:tc>
          <w:tcPr>
            <w:tcW w:w="220" w:type="dxa"/>
            <w:vAlign w:val="bottom"/>
          </w:tcPr>
          <w:p>
            <w:pPr>
              <w:spacing w:after="0"/>
              <w:rPr>
                <w:sz w:val="16"/>
                <w:szCs w:val="16"/>
                <w:color w:val="auto"/>
              </w:rPr>
            </w:pPr>
          </w:p>
        </w:tc>
        <w:tc>
          <w:tcPr>
            <w:tcW w:w="1120" w:type="dxa"/>
            <w:vAlign w:val="bottom"/>
          </w:tcPr>
          <w:p>
            <w:pPr>
              <w:jc w:val="right"/>
              <w:ind w:right="403"/>
              <w:spacing w:after="0"/>
              <w:rPr>
                <w:sz w:val="20"/>
                <w:szCs w:val="20"/>
                <w:color w:val="auto"/>
              </w:rPr>
            </w:pPr>
            <w:r>
              <w:rPr>
                <w:rFonts w:ascii="Arial" w:cs="Arial" w:eastAsia="Arial" w:hAnsi="Arial"/>
                <w:sz w:val="14"/>
                <w:szCs w:val="14"/>
                <w:color w:val="auto"/>
              </w:rPr>
              <w:t>2025</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80" w:type="dxa"/>
            <w:vAlign w:val="bottom"/>
          </w:tcPr>
          <w:p>
            <w:pPr>
              <w:jc w:val="right"/>
              <w:ind w:right="424"/>
              <w:spacing w:after="0"/>
              <w:rPr>
                <w:sz w:val="20"/>
                <w:szCs w:val="20"/>
                <w:color w:val="auto"/>
              </w:rPr>
            </w:pPr>
            <w:r>
              <w:rPr>
                <w:rFonts w:ascii="Arial" w:cs="Arial" w:eastAsia="Arial" w:hAnsi="Arial"/>
                <w:sz w:val="14"/>
                <w:szCs w:val="14"/>
                <w:color w:val="auto"/>
              </w:rPr>
              <w:t>2026</w:t>
            </w:r>
          </w:p>
        </w:tc>
        <w:tc>
          <w:tcPr>
            <w:tcW w:w="220" w:type="dxa"/>
            <w:vAlign w:val="bottom"/>
          </w:tcPr>
          <w:p>
            <w:pPr>
              <w:spacing w:after="0"/>
              <w:rPr>
                <w:sz w:val="16"/>
                <w:szCs w:val="16"/>
                <w:color w:val="auto"/>
              </w:rPr>
            </w:pPr>
          </w:p>
        </w:tc>
        <w:tc>
          <w:tcPr>
            <w:tcW w:w="1140" w:type="dxa"/>
            <w:vAlign w:val="bottom"/>
          </w:tcPr>
          <w:p>
            <w:pPr>
              <w:jc w:val="right"/>
              <w:ind w:right="403"/>
              <w:spacing w:after="0"/>
              <w:rPr>
                <w:sz w:val="20"/>
                <w:szCs w:val="20"/>
                <w:color w:val="auto"/>
              </w:rPr>
            </w:pPr>
            <w:r>
              <w:rPr>
                <w:rFonts w:ascii="Arial" w:cs="Arial" w:eastAsia="Arial" w:hAnsi="Arial"/>
                <w:sz w:val="14"/>
                <w:szCs w:val="14"/>
                <w:color w:val="auto"/>
              </w:rPr>
              <w:t>2025</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80" w:type="dxa"/>
            <w:vAlign w:val="bottom"/>
          </w:tcPr>
          <w:p>
            <w:pPr>
              <w:jc w:val="right"/>
              <w:ind w:right="424"/>
              <w:spacing w:after="0"/>
              <w:rPr>
                <w:sz w:val="20"/>
                <w:szCs w:val="20"/>
                <w:color w:val="auto"/>
              </w:rPr>
            </w:pPr>
            <w:r>
              <w:rPr>
                <w:rFonts w:ascii="Arial" w:cs="Arial" w:eastAsia="Arial" w:hAnsi="Arial"/>
                <w:sz w:val="14"/>
                <w:szCs w:val="14"/>
                <w:color w:val="auto"/>
              </w:rPr>
              <w:t>2026</w:t>
            </w:r>
          </w:p>
        </w:tc>
        <w:tc>
          <w:tcPr>
            <w:tcW w:w="220" w:type="dxa"/>
            <w:vAlign w:val="bottom"/>
          </w:tcPr>
          <w:p>
            <w:pPr>
              <w:spacing w:after="0"/>
              <w:rPr>
                <w:sz w:val="16"/>
                <w:szCs w:val="16"/>
                <w:color w:val="auto"/>
              </w:rPr>
            </w:pPr>
          </w:p>
        </w:tc>
        <w:tc>
          <w:tcPr>
            <w:tcW w:w="1140" w:type="dxa"/>
            <w:vAlign w:val="bottom"/>
          </w:tcPr>
          <w:p>
            <w:pPr>
              <w:jc w:val="right"/>
              <w:ind w:right="403"/>
              <w:spacing w:after="0"/>
              <w:rPr>
                <w:sz w:val="20"/>
                <w:szCs w:val="20"/>
                <w:color w:val="auto"/>
              </w:rPr>
            </w:pPr>
            <w:r>
              <w:rPr>
                <w:rFonts w:ascii="Arial" w:cs="Arial" w:eastAsia="Arial" w:hAnsi="Arial"/>
                <w:sz w:val="14"/>
                <w:szCs w:val="14"/>
                <w:color w:val="auto"/>
              </w:rPr>
              <w:t>2025</w:t>
            </w:r>
          </w:p>
        </w:tc>
      </w:tr>
      <w:tr>
        <w:trPr>
          <w:trHeight w:val="22"/>
        </w:trPr>
        <w:tc>
          <w:tcPr>
            <w:tcW w:w="31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209"/>
        </w:trPr>
        <w:tc>
          <w:tcPr>
            <w:tcW w:w="3140" w:type="dxa"/>
            <w:vAlign w:val="bottom"/>
            <w:shd w:val="clear" w:color="auto" w:fill="D4F1F5"/>
          </w:tcPr>
          <w:p>
            <w:pPr>
              <w:ind w:left="20"/>
              <w:spacing w:after="0"/>
              <w:rPr>
                <w:sz w:val="20"/>
                <w:szCs w:val="20"/>
                <w:color w:val="auto"/>
              </w:rPr>
            </w:pPr>
            <w:r>
              <w:rPr>
                <w:rFonts w:ascii="Arial" w:cs="Arial" w:eastAsia="Arial" w:hAnsi="Arial"/>
                <w:sz w:val="16"/>
                <w:szCs w:val="16"/>
                <w:color w:val="auto"/>
              </w:rPr>
              <w:t>Natural gas</w:t>
            </w:r>
          </w:p>
        </w:tc>
        <w:tc>
          <w:tcPr>
            <w:tcW w:w="200" w:type="dxa"/>
            <w:vAlign w:val="bottom"/>
            <w:shd w:val="clear" w:color="auto" w:fill="D4F1F5"/>
          </w:tcPr>
          <w:p>
            <w:pPr>
              <w:jc w:val="right"/>
              <w:ind w:right="19"/>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D4F1F5"/>
          </w:tcPr>
          <w:p>
            <w:pPr>
              <w:jc w:val="right"/>
              <w:ind w:right="24"/>
              <w:spacing w:after="0"/>
              <w:rPr>
                <w:sz w:val="20"/>
                <w:szCs w:val="20"/>
                <w:color w:val="auto"/>
              </w:rPr>
            </w:pPr>
            <w:r>
              <w:rPr>
                <w:rFonts w:ascii="Arial" w:cs="Arial" w:eastAsia="Arial" w:hAnsi="Arial"/>
                <w:sz w:val="16"/>
                <w:szCs w:val="16"/>
                <w:color w:val="auto"/>
              </w:rPr>
              <w:t>134</w:t>
            </w:r>
          </w:p>
        </w:tc>
        <w:tc>
          <w:tcPr>
            <w:tcW w:w="220" w:type="dxa"/>
            <w:vAlign w:val="bottom"/>
            <w:shd w:val="clear" w:color="auto" w:fill="D4F1F5"/>
          </w:tcPr>
          <w:p>
            <w:pPr>
              <w:jc w:val="right"/>
              <w:spacing w:after="0"/>
              <w:rPr>
                <w:sz w:val="20"/>
                <w:szCs w:val="20"/>
                <w:color w:val="auto"/>
              </w:rPr>
            </w:pPr>
            <w:r>
              <w:rPr>
                <w:rFonts w:ascii="Arial" w:cs="Arial" w:eastAsia="Arial" w:hAnsi="Arial"/>
                <w:sz w:val="16"/>
                <w:szCs w:val="16"/>
                <w:color w:val="auto"/>
              </w:rPr>
              <w:t>$</w:t>
            </w:r>
          </w:p>
        </w:tc>
        <w:tc>
          <w:tcPr>
            <w:tcW w:w="1120" w:type="dxa"/>
            <w:vAlign w:val="bottom"/>
            <w:shd w:val="clear" w:color="auto" w:fill="D4F1F5"/>
          </w:tcPr>
          <w:p>
            <w:pPr>
              <w:jc w:val="right"/>
              <w:ind w:right="3"/>
              <w:spacing w:after="0"/>
              <w:rPr>
                <w:sz w:val="20"/>
                <w:szCs w:val="20"/>
                <w:color w:val="auto"/>
              </w:rPr>
            </w:pPr>
            <w:r>
              <w:rPr>
                <w:rFonts w:ascii="Arial" w:cs="Arial" w:eastAsia="Arial" w:hAnsi="Arial"/>
                <w:sz w:val="16"/>
                <w:szCs w:val="16"/>
                <w:color w:val="auto"/>
              </w:rPr>
              <w:t>158</w:t>
            </w:r>
          </w:p>
        </w:tc>
        <w:tc>
          <w:tcPr>
            <w:tcW w:w="100" w:type="dxa"/>
            <w:vAlign w:val="bottom"/>
            <w:shd w:val="clear" w:color="auto" w:fill="D4F1F5"/>
          </w:tcPr>
          <w:p>
            <w:pPr>
              <w:spacing w:after="0"/>
              <w:rPr>
                <w:sz w:val="18"/>
                <w:szCs w:val="18"/>
                <w:color w:val="auto"/>
              </w:rPr>
            </w:pPr>
          </w:p>
        </w:tc>
        <w:tc>
          <w:tcPr>
            <w:tcW w:w="200" w:type="dxa"/>
            <w:vAlign w:val="bottom"/>
            <w:shd w:val="clear" w:color="auto" w:fill="D4F1F5"/>
          </w:tcPr>
          <w:p>
            <w:pPr>
              <w:jc w:val="right"/>
              <w:ind w:right="19"/>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D4F1F5"/>
          </w:tcPr>
          <w:p>
            <w:pPr>
              <w:jc w:val="right"/>
              <w:ind w:right="4"/>
              <w:spacing w:after="0"/>
              <w:rPr>
                <w:sz w:val="20"/>
                <w:szCs w:val="20"/>
                <w:color w:val="auto"/>
              </w:rPr>
            </w:pPr>
            <w:r>
              <w:rPr>
                <w:rFonts w:ascii="Arial" w:cs="Arial" w:eastAsia="Arial" w:hAnsi="Arial"/>
                <w:sz w:val="16"/>
                <w:szCs w:val="16"/>
                <w:color w:val="auto"/>
              </w:rPr>
              <w:t>2</w:t>
            </w:r>
          </w:p>
        </w:tc>
        <w:tc>
          <w:tcPr>
            <w:tcW w:w="220" w:type="dxa"/>
            <w:vAlign w:val="bottom"/>
            <w:shd w:val="clear" w:color="auto" w:fill="D4F1F5"/>
          </w:tcPr>
          <w:p>
            <w:pPr>
              <w:jc w:val="right"/>
              <w:spacing w:after="0"/>
              <w:rPr>
                <w:sz w:val="20"/>
                <w:szCs w:val="20"/>
                <w:color w:val="auto"/>
              </w:rPr>
            </w:pPr>
            <w:r>
              <w:rPr>
                <w:rFonts w:ascii="Arial" w:cs="Arial" w:eastAsia="Arial" w:hAnsi="Arial"/>
                <w:sz w:val="16"/>
                <w:szCs w:val="16"/>
                <w:color w:val="auto"/>
              </w:rPr>
              <w:t>$</w:t>
            </w:r>
          </w:p>
        </w:tc>
        <w:tc>
          <w:tcPr>
            <w:tcW w:w="1140" w:type="dxa"/>
            <w:vAlign w:val="bottom"/>
            <w:shd w:val="clear" w:color="auto" w:fill="D4F1F5"/>
          </w:tcPr>
          <w:p>
            <w:pPr>
              <w:jc w:val="right"/>
              <w:ind w:right="3"/>
              <w:spacing w:after="0"/>
              <w:rPr>
                <w:sz w:val="20"/>
                <w:szCs w:val="20"/>
                <w:color w:val="auto"/>
              </w:rPr>
            </w:pPr>
            <w:r>
              <w:rPr>
                <w:rFonts w:ascii="Arial" w:cs="Arial" w:eastAsia="Arial" w:hAnsi="Arial"/>
                <w:sz w:val="16"/>
                <w:szCs w:val="16"/>
                <w:color w:val="auto"/>
              </w:rPr>
              <w:t>2</w:t>
            </w:r>
          </w:p>
        </w:tc>
        <w:tc>
          <w:tcPr>
            <w:tcW w:w="100" w:type="dxa"/>
            <w:vAlign w:val="bottom"/>
            <w:shd w:val="clear" w:color="auto" w:fill="D4F1F5"/>
          </w:tcPr>
          <w:p>
            <w:pPr>
              <w:spacing w:after="0"/>
              <w:rPr>
                <w:sz w:val="18"/>
                <w:szCs w:val="18"/>
                <w:color w:val="auto"/>
              </w:rPr>
            </w:pPr>
          </w:p>
        </w:tc>
        <w:tc>
          <w:tcPr>
            <w:tcW w:w="200" w:type="dxa"/>
            <w:vAlign w:val="bottom"/>
            <w:shd w:val="clear" w:color="auto" w:fill="D4F1F5"/>
          </w:tcPr>
          <w:p>
            <w:pPr>
              <w:jc w:val="right"/>
              <w:ind w:right="19"/>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D4F1F5"/>
          </w:tcPr>
          <w:p>
            <w:pPr>
              <w:jc w:val="right"/>
              <w:ind w:right="4"/>
              <w:spacing w:after="0"/>
              <w:rPr>
                <w:sz w:val="20"/>
                <w:szCs w:val="20"/>
                <w:color w:val="auto"/>
              </w:rPr>
            </w:pPr>
            <w:r>
              <w:rPr>
                <w:rFonts w:ascii="Arial" w:cs="Arial" w:eastAsia="Arial" w:hAnsi="Arial"/>
                <w:sz w:val="16"/>
                <w:szCs w:val="16"/>
                <w:color w:val="auto"/>
              </w:rPr>
              <w:t>132</w:t>
            </w:r>
          </w:p>
        </w:tc>
        <w:tc>
          <w:tcPr>
            <w:tcW w:w="220" w:type="dxa"/>
            <w:vAlign w:val="bottom"/>
            <w:shd w:val="clear" w:color="auto" w:fill="D4F1F5"/>
          </w:tcPr>
          <w:p>
            <w:pPr>
              <w:jc w:val="right"/>
              <w:spacing w:after="0"/>
              <w:rPr>
                <w:sz w:val="20"/>
                <w:szCs w:val="20"/>
                <w:color w:val="auto"/>
              </w:rPr>
            </w:pPr>
            <w:r>
              <w:rPr>
                <w:rFonts w:ascii="Arial" w:cs="Arial" w:eastAsia="Arial" w:hAnsi="Arial"/>
                <w:sz w:val="16"/>
                <w:szCs w:val="16"/>
                <w:color w:val="auto"/>
              </w:rPr>
              <w:t>$</w:t>
            </w:r>
          </w:p>
        </w:tc>
        <w:tc>
          <w:tcPr>
            <w:tcW w:w="1140" w:type="dxa"/>
            <w:vAlign w:val="bottom"/>
            <w:shd w:val="clear" w:color="auto" w:fill="D4F1F5"/>
          </w:tcPr>
          <w:p>
            <w:pPr>
              <w:jc w:val="right"/>
              <w:ind w:right="3"/>
              <w:spacing w:after="0"/>
              <w:rPr>
                <w:sz w:val="20"/>
                <w:szCs w:val="20"/>
                <w:color w:val="auto"/>
              </w:rPr>
            </w:pPr>
            <w:r>
              <w:rPr>
                <w:rFonts w:ascii="Arial" w:cs="Arial" w:eastAsia="Arial" w:hAnsi="Arial"/>
                <w:sz w:val="16"/>
                <w:szCs w:val="16"/>
                <w:color w:val="auto"/>
              </w:rPr>
              <w:t>156</w:t>
            </w:r>
          </w:p>
        </w:tc>
      </w:tr>
      <w:tr>
        <w:trPr>
          <w:trHeight w:val="215"/>
        </w:trPr>
        <w:tc>
          <w:tcPr>
            <w:tcW w:w="3140" w:type="dxa"/>
            <w:vAlign w:val="bottom"/>
            <w:tcBorders>
              <w:bottom w:val="single" w:sz="8" w:color="D4F1F5"/>
            </w:tcBorders>
          </w:tcPr>
          <w:p>
            <w:pPr>
              <w:ind w:left="20"/>
              <w:spacing w:after="0"/>
              <w:rPr>
                <w:sz w:val="20"/>
                <w:szCs w:val="20"/>
                <w:color w:val="auto"/>
              </w:rPr>
            </w:pPr>
            <w:r>
              <w:rPr>
                <w:rFonts w:ascii="Arial" w:cs="Arial" w:eastAsia="Arial" w:hAnsi="Arial"/>
                <w:sz w:val="16"/>
                <w:szCs w:val="16"/>
                <w:color w:val="auto"/>
              </w:rPr>
              <w:t>Materials and supplies</w:t>
            </w:r>
          </w:p>
        </w:tc>
        <w:tc>
          <w:tcPr>
            <w:tcW w:w="2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24"/>
              <w:spacing w:after="0"/>
              <w:rPr>
                <w:sz w:val="20"/>
                <w:szCs w:val="20"/>
                <w:color w:val="auto"/>
              </w:rPr>
            </w:pPr>
            <w:r>
              <w:rPr>
                <w:rFonts w:ascii="Arial" w:cs="Arial" w:eastAsia="Arial" w:hAnsi="Arial"/>
                <w:sz w:val="16"/>
                <w:szCs w:val="16"/>
                <w:color w:val="auto"/>
              </w:rPr>
              <w:t>396</w:t>
            </w:r>
          </w:p>
        </w:tc>
        <w:tc>
          <w:tcPr>
            <w:tcW w:w="2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403</w:t>
            </w:r>
          </w:p>
        </w:tc>
        <w:tc>
          <w:tcPr>
            <w:tcW w:w="1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4"/>
              <w:spacing w:after="0"/>
              <w:rPr>
                <w:sz w:val="20"/>
                <w:szCs w:val="20"/>
                <w:color w:val="auto"/>
              </w:rPr>
            </w:pPr>
            <w:r>
              <w:rPr>
                <w:rFonts w:ascii="Arial" w:cs="Arial" w:eastAsia="Arial" w:hAnsi="Arial"/>
                <w:sz w:val="16"/>
                <w:szCs w:val="16"/>
                <w:color w:val="auto"/>
              </w:rPr>
              <w:t>261</w:t>
            </w:r>
          </w:p>
        </w:tc>
        <w:tc>
          <w:tcPr>
            <w:tcW w:w="2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265</w:t>
            </w:r>
          </w:p>
        </w:tc>
        <w:tc>
          <w:tcPr>
            <w:tcW w:w="1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4"/>
              <w:spacing w:after="0"/>
              <w:rPr>
                <w:sz w:val="20"/>
                <w:szCs w:val="20"/>
                <w:color w:val="auto"/>
              </w:rPr>
            </w:pPr>
            <w:r>
              <w:rPr>
                <w:rFonts w:ascii="Arial" w:cs="Arial" w:eastAsia="Arial" w:hAnsi="Arial"/>
                <w:sz w:val="16"/>
                <w:szCs w:val="16"/>
                <w:color w:val="auto"/>
              </w:rPr>
              <w:t>135</w:t>
            </w:r>
          </w:p>
        </w:tc>
        <w:tc>
          <w:tcPr>
            <w:tcW w:w="2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138</w:t>
            </w:r>
          </w:p>
        </w:tc>
      </w:tr>
      <w:tr>
        <w:trPr>
          <w:trHeight w:val="217"/>
        </w:trPr>
        <w:tc>
          <w:tcPr>
            <w:tcW w:w="3140" w:type="dxa"/>
            <w:vAlign w:val="bottom"/>
            <w:tcBorders>
              <w:bottom w:val="single" w:sz="8" w:color="auto"/>
            </w:tcBorders>
            <w:shd w:val="clear" w:color="auto" w:fill="D4F1F5"/>
          </w:tcPr>
          <w:p>
            <w:pPr>
              <w:ind w:left="20"/>
              <w:spacing w:after="0"/>
              <w:rPr>
                <w:sz w:val="20"/>
                <w:szCs w:val="20"/>
                <w:color w:val="auto"/>
              </w:rPr>
            </w:pPr>
            <w:r>
              <w:rPr>
                <w:rFonts w:ascii="Arial" w:cs="Arial" w:eastAsia="Arial" w:hAnsi="Arial"/>
                <w:sz w:val="16"/>
                <w:szCs w:val="16"/>
                <w:color w:val="auto"/>
              </w:rPr>
              <w:t>Total</w:t>
            </w:r>
          </w:p>
        </w:tc>
        <w:tc>
          <w:tcPr>
            <w:tcW w:w="200" w:type="dxa"/>
            <w:vAlign w:val="bottom"/>
            <w:tcBorders>
              <w:bottom w:val="single" w:sz="8" w:color="auto"/>
            </w:tcBorders>
            <w:shd w:val="clear" w:color="auto" w:fill="D4F1F5"/>
          </w:tcPr>
          <w:p>
            <w:pPr>
              <w:jc w:val="right"/>
              <w:ind w:right="1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shd w:val="clear" w:color="auto" w:fill="D4F1F5"/>
          </w:tcPr>
          <w:p>
            <w:pPr>
              <w:jc w:val="right"/>
              <w:ind w:right="24"/>
              <w:spacing w:after="0"/>
              <w:rPr>
                <w:sz w:val="20"/>
                <w:szCs w:val="20"/>
                <w:color w:val="auto"/>
              </w:rPr>
            </w:pPr>
            <w:r>
              <w:rPr>
                <w:rFonts w:ascii="Arial" w:cs="Arial" w:eastAsia="Arial" w:hAnsi="Arial"/>
                <w:sz w:val="16"/>
                <w:szCs w:val="16"/>
                <w:color w:val="auto"/>
              </w:rPr>
              <w:t>530</w:t>
            </w:r>
          </w:p>
        </w:tc>
        <w:tc>
          <w:tcPr>
            <w:tcW w:w="220" w:type="dxa"/>
            <w:vAlign w:val="bottom"/>
            <w:tcBorders>
              <w:bottom w:val="single" w:sz="8" w:color="auto"/>
            </w:tcBorders>
            <w:shd w:val="clear" w:color="auto" w:fill="D4F1F5"/>
          </w:tcPr>
          <w:p>
            <w:pPr>
              <w:jc w:val="right"/>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shd w:val="clear" w:color="auto" w:fill="D4F1F5"/>
          </w:tcPr>
          <w:p>
            <w:pPr>
              <w:jc w:val="right"/>
              <w:ind w:right="3"/>
              <w:spacing w:after="0"/>
              <w:rPr>
                <w:sz w:val="20"/>
                <w:szCs w:val="20"/>
                <w:color w:val="auto"/>
              </w:rPr>
            </w:pPr>
            <w:r>
              <w:rPr>
                <w:rFonts w:ascii="Arial" w:cs="Arial" w:eastAsia="Arial" w:hAnsi="Arial"/>
                <w:sz w:val="16"/>
                <w:szCs w:val="16"/>
                <w:color w:val="auto"/>
              </w:rPr>
              <w:t>561</w:t>
            </w:r>
          </w:p>
        </w:tc>
        <w:tc>
          <w:tcPr>
            <w:tcW w:w="100" w:type="dxa"/>
            <w:vAlign w:val="bottom"/>
            <w:tcBorders>
              <w:bottom w:val="single" w:sz="8" w:color="auto"/>
            </w:tcBorders>
            <w:shd w:val="clear" w:color="auto" w:fill="D4F1F5"/>
          </w:tcPr>
          <w:p>
            <w:pPr>
              <w:spacing w:after="0"/>
              <w:rPr>
                <w:sz w:val="18"/>
                <w:szCs w:val="18"/>
                <w:color w:val="auto"/>
              </w:rPr>
            </w:pPr>
          </w:p>
        </w:tc>
        <w:tc>
          <w:tcPr>
            <w:tcW w:w="200" w:type="dxa"/>
            <w:vAlign w:val="bottom"/>
            <w:tcBorders>
              <w:bottom w:val="single" w:sz="8" w:color="auto"/>
            </w:tcBorders>
            <w:shd w:val="clear" w:color="auto" w:fill="D4F1F5"/>
          </w:tcPr>
          <w:p>
            <w:pPr>
              <w:jc w:val="right"/>
              <w:ind w:right="1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shd w:val="clear" w:color="auto" w:fill="D4F1F5"/>
          </w:tcPr>
          <w:p>
            <w:pPr>
              <w:jc w:val="right"/>
              <w:ind w:right="4"/>
              <w:spacing w:after="0"/>
              <w:rPr>
                <w:sz w:val="20"/>
                <w:szCs w:val="20"/>
                <w:color w:val="auto"/>
              </w:rPr>
            </w:pPr>
            <w:r>
              <w:rPr>
                <w:rFonts w:ascii="Arial" w:cs="Arial" w:eastAsia="Arial" w:hAnsi="Arial"/>
                <w:sz w:val="16"/>
                <w:szCs w:val="16"/>
                <w:color w:val="auto"/>
              </w:rPr>
              <w:t>263</w:t>
            </w:r>
          </w:p>
        </w:tc>
        <w:tc>
          <w:tcPr>
            <w:tcW w:w="220" w:type="dxa"/>
            <w:vAlign w:val="bottom"/>
            <w:tcBorders>
              <w:bottom w:val="single" w:sz="8" w:color="auto"/>
            </w:tcBorders>
            <w:shd w:val="clear" w:color="auto" w:fill="D4F1F5"/>
          </w:tcPr>
          <w:p>
            <w:pPr>
              <w:jc w:val="right"/>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shd w:val="clear" w:color="auto" w:fill="D4F1F5"/>
          </w:tcPr>
          <w:p>
            <w:pPr>
              <w:jc w:val="right"/>
              <w:ind w:right="3"/>
              <w:spacing w:after="0"/>
              <w:rPr>
                <w:sz w:val="20"/>
                <w:szCs w:val="20"/>
                <w:color w:val="auto"/>
              </w:rPr>
            </w:pPr>
            <w:r>
              <w:rPr>
                <w:rFonts w:ascii="Arial" w:cs="Arial" w:eastAsia="Arial" w:hAnsi="Arial"/>
                <w:sz w:val="16"/>
                <w:szCs w:val="16"/>
                <w:color w:val="auto"/>
              </w:rPr>
              <w:t>267</w:t>
            </w:r>
          </w:p>
        </w:tc>
        <w:tc>
          <w:tcPr>
            <w:tcW w:w="100" w:type="dxa"/>
            <w:vAlign w:val="bottom"/>
            <w:tcBorders>
              <w:bottom w:val="single" w:sz="8" w:color="auto"/>
            </w:tcBorders>
            <w:shd w:val="clear" w:color="auto" w:fill="D4F1F5"/>
          </w:tcPr>
          <w:p>
            <w:pPr>
              <w:spacing w:after="0"/>
              <w:rPr>
                <w:sz w:val="18"/>
                <w:szCs w:val="18"/>
                <w:color w:val="auto"/>
              </w:rPr>
            </w:pPr>
          </w:p>
        </w:tc>
        <w:tc>
          <w:tcPr>
            <w:tcW w:w="200" w:type="dxa"/>
            <w:vAlign w:val="bottom"/>
            <w:tcBorders>
              <w:bottom w:val="single" w:sz="8" w:color="auto"/>
            </w:tcBorders>
            <w:shd w:val="clear" w:color="auto" w:fill="D4F1F5"/>
          </w:tcPr>
          <w:p>
            <w:pPr>
              <w:jc w:val="right"/>
              <w:ind w:right="1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shd w:val="clear" w:color="auto" w:fill="D4F1F5"/>
          </w:tcPr>
          <w:p>
            <w:pPr>
              <w:jc w:val="right"/>
              <w:ind w:right="4"/>
              <w:spacing w:after="0"/>
              <w:rPr>
                <w:sz w:val="20"/>
                <w:szCs w:val="20"/>
                <w:color w:val="auto"/>
              </w:rPr>
            </w:pPr>
            <w:r>
              <w:rPr>
                <w:rFonts w:ascii="Arial" w:cs="Arial" w:eastAsia="Arial" w:hAnsi="Arial"/>
                <w:sz w:val="16"/>
                <w:szCs w:val="16"/>
                <w:color w:val="auto"/>
              </w:rPr>
              <w:t>267</w:t>
            </w:r>
          </w:p>
        </w:tc>
        <w:tc>
          <w:tcPr>
            <w:tcW w:w="220" w:type="dxa"/>
            <w:vAlign w:val="bottom"/>
            <w:tcBorders>
              <w:bottom w:val="single" w:sz="8" w:color="auto"/>
            </w:tcBorders>
            <w:shd w:val="clear" w:color="auto" w:fill="D4F1F5"/>
          </w:tcPr>
          <w:p>
            <w:pPr>
              <w:jc w:val="right"/>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shd w:val="clear" w:color="auto" w:fill="D4F1F5"/>
          </w:tcPr>
          <w:p>
            <w:pPr>
              <w:jc w:val="right"/>
              <w:ind w:right="3"/>
              <w:spacing w:after="0"/>
              <w:rPr>
                <w:sz w:val="20"/>
                <w:szCs w:val="20"/>
                <w:color w:val="auto"/>
              </w:rPr>
            </w:pPr>
            <w:r>
              <w:rPr>
                <w:rFonts w:ascii="Arial" w:cs="Arial" w:eastAsia="Arial" w:hAnsi="Arial"/>
                <w:sz w:val="16"/>
                <w:szCs w:val="16"/>
                <w:color w:val="auto"/>
              </w:rPr>
              <w:t>294</w:t>
            </w:r>
          </w:p>
        </w:tc>
      </w:tr>
    </w:tbl>
    <w:p>
      <w:pPr>
        <w:spacing w:after="0" w:line="225" w:lineRule="exact"/>
        <w:rPr>
          <w:sz w:val="20"/>
          <w:szCs w:val="20"/>
          <w:color w:val="auto"/>
        </w:rPr>
      </w:pPr>
    </w:p>
    <w:p>
      <w:pPr>
        <w:ind w:right="160"/>
        <w:spacing w:after="0" w:line="281" w:lineRule="auto"/>
        <w:rPr>
          <w:sz w:val="20"/>
          <w:szCs w:val="20"/>
          <w:color w:val="auto"/>
        </w:rPr>
      </w:pPr>
      <w:r>
        <w:rPr>
          <w:rFonts w:ascii="Times New Roman" w:cs="Times New Roman" w:eastAsia="Times New Roman" w:hAnsi="Times New Roman"/>
          <w:sz w:val="18"/>
          <w:szCs w:val="18"/>
          <w:color w:val="auto"/>
        </w:rPr>
        <w:t>At March 31, 2026 and December 31, 2025, total inventories of $104 million and $109 million, respectively, are included in Assets Held for Sale on the Sempra Condensed Consolidated Balance Sheets, which consist of $8 million and $12 million of natural gas, $4 million and $12 million of LNG, and $92 million and $85 million of materials and supplies, respectively.</w:t>
      </w:r>
    </w:p>
    <w:p>
      <w:pPr>
        <w:spacing w:after="0" w:line="3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DEDICATED ASSETS IN SUPPORT OF CERTAIN BENEFITS PLANS</w:t>
      </w:r>
    </w:p>
    <w:p>
      <w:pPr>
        <w:spacing w:after="0" w:line="118" w:lineRule="exact"/>
        <w:rPr>
          <w:sz w:val="20"/>
          <w:szCs w:val="20"/>
          <w:color w:val="auto"/>
        </w:rPr>
      </w:pPr>
    </w:p>
    <w:p>
      <w:pPr>
        <w:ind w:right="200"/>
        <w:spacing w:after="0" w:line="274" w:lineRule="auto"/>
        <w:rPr>
          <w:sz w:val="20"/>
          <w:szCs w:val="20"/>
          <w:color w:val="auto"/>
        </w:rPr>
      </w:pPr>
      <w:r>
        <w:rPr>
          <w:rFonts w:ascii="Times New Roman" w:cs="Times New Roman" w:eastAsia="Times New Roman" w:hAnsi="Times New Roman"/>
          <w:sz w:val="18"/>
          <w:szCs w:val="18"/>
          <w:color w:val="auto"/>
        </w:rPr>
        <w:t>In support of its Supplemental Executive Retirement Plan, Cash Balance Restoration Plan and Employee and Director Savings Plan, Sempra maintains dedicated assets, including a Rabbi Trust and investments in life insurance contracts, which totaled $588 million and $605 million at March 31, 2026 and December 31, 2025, respectively.</w:t>
      </w:r>
    </w:p>
    <w:p>
      <w:pPr>
        <w:spacing w:after="0" w:line="3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WILDFIRE FUND AND CONTINUATION ACCOUNT</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2019 Wildfire Legislation</w:t>
      </w:r>
    </w:p>
    <w:p>
      <w:pPr>
        <w:spacing w:after="0" w:line="49" w:lineRule="exact"/>
        <w:rPr>
          <w:sz w:val="20"/>
          <w:szCs w:val="20"/>
          <w:color w:val="auto"/>
        </w:rPr>
      </w:pPr>
    </w:p>
    <w:p>
      <w:pPr>
        <w:jc w:val="both"/>
        <w:ind w:right="160"/>
        <w:spacing w:after="0" w:line="274" w:lineRule="auto"/>
        <w:rPr>
          <w:sz w:val="20"/>
          <w:szCs w:val="20"/>
          <w:color w:val="auto"/>
        </w:rPr>
      </w:pPr>
      <w:r>
        <w:rPr>
          <w:rFonts w:ascii="Times New Roman" w:cs="Times New Roman" w:eastAsia="Times New Roman" w:hAnsi="Times New Roman"/>
          <w:sz w:val="18"/>
          <w:szCs w:val="18"/>
          <w:color w:val="auto"/>
        </w:rPr>
        <w:t>In July 2019, the 2019 Wildfire Legislation was signed into law to address certain issues related to catastrophic wildfires in California and their impact on electric IOUs through the establishment of the Wildfire Fund. We discuss the 2019 Wildfire Legislation and related Wildfire Fund further in Note 1 of the Notes to Consolidated Financial Statements in the Annual Report.</w:t>
      </w:r>
    </w:p>
    <w:p>
      <w:pPr>
        <w:spacing w:after="0" w:line="74" w:lineRule="exact"/>
        <w:rPr>
          <w:sz w:val="20"/>
          <w:szCs w:val="20"/>
          <w:color w:val="auto"/>
        </w:rPr>
      </w:pPr>
    </w:p>
    <w:p>
      <w:pPr>
        <w:ind w:right="120"/>
        <w:spacing w:after="0" w:line="264" w:lineRule="auto"/>
        <w:rPr>
          <w:sz w:val="20"/>
          <w:szCs w:val="20"/>
          <w:color w:val="auto"/>
        </w:rPr>
      </w:pPr>
      <w:r>
        <w:rPr>
          <w:rFonts w:ascii="Times New Roman" w:cs="Times New Roman" w:eastAsia="Times New Roman" w:hAnsi="Times New Roman"/>
          <w:sz w:val="18"/>
          <w:szCs w:val="18"/>
          <w:color w:val="auto"/>
        </w:rPr>
        <w:t>In April 2026, a participating IOU publicly disclosed that it has received, or expects to receive, approximately $1.27 billion in aggregate reimbursements from the Wildfire Fund for eligible claims related to wildfires that occurred in 2019 and 2021. Also in April 2026, another participating IOU publicly disclosed it has received, or expects to receive, approximately $295 million in aggregate reimbursements from the Wildfire Fund for losses incurred and expected to be incurred in connection with one of the LA Fires, the cause of which remains under investigation and has not been conclusively determined. The administrator of the Wildfire Fund has confirmed that this wildfire qualifies as a “covered wildfire” for purposes of accessing the Wildfire Fund, and the scope of potential damages caused by this fire could materially reduce or exhaust the Wildfire Fund. The participating IOU stated that it is currently unable to reasonably estimate a range of potential losses associated with this event. Accordingly, SDG&amp;E is unable to estimate a range of potential loss resulting from any reduction in available coverage from the Wildfire Fund. The carrying value of SDG&amp;E’s Wildfire Fund asset totaled $253 million at March 31, 2026.</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March 2026, SDG&amp;E received its annual wildfire certificate, formerly known as a safety certification, from the OEIS.</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2025 Wildfire Legislation</w:t>
      </w:r>
    </w:p>
    <w:p>
      <w:pPr>
        <w:spacing w:after="0" w:line="49" w:lineRule="exact"/>
        <w:rPr>
          <w:sz w:val="20"/>
          <w:szCs w:val="20"/>
          <w:color w:val="auto"/>
        </w:rPr>
      </w:pPr>
    </w:p>
    <w:p>
      <w:pPr>
        <w:ind w:right="20"/>
        <w:spacing w:after="0" w:line="271" w:lineRule="auto"/>
        <w:rPr>
          <w:sz w:val="20"/>
          <w:szCs w:val="20"/>
          <w:color w:val="auto"/>
        </w:rPr>
      </w:pPr>
      <w:r>
        <w:rPr>
          <w:rFonts w:ascii="Times New Roman" w:cs="Times New Roman" w:eastAsia="Times New Roman" w:hAnsi="Times New Roman"/>
          <w:sz w:val="18"/>
          <w:szCs w:val="18"/>
          <w:color w:val="auto"/>
        </w:rPr>
        <w:t>In September 2025, the 2025 Wildfire Legislation was signed into law to establish, among other things, the Continuation Account, a new state-administered account with up to $18.0 billion of additional liquidity to reimburse catastrophic wildfire-related claims incurred by participating California electric IOUs, including SDG&amp;E, if certain conditions are met. We discuss the 2025 Wildfire Legislation and related Continuation Account further in Note 1 of the Notes to Consolidated Financial Statements in the Annual Report.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RECEIVABLE</w:t>
      </w:r>
    </w:p>
    <w:p>
      <w:pPr>
        <w:spacing w:after="0" w:line="118" w:lineRule="exact"/>
        <w:rPr>
          <w:sz w:val="20"/>
          <w:szCs w:val="20"/>
          <w:color w:val="auto"/>
        </w:rPr>
      </w:pPr>
    </w:p>
    <w:p>
      <w:pPr>
        <w:ind w:right="40"/>
        <w:spacing w:after="0" w:line="292" w:lineRule="auto"/>
        <w:rPr>
          <w:sz w:val="20"/>
          <w:szCs w:val="20"/>
          <w:color w:val="auto"/>
        </w:rPr>
      </w:pPr>
      <w:r>
        <w:rPr>
          <w:rFonts w:ascii="Times New Roman" w:cs="Times New Roman" w:eastAsia="Times New Roman" w:hAnsi="Times New Roman"/>
          <w:sz w:val="17"/>
          <w:szCs w:val="17"/>
          <w:color w:val="auto"/>
        </w:rPr>
        <w:t>In November 2021, Sempra loaned $300 million to KKR Pinnacle in exchange for an interest-bearing promissory note that is due in full no later than October 2029 and bears compound interest at 5% per annum, which may be paid quarterly or added to the outstanding principal at the election of KKR Pinnacle. At March 31, 2026 and December 31, 2025, Other Long-Term Assets includes $372 million and $368 million, respectively, of outstanding principal, compounded interest and unamortized transaction costs, net of allowance for credit losses, on Sempra’s Condensed Consolidated Balance Sheets.</w:t>
      </w:r>
    </w:p>
    <w:p>
      <w:pPr>
        <w:spacing w:after="0" w:line="61" w:lineRule="exact"/>
        <w:rPr>
          <w:sz w:val="20"/>
          <w:szCs w:val="20"/>
          <w:color w:val="auto"/>
        </w:rPr>
      </w:pPr>
    </w:p>
    <w:p>
      <w:pPr>
        <w:ind w:right="180"/>
        <w:spacing w:after="0" w:line="274" w:lineRule="auto"/>
        <w:rPr>
          <w:sz w:val="20"/>
          <w:szCs w:val="20"/>
          <w:color w:val="auto"/>
        </w:rPr>
      </w:pPr>
      <w:r>
        <w:rPr>
          <w:rFonts w:ascii="Times New Roman" w:cs="Times New Roman" w:eastAsia="Times New Roman" w:hAnsi="Times New Roman"/>
          <w:sz w:val="18"/>
          <w:szCs w:val="18"/>
          <w:color w:val="auto"/>
        </w:rPr>
        <w:t>At the closing of the planned sale of a portion of our equity interest in SI Partners, which we discuss in Note 6, Sempra and the KKR Partners will amend this promissory note to, among other things, extend its maturity date and increase its interest rate to 8.5% per annum before January 1, 2031 and 10.0% thereafter through a due date seven years and 91 days after the closing.</w:t>
      </w:r>
    </w:p>
    <w:p>
      <w:pPr>
        <w:spacing w:after="0" w:line="3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CAPITALIZED FINANCING COSTS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 below summarizes capitalized financing costs, comprised of capitalized interest and AFUDC related to debt.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111760</wp:posOffset>
            </wp:positionV>
            <wp:extent cx="7132320" cy="3003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300355"/>
                    </a:xfrm>
                    <a:prstGeom prst="rect">
                      <a:avLst/>
                    </a:prstGeom>
                    <a:noFill/>
                  </pic:spPr>
                </pic:pic>
              </a:graphicData>
            </a:graphic>
          </wp:anchor>
        </w:drawing>
      </w:r>
    </w:p>
    <w:p>
      <w:pPr>
        <w:spacing w:after="0" w:line="169"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FFFFFF"/>
        </w:rPr>
        <w:t>CAPITALIZED FINANCING COSTS</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8260" w:type="dxa"/>
            <w:vAlign w:val="bottom"/>
          </w:tcPr>
          <w:p>
            <w:pPr>
              <w:ind w:left="20"/>
              <w:spacing w:after="0"/>
              <w:rPr>
                <w:sz w:val="20"/>
                <w:szCs w:val="20"/>
                <w:color w:val="auto"/>
              </w:rPr>
            </w:pPr>
            <w:r>
              <w:rPr>
                <w:rFonts w:ascii="Arial" w:cs="Arial" w:eastAsia="Arial" w:hAnsi="Arial"/>
                <w:sz w:val="14"/>
                <w:szCs w:val="14"/>
                <w:i w:val="1"/>
                <w:iCs w:val="1"/>
                <w:color w:val="FFFFFF"/>
              </w:rPr>
              <w:t>(Dollars in millions)</w:t>
            </w:r>
          </w:p>
        </w:tc>
        <w:tc>
          <w:tcPr>
            <w:tcW w:w="960" w:type="dxa"/>
            <w:vAlign w:val="bottom"/>
            <w:shd w:val="clear" w:color="auto" w:fill="001689"/>
          </w:tcPr>
          <w:p>
            <w:pPr>
              <w:spacing w:after="0"/>
              <w:rPr>
                <w:sz w:val="18"/>
                <w:szCs w:val="18"/>
                <w:color w:val="auto"/>
              </w:rPr>
            </w:pPr>
          </w:p>
        </w:tc>
        <w:tc>
          <w:tcPr>
            <w:tcW w:w="500" w:type="dxa"/>
            <w:vAlign w:val="bottom"/>
            <w:shd w:val="clear" w:color="auto" w:fill="001689"/>
          </w:tcPr>
          <w:p>
            <w:pPr>
              <w:spacing w:after="0"/>
              <w:rPr>
                <w:sz w:val="18"/>
                <w:szCs w:val="18"/>
                <w:color w:val="auto"/>
              </w:rPr>
            </w:pPr>
          </w:p>
        </w:tc>
        <w:tc>
          <w:tcPr>
            <w:tcW w:w="1100" w:type="dxa"/>
            <w:vAlign w:val="bottom"/>
            <w:shd w:val="clear" w:color="auto" w:fill="001689"/>
          </w:tcPr>
          <w:p>
            <w:pPr>
              <w:spacing w:after="0"/>
              <w:rPr>
                <w:sz w:val="18"/>
                <w:szCs w:val="18"/>
                <w:color w:val="auto"/>
              </w:rPr>
            </w:pPr>
          </w:p>
        </w:tc>
        <w:tc>
          <w:tcPr>
            <w:tcW w:w="420" w:type="dxa"/>
            <w:vAlign w:val="bottom"/>
            <w:shd w:val="clear" w:color="auto" w:fill="001689"/>
          </w:tcPr>
          <w:p>
            <w:pPr>
              <w:spacing w:after="0"/>
              <w:rPr>
                <w:sz w:val="18"/>
                <w:szCs w:val="18"/>
                <w:color w:val="auto"/>
              </w:rPr>
            </w:pPr>
          </w:p>
        </w:tc>
      </w:tr>
      <w:tr>
        <w:trPr>
          <w:trHeight w:val="212"/>
        </w:trPr>
        <w:tc>
          <w:tcPr>
            <w:tcW w:w="8260" w:type="dxa"/>
            <w:vAlign w:val="bottom"/>
          </w:tcPr>
          <w:p>
            <w:pPr>
              <w:spacing w:after="0"/>
              <w:rPr>
                <w:sz w:val="18"/>
                <w:szCs w:val="18"/>
                <w:color w:val="auto"/>
              </w:rPr>
            </w:pPr>
          </w:p>
        </w:tc>
        <w:tc>
          <w:tcPr>
            <w:tcW w:w="25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color w:val="auto"/>
              </w:rPr>
              <w:t>Three months ended March 31,</w:t>
            </w:r>
          </w:p>
        </w:tc>
        <w:tc>
          <w:tcPr>
            <w:tcW w:w="420" w:type="dxa"/>
            <w:vAlign w:val="bottom"/>
            <w:tcBorders>
              <w:bottom w:val="single" w:sz="8" w:color="auto"/>
            </w:tcBorders>
          </w:tcPr>
          <w:p>
            <w:pPr>
              <w:spacing w:after="0"/>
              <w:rPr>
                <w:sz w:val="18"/>
                <w:szCs w:val="18"/>
                <w:color w:val="auto"/>
              </w:rPr>
            </w:pPr>
          </w:p>
        </w:tc>
      </w:tr>
      <w:tr>
        <w:trPr>
          <w:trHeight w:val="210"/>
        </w:trPr>
        <w:tc>
          <w:tcPr>
            <w:tcW w:w="8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25"/>
              <w:spacing w:after="0"/>
              <w:rPr>
                <w:sz w:val="20"/>
                <w:szCs w:val="20"/>
                <w:color w:val="auto"/>
              </w:rPr>
            </w:pPr>
            <w:r>
              <w:rPr>
                <w:rFonts w:ascii="Arial" w:cs="Arial" w:eastAsia="Arial" w:hAnsi="Arial"/>
                <w:sz w:val="14"/>
                <w:szCs w:val="14"/>
                <w:color w:val="auto"/>
              </w:rPr>
              <w:t>2026</w:t>
            </w:r>
          </w:p>
        </w:tc>
        <w:tc>
          <w:tcPr>
            <w:tcW w:w="5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4"/>
              <w:spacing w:after="0"/>
              <w:rPr>
                <w:sz w:val="20"/>
                <w:szCs w:val="20"/>
                <w:color w:val="auto"/>
              </w:rPr>
            </w:pPr>
            <w:r>
              <w:rPr>
                <w:rFonts w:ascii="Arial" w:cs="Arial" w:eastAsia="Arial" w:hAnsi="Arial"/>
                <w:sz w:val="14"/>
                <w:szCs w:val="14"/>
                <w:color w:val="auto"/>
              </w:rPr>
              <w:t>2025</w:t>
            </w:r>
          </w:p>
        </w:tc>
        <w:tc>
          <w:tcPr>
            <w:tcW w:w="420" w:type="dxa"/>
            <w:vAlign w:val="bottom"/>
            <w:tcBorders>
              <w:bottom w:val="single" w:sz="8" w:color="auto"/>
            </w:tcBorders>
          </w:tcPr>
          <w:p>
            <w:pPr>
              <w:spacing w:after="0"/>
              <w:rPr>
                <w:sz w:val="18"/>
                <w:szCs w:val="18"/>
                <w:color w:val="auto"/>
              </w:rPr>
            </w:pPr>
          </w:p>
        </w:tc>
      </w:tr>
      <w:tr>
        <w:trPr>
          <w:trHeight w:val="213"/>
        </w:trPr>
        <w:tc>
          <w:tcPr>
            <w:tcW w:w="8260" w:type="dxa"/>
            <w:vAlign w:val="bottom"/>
            <w:shd w:val="clear" w:color="auto" w:fill="D4F1F5"/>
          </w:tcPr>
          <w:p>
            <w:pPr>
              <w:ind w:left="20"/>
              <w:spacing w:after="0"/>
              <w:rPr>
                <w:sz w:val="20"/>
                <w:szCs w:val="20"/>
                <w:color w:val="auto"/>
              </w:rPr>
            </w:pPr>
            <w:r>
              <w:rPr>
                <w:rFonts w:ascii="Arial" w:cs="Arial" w:eastAsia="Arial" w:hAnsi="Arial"/>
                <w:sz w:val="16"/>
                <w:szCs w:val="16"/>
                <w:color w:val="auto"/>
              </w:rPr>
              <w:t>Sempra</w:t>
            </w:r>
          </w:p>
        </w:tc>
        <w:tc>
          <w:tcPr>
            <w:tcW w:w="960" w:type="dxa"/>
            <w:vAlign w:val="bottom"/>
            <w:shd w:val="clear" w:color="auto" w:fill="D4F1F5"/>
          </w:tcPr>
          <w:p>
            <w:pPr>
              <w:jc w:val="right"/>
              <w:ind w:right="785"/>
              <w:spacing w:after="0"/>
              <w:rPr>
                <w:sz w:val="20"/>
                <w:szCs w:val="20"/>
                <w:color w:val="auto"/>
              </w:rPr>
            </w:pPr>
            <w:r>
              <w:rPr>
                <w:rFonts w:ascii="Arial" w:cs="Arial" w:eastAsia="Arial" w:hAnsi="Arial"/>
                <w:sz w:val="16"/>
                <w:szCs w:val="16"/>
                <w:color w:val="auto"/>
                <w:w w:val="89"/>
              </w:rPr>
              <w:t>$</w:t>
            </w:r>
          </w:p>
        </w:tc>
        <w:tc>
          <w:tcPr>
            <w:tcW w:w="500" w:type="dxa"/>
            <w:vAlign w:val="bottom"/>
            <w:shd w:val="clear" w:color="auto" w:fill="D4F1F5"/>
          </w:tcPr>
          <w:p>
            <w:pPr>
              <w:jc w:val="right"/>
              <w:ind w:right="39"/>
              <w:spacing w:after="0"/>
              <w:rPr>
                <w:sz w:val="20"/>
                <w:szCs w:val="20"/>
                <w:color w:val="auto"/>
              </w:rPr>
            </w:pPr>
            <w:r>
              <w:rPr>
                <w:rFonts w:ascii="Arial" w:cs="Arial" w:eastAsia="Arial" w:hAnsi="Arial"/>
                <w:sz w:val="16"/>
                <w:szCs w:val="16"/>
                <w:color w:val="auto"/>
              </w:rPr>
              <w:t>239</w:t>
            </w:r>
          </w:p>
        </w:tc>
        <w:tc>
          <w:tcPr>
            <w:tcW w:w="1100" w:type="dxa"/>
            <w:vAlign w:val="bottom"/>
            <w:shd w:val="clear" w:color="auto" w:fill="D4F1F5"/>
          </w:tcPr>
          <w:p>
            <w:pPr>
              <w:jc w:val="right"/>
              <w:ind w:right="804"/>
              <w:spacing w:after="0"/>
              <w:rPr>
                <w:sz w:val="20"/>
                <w:szCs w:val="20"/>
                <w:color w:val="auto"/>
              </w:rPr>
            </w:pPr>
            <w:r>
              <w:rPr>
                <w:rFonts w:ascii="Arial" w:cs="Arial" w:eastAsia="Arial" w:hAnsi="Arial"/>
                <w:sz w:val="16"/>
                <w:szCs w:val="16"/>
                <w:color w:val="auto"/>
              </w:rPr>
              <w:t>$</w:t>
            </w:r>
          </w:p>
        </w:tc>
        <w:tc>
          <w:tcPr>
            <w:tcW w:w="420" w:type="dxa"/>
            <w:vAlign w:val="bottom"/>
            <w:shd w:val="clear" w:color="auto" w:fill="D4F1F5"/>
          </w:tcPr>
          <w:p>
            <w:pPr>
              <w:jc w:val="right"/>
              <w:spacing w:after="0"/>
              <w:rPr>
                <w:sz w:val="20"/>
                <w:szCs w:val="20"/>
                <w:color w:val="auto"/>
              </w:rPr>
            </w:pPr>
            <w:r>
              <w:rPr>
                <w:rFonts w:ascii="Arial" w:cs="Arial" w:eastAsia="Arial" w:hAnsi="Arial"/>
                <w:sz w:val="16"/>
                <w:szCs w:val="16"/>
                <w:color w:val="auto"/>
              </w:rPr>
              <w:t>174</w:t>
            </w:r>
          </w:p>
        </w:tc>
      </w:tr>
      <w:tr>
        <w:trPr>
          <w:trHeight w:val="215"/>
        </w:trPr>
        <w:tc>
          <w:tcPr>
            <w:tcW w:w="8260" w:type="dxa"/>
            <w:vAlign w:val="bottom"/>
          </w:tcPr>
          <w:p>
            <w:pPr>
              <w:ind w:left="20"/>
              <w:spacing w:after="0"/>
              <w:rPr>
                <w:sz w:val="20"/>
                <w:szCs w:val="20"/>
                <w:color w:val="auto"/>
              </w:rPr>
            </w:pPr>
            <w:r>
              <w:rPr>
                <w:rFonts w:ascii="Arial" w:cs="Arial" w:eastAsia="Arial" w:hAnsi="Arial"/>
                <w:sz w:val="16"/>
                <w:szCs w:val="16"/>
                <w:color w:val="auto"/>
              </w:rPr>
              <w:t>SDG&amp;E</w:t>
            </w:r>
          </w:p>
        </w:tc>
        <w:tc>
          <w:tcPr>
            <w:tcW w:w="960" w:type="dxa"/>
            <w:vAlign w:val="bottom"/>
          </w:tcPr>
          <w:p>
            <w:pPr>
              <w:spacing w:after="0"/>
              <w:rPr>
                <w:sz w:val="18"/>
                <w:szCs w:val="18"/>
                <w:color w:val="auto"/>
              </w:rPr>
            </w:pPr>
          </w:p>
        </w:tc>
        <w:tc>
          <w:tcPr>
            <w:tcW w:w="500" w:type="dxa"/>
            <w:vAlign w:val="bottom"/>
          </w:tcPr>
          <w:p>
            <w:pPr>
              <w:jc w:val="right"/>
              <w:ind w:right="39"/>
              <w:spacing w:after="0"/>
              <w:rPr>
                <w:sz w:val="20"/>
                <w:szCs w:val="20"/>
                <w:color w:val="auto"/>
              </w:rPr>
            </w:pPr>
            <w:r>
              <w:rPr>
                <w:rFonts w:ascii="Arial" w:cs="Arial" w:eastAsia="Arial" w:hAnsi="Arial"/>
                <w:sz w:val="16"/>
                <w:szCs w:val="16"/>
                <w:color w:val="auto"/>
              </w:rPr>
              <w:t>23</w:t>
            </w:r>
          </w:p>
        </w:tc>
        <w:tc>
          <w:tcPr>
            <w:tcW w:w="11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25</w:t>
            </w:r>
          </w:p>
        </w:tc>
      </w:tr>
      <w:tr>
        <w:trPr>
          <w:trHeight w:val="224"/>
        </w:trPr>
        <w:tc>
          <w:tcPr>
            <w:tcW w:w="8260" w:type="dxa"/>
            <w:vAlign w:val="bottom"/>
            <w:tcBorders>
              <w:bottom w:val="single" w:sz="8" w:color="ACACAC"/>
            </w:tcBorders>
            <w:shd w:val="clear" w:color="auto" w:fill="D4F1F5"/>
          </w:tcPr>
          <w:p>
            <w:pPr>
              <w:ind w:left="20"/>
              <w:spacing w:after="0"/>
              <w:rPr>
                <w:sz w:val="20"/>
                <w:szCs w:val="20"/>
                <w:color w:val="auto"/>
              </w:rPr>
            </w:pPr>
            <w:r>
              <w:rPr>
                <w:rFonts w:ascii="Arial" w:cs="Arial" w:eastAsia="Arial" w:hAnsi="Arial"/>
                <w:sz w:val="16"/>
                <w:szCs w:val="16"/>
                <w:color w:val="auto"/>
              </w:rPr>
              <w:t>SoCalGas</w:t>
            </w:r>
          </w:p>
        </w:tc>
        <w:tc>
          <w:tcPr>
            <w:tcW w:w="960" w:type="dxa"/>
            <w:vAlign w:val="bottom"/>
            <w:tcBorders>
              <w:bottom w:val="single" w:sz="8" w:color="ACACAC"/>
            </w:tcBorders>
            <w:shd w:val="clear" w:color="auto" w:fill="D4F1F5"/>
          </w:tcPr>
          <w:p>
            <w:pPr>
              <w:spacing w:after="0"/>
              <w:rPr>
                <w:sz w:val="19"/>
                <w:szCs w:val="19"/>
                <w:color w:val="auto"/>
              </w:rPr>
            </w:pPr>
          </w:p>
        </w:tc>
        <w:tc>
          <w:tcPr>
            <w:tcW w:w="500" w:type="dxa"/>
            <w:vAlign w:val="bottom"/>
            <w:tcBorders>
              <w:bottom w:val="single" w:sz="8" w:color="ACACAC"/>
            </w:tcBorders>
            <w:shd w:val="clear" w:color="auto" w:fill="D4F1F5"/>
          </w:tcPr>
          <w:p>
            <w:pPr>
              <w:jc w:val="right"/>
              <w:ind w:right="39"/>
              <w:spacing w:after="0"/>
              <w:rPr>
                <w:sz w:val="20"/>
                <w:szCs w:val="20"/>
                <w:color w:val="auto"/>
              </w:rPr>
            </w:pPr>
            <w:r>
              <w:rPr>
                <w:rFonts w:ascii="Arial" w:cs="Arial" w:eastAsia="Arial" w:hAnsi="Arial"/>
                <w:sz w:val="16"/>
                <w:szCs w:val="16"/>
                <w:color w:val="auto"/>
              </w:rPr>
              <w:t>22</w:t>
            </w:r>
          </w:p>
        </w:tc>
        <w:tc>
          <w:tcPr>
            <w:tcW w:w="1100" w:type="dxa"/>
            <w:vAlign w:val="bottom"/>
            <w:tcBorders>
              <w:bottom w:val="single" w:sz="8" w:color="ACACAC"/>
            </w:tcBorders>
            <w:shd w:val="clear" w:color="auto" w:fill="D4F1F5"/>
          </w:tcPr>
          <w:p>
            <w:pPr>
              <w:spacing w:after="0"/>
              <w:rPr>
                <w:sz w:val="19"/>
                <w:szCs w:val="19"/>
                <w:color w:val="auto"/>
              </w:rPr>
            </w:pPr>
          </w:p>
        </w:tc>
        <w:tc>
          <w:tcPr>
            <w:tcW w:w="420" w:type="dxa"/>
            <w:vAlign w:val="bottom"/>
            <w:tcBorders>
              <w:bottom w:val="single" w:sz="8" w:color="ACACAC"/>
            </w:tcBorders>
            <w:shd w:val="clear" w:color="auto" w:fill="D4F1F5"/>
          </w:tcPr>
          <w:p>
            <w:pPr>
              <w:jc w:val="right"/>
              <w:spacing w:after="0"/>
              <w:rPr>
                <w:sz w:val="20"/>
                <w:szCs w:val="20"/>
                <w:color w:val="auto"/>
              </w:rPr>
            </w:pPr>
            <w:r>
              <w:rPr>
                <w:rFonts w:ascii="Arial" w:cs="Arial" w:eastAsia="Arial" w:hAnsi="Arial"/>
                <w:sz w:val="16"/>
                <w:szCs w:val="16"/>
                <w:color w:val="auto"/>
              </w:rPr>
              <w:t>25</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COMPREHENSIVE INCOME</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tables present the changes in AOCI by component and amounts reclassified out of AOCI to net income, after amounts attributable to NCI.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111760</wp:posOffset>
            </wp:positionV>
            <wp:extent cx="7115175" cy="3003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15175" cy="300355"/>
                    </a:xfrm>
                    <a:prstGeom prst="rect">
                      <a:avLst/>
                    </a:prstGeom>
                    <a:noFill/>
                  </pic:spPr>
                </pic:pic>
              </a:graphicData>
            </a:graphic>
          </wp:anchor>
        </w:drawing>
      </w:r>
    </w:p>
    <w:p>
      <w:pPr>
        <w:spacing w:after="0" w:line="159"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FFFFFF"/>
        </w:rPr>
        <w:t>CHANGES IN ACCUMULATED OTHER COMPREHENSIVE INCOME (LOSS) BY COMPONENT</w:t>
      </w:r>
      <w:r>
        <w:rPr>
          <w:rFonts w:ascii="Arial" w:cs="Arial" w:eastAsia="Arial" w:hAnsi="Arial"/>
          <w:sz w:val="21"/>
          <w:szCs w:val="21"/>
          <w:b w:val="1"/>
          <w:bCs w:val="1"/>
          <w:color w:val="FFFFFF"/>
          <w:vertAlign w:val="superscript"/>
        </w:rPr>
        <w:t>(1)</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5560" w:type="dxa"/>
            <w:vAlign w:val="bottom"/>
          </w:tcPr>
          <w:p>
            <w:pPr>
              <w:ind w:left="20"/>
              <w:spacing w:after="0"/>
              <w:rPr>
                <w:sz w:val="20"/>
                <w:szCs w:val="20"/>
                <w:color w:val="auto"/>
              </w:rPr>
            </w:pPr>
            <w:r>
              <w:rPr>
                <w:rFonts w:ascii="Arial" w:cs="Arial" w:eastAsia="Arial" w:hAnsi="Arial"/>
                <w:sz w:val="14"/>
                <w:szCs w:val="14"/>
                <w:i w:val="1"/>
                <w:iCs w:val="1"/>
                <w:color w:val="FFFFFF"/>
              </w:rPr>
              <w:t>(Dollars in millions)</w:t>
            </w:r>
          </w:p>
        </w:tc>
        <w:tc>
          <w:tcPr>
            <w:tcW w:w="1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189"/>
        </w:trPr>
        <w:tc>
          <w:tcPr>
            <w:tcW w:w="55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20" w:type="dxa"/>
            <w:vAlign w:val="bottom"/>
          </w:tcPr>
          <w:p>
            <w:pPr>
              <w:jc w:val="center"/>
              <w:ind w:right="125"/>
              <w:spacing w:after="0"/>
              <w:rPr>
                <w:sz w:val="20"/>
                <w:szCs w:val="20"/>
                <w:color w:val="auto"/>
              </w:rPr>
            </w:pPr>
            <w:r>
              <w:rPr>
                <w:rFonts w:ascii="Arial" w:cs="Arial" w:eastAsia="Arial" w:hAnsi="Arial"/>
                <w:sz w:val="14"/>
                <w:szCs w:val="14"/>
                <w:color w:val="auto"/>
              </w:rPr>
              <w:t>Foreign</w:t>
            </w: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162"/>
        </w:trPr>
        <w:tc>
          <w:tcPr>
            <w:tcW w:w="5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tcPr>
          <w:p>
            <w:pPr>
              <w:jc w:val="center"/>
              <w:ind w:right="125"/>
              <w:spacing w:after="0"/>
              <w:rPr>
                <w:sz w:val="20"/>
                <w:szCs w:val="20"/>
                <w:color w:val="auto"/>
              </w:rPr>
            </w:pPr>
            <w:r>
              <w:rPr>
                <w:rFonts w:ascii="Arial" w:cs="Arial" w:eastAsia="Arial" w:hAnsi="Arial"/>
                <w:sz w:val="14"/>
                <w:szCs w:val="14"/>
                <w:color w:val="auto"/>
              </w:rPr>
              <w:t>currency</w:t>
            </w: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62"/>
        </w:trPr>
        <w:tc>
          <w:tcPr>
            <w:tcW w:w="5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tcPr>
          <w:p>
            <w:pPr>
              <w:jc w:val="center"/>
              <w:ind w:right="105"/>
              <w:spacing w:after="0"/>
              <w:rPr>
                <w:sz w:val="20"/>
                <w:szCs w:val="20"/>
                <w:color w:val="auto"/>
              </w:rPr>
            </w:pPr>
            <w:r>
              <w:rPr>
                <w:rFonts w:ascii="Arial" w:cs="Arial" w:eastAsia="Arial" w:hAnsi="Arial"/>
                <w:sz w:val="14"/>
                <w:szCs w:val="14"/>
                <w:color w:val="auto"/>
              </w:rPr>
              <w:t>translation</w:t>
            </w: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60" w:type="dxa"/>
            <w:vAlign w:val="bottom"/>
          </w:tcPr>
          <w:p>
            <w:pPr>
              <w:jc w:val="right"/>
              <w:ind w:right="444"/>
              <w:spacing w:after="0"/>
              <w:rPr>
                <w:sz w:val="20"/>
                <w:szCs w:val="20"/>
                <w:color w:val="auto"/>
              </w:rPr>
            </w:pPr>
            <w:r>
              <w:rPr>
                <w:rFonts w:ascii="Arial" w:cs="Arial" w:eastAsia="Arial" w:hAnsi="Arial"/>
                <w:sz w:val="14"/>
                <w:szCs w:val="14"/>
                <w:color w:val="auto"/>
              </w:rPr>
              <w:t>Financial</w:t>
            </w:r>
          </w:p>
        </w:tc>
        <w:tc>
          <w:tcPr>
            <w:tcW w:w="200" w:type="dxa"/>
            <w:vAlign w:val="bottom"/>
          </w:tcPr>
          <w:p>
            <w:pPr>
              <w:spacing w:after="0"/>
              <w:rPr>
                <w:sz w:val="14"/>
                <w:szCs w:val="14"/>
                <w:color w:val="auto"/>
              </w:rPr>
            </w:pPr>
          </w:p>
        </w:tc>
        <w:tc>
          <w:tcPr>
            <w:tcW w:w="1240" w:type="dxa"/>
            <w:vAlign w:val="bottom"/>
          </w:tcPr>
          <w:p>
            <w:pPr>
              <w:jc w:val="right"/>
              <w:ind w:right="464"/>
              <w:spacing w:after="0"/>
              <w:rPr>
                <w:sz w:val="20"/>
                <w:szCs w:val="20"/>
                <w:color w:val="auto"/>
              </w:rPr>
            </w:pPr>
            <w:r>
              <w:rPr>
                <w:rFonts w:ascii="Arial" w:cs="Arial" w:eastAsia="Arial" w:hAnsi="Arial"/>
                <w:sz w:val="14"/>
                <w:szCs w:val="14"/>
                <w:color w:val="auto"/>
              </w:rPr>
              <w:t>Pension</w:t>
            </w:r>
          </w:p>
        </w:tc>
        <w:tc>
          <w:tcPr>
            <w:tcW w:w="300" w:type="dxa"/>
            <w:vAlign w:val="bottom"/>
          </w:tcPr>
          <w:p>
            <w:pPr>
              <w:spacing w:after="0"/>
              <w:rPr>
                <w:sz w:val="14"/>
                <w:szCs w:val="14"/>
                <w:color w:val="auto"/>
              </w:rPr>
            </w:pPr>
          </w:p>
        </w:tc>
        <w:tc>
          <w:tcPr>
            <w:tcW w:w="1020" w:type="dxa"/>
            <w:vAlign w:val="bottom"/>
          </w:tcPr>
          <w:p>
            <w:pPr>
              <w:jc w:val="right"/>
              <w:ind w:right="424"/>
              <w:spacing w:after="0"/>
              <w:rPr>
                <w:sz w:val="20"/>
                <w:szCs w:val="20"/>
                <w:color w:val="auto"/>
              </w:rPr>
            </w:pPr>
            <w:r>
              <w:rPr>
                <w:rFonts w:ascii="Arial" w:cs="Arial" w:eastAsia="Arial" w:hAnsi="Arial"/>
                <w:sz w:val="14"/>
                <w:szCs w:val="14"/>
                <w:color w:val="auto"/>
              </w:rPr>
              <w:t>Total</w:t>
            </w:r>
          </w:p>
        </w:tc>
      </w:tr>
      <w:tr>
        <w:trPr>
          <w:trHeight w:val="190"/>
        </w:trPr>
        <w:tc>
          <w:tcPr>
            <w:tcW w:w="55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20" w:type="dxa"/>
            <w:vAlign w:val="bottom"/>
          </w:tcPr>
          <w:p>
            <w:pPr>
              <w:jc w:val="center"/>
              <w:ind w:right="105"/>
              <w:spacing w:after="0"/>
              <w:rPr>
                <w:sz w:val="20"/>
                <w:szCs w:val="20"/>
                <w:color w:val="auto"/>
              </w:rPr>
            </w:pPr>
            <w:r>
              <w:rPr>
                <w:rFonts w:ascii="Arial" w:cs="Arial" w:eastAsia="Arial" w:hAnsi="Arial"/>
                <w:sz w:val="14"/>
                <w:szCs w:val="14"/>
                <w:color w:val="auto"/>
              </w:rPr>
              <w:t>adjustments</w:t>
            </w: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60" w:type="dxa"/>
            <w:vAlign w:val="bottom"/>
          </w:tcPr>
          <w:p>
            <w:pPr>
              <w:jc w:val="right"/>
              <w:ind w:right="364"/>
              <w:spacing w:after="0"/>
              <w:rPr>
                <w:sz w:val="20"/>
                <w:szCs w:val="20"/>
                <w:color w:val="auto"/>
              </w:rPr>
            </w:pPr>
            <w:r>
              <w:rPr>
                <w:rFonts w:ascii="Arial" w:cs="Arial" w:eastAsia="Arial" w:hAnsi="Arial"/>
                <w:sz w:val="14"/>
                <w:szCs w:val="14"/>
                <w:color w:val="auto"/>
              </w:rPr>
              <w:t>instruments</w:t>
            </w:r>
          </w:p>
        </w:tc>
        <w:tc>
          <w:tcPr>
            <w:tcW w:w="200" w:type="dxa"/>
            <w:vAlign w:val="bottom"/>
          </w:tcPr>
          <w:p>
            <w:pPr>
              <w:spacing w:after="0"/>
              <w:rPr>
                <w:sz w:val="16"/>
                <w:szCs w:val="16"/>
                <w:color w:val="auto"/>
              </w:rPr>
            </w:pPr>
          </w:p>
        </w:tc>
        <w:tc>
          <w:tcPr>
            <w:tcW w:w="1240" w:type="dxa"/>
            <w:vAlign w:val="bottom"/>
          </w:tcPr>
          <w:p>
            <w:pPr>
              <w:jc w:val="right"/>
              <w:ind w:right="384"/>
              <w:spacing w:after="0"/>
              <w:rPr>
                <w:sz w:val="20"/>
                <w:szCs w:val="20"/>
                <w:color w:val="auto"/>
              </w:rPr>
            </w:pPr>
            <w:r>
              <w:rPr>
                <w:rFonts w:ascii="Arial" w:cs="Arial" w:eastAsia="Arial" w:hAnsi="Arial"/>
                <w:sz w:val="14"/>
                <w:szCs w:val="14"/>
                <w:color w:val="auto"/>
              </w:rPr>
              <w:t>and PBOP</w:t>
            </w:r>
          </w:p>
        </w:tc>
        <w:tc>
          <w:tcPr>
            <w:tcW w:w="300" w:type="dxa"/>
            <w:vAlign w:val="bottom"/>
          </w:tcPr>
          <w:p>
            <w:pPr>
              <w:spacing w:after="0"/>
              <w:rPr>
                <w:sz w:val="16"/>
                <w:szCs w:val="16"/>
                <w:color w:val="auto"/>
              </w:rPr>
            </w:pPr>
          </w:p>
        </w:tc>
        <w:tc>
          <w:tcPr>
            <w:tcW w:w="1020" w:type="dxa"/>
            <w:vAlign w:val="bottom"/>
          </w:tcPr>
          <w:p>
            <w:pPr>
              <w:jc w:val="right"/>
              <w:ind w:right="404"/>
              <w:spacing w:after="0"/>
              <w:rPr>
                <w:sz w:val="20"/>
                <w:szCs w:val="20"/>
                <w:color w:val="auto"/>
              </w:rPr>
            </w:pPr>
            <w:r>
              <w:rPr>
                <w:rFonts w:ascii="Arial" w:cs="Arial" w:eastAsia="Arial" w:hAnsi="Arial"/>
                <w:sz w:val="14"/>
                <w:szCs w:val="14"/>
                <w:color w:val="auto"/>
              </w:rPr>
              <w:t>AOCI</w:t>
            </w:r>
          </w:p>
        </w:tc>
      </w:tr>
      <w:tr>
        <w:trPr>
          <w:trHeight w:val="22"/>
        </w:trPr>
        <w:tc>
          <w:tcPr>
            <w:tcW w:w="55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040" w:type="dxa"/>
            <w:vAlign w:val="bottom"/>
            <w:tcBorders>
              <w:bottom w:val="single" w:sz="8" w:color="auto"/>
            </w:tcBorders>
            <w:gridSpan w:val="5"/>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206"/>
        </w:trPr>
        <w:tc>
          <w:tcPr>
            <w:tcW w:w="556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spacing w:after="0"/>
              <w:rPr>
                <w:sz w:val="17"/>
                <w:szCs w:val="17"/>
                <w:color w:val="auto"/>
              </w:rPr>
            </w:pPr>
          </w:p>
        </w:tc>
        <w:tc>
          <w:tcPr>
            <w:tcW w:w="304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color w:val="auto"/>
              </w:rPr>
              <w:t>Three months ended March 31, 2026 and 2025</w:t>
            </w: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r>
      <w:tr>
        <w:trPr>
          <w:trHeight w:val="200"/>
        </w:trPr>
        <w:tc>
          <w:tcPr>
            <w:tcW w:w="5560" w:type="dxa"/>
            <w:vAlign w:val="bottom"/>
            <w:shd w:val="clear" w:color="auto" w:fill="D4F1F5"/>
          </w:tcPr>
          <w:p>
            <w:pPr>
              <w:ind w:left="20"/>
              <w:spacing w:after="0"/>
              <w:rPr>
                <w:sz w:val="20"/>
                <w:szCs w:val="20"/>
                <w:color w:val="auto"/>
              </w:rPr>
            </w:pPr>
            <w:r>
              <w:rPr>
                <w:rFonts w:ascii="Arial" w:cs="Arial" w:eastAsia="Arial" w:hAnsi="Arial"/>
                <w:sz w:val="15"/>
                <w:szCs w:val="15"/>
                <w:b w:val="1"/>
                <w:bCs w:val="1"/>
                <w:color w:val="auto"/>
              </w:rPr>
              <w:t>Sempra:</w:t>
            </w:r>
          </w:p>
        </w:tc>
        <w:tc>
          <w:tcPr>
            <w:tcW w:w="180" w:type="dxa"/>
            <w:vAlign w:val="bottom"/>
            <w:shd w:val="clear" w:color="auto" w:fill="D4F1F5"/>
          </w:tcPr>
          <w:p>
            <w:pPr>
              <w:spacing w:after="0"/>
              <w:rPr>
                <w:sz w:val="17"/>
                <w:szCs w:val="17"/>
                <w:color w:val="auto"/>
              </w:rPr>
            </w:pPr>
          </w:p>
        </w:tc>
        <w:tc>
          <w:tcPr>
            <w:tcW w:w="1120" w:type="dxa"/>
            <w:vAlign w:val="bottom"/>
            <w:shd w:val="clear" w:color="auto" w:fill="D4F1F5"/>
          </w:tcPr>
          <w:p>
            <w:pPr>
              <w:spacing w:after="0"/>
              <w:rPr>
                <w:sz w:val="17"/>
                <w:szCs w:val="17"/>
                <w:color w:val="auto"/>
              </w:rPr>
            </w:pPr>
          </w:p>
        </w:tc>
        <w:tc>
          <w:tcPr>
            <w:tcW w:w="140" w:type="dxa"/>
            <w:vAlign w:val="bottom"/>
            <w:shd w:val="clear" w:color="auto" w:fill="D4F1F5"/>
          </w:tcPr>
          <w:p>
            <w:pPr>
              <w:spacing w:after="0"/>
              <w:rPr>
                <w:sz w:val="17"/>
                <w:szCs w:val="17"/>
                <w:color w:val="auto"/>
              </w:rPr>
            </w:pPr>
          </w:p>
        </w:tc>
        <w:tc>
          <w:tcPr>
            <w:tcW w:w="200" w:type="dxa"/>
            <w:vAlign w:val="bottom"/>
            <w:shd w:val="clear" w:color="auto" w:fill="D4F1F5"/>
          </w:tcPr>
          <w:p>
            <w:pPr>
              <w:spacing w:after="0"/>
              <w:rPr>
                <w:sz w:val="17"/>
                <w:szCs w:val="17"/>
                <w:color w:val="auto"/>
              </w:rPr>
            </w:pPr>
          </w:p>
        </w:tc>
        <w:tc>
          <w:tcPr>
            <w:tcW w:w="1260" w:type="dxa"/>
            <w:vAlign w:val="bottom"/>
            <w:shd w:val="clear" w:color="auto" w:fill="D4F1F5"/>
          </w:tcPr>
          <w:p>
            <w:pPr>
              <w:spacing w:after="0"/>
              <w:rPr>
                <w:sz w:val="17"/>
                <w:szCs w:val="17"/>
                <w:color w:val="auto"/>
              </w:rPr>
            </w:pPr>
          </w:p>
        </w:tc>
        <w:tc>
          <w:tcPr>
            <w:tcW w:w="200" w:type="dxa"/>
            <w:vAlign w:val="bottom"/>
            <w:shd w:val="clear" w:color="auto" w:fill="D4F1F5"/>
          </w:tcPr>
          <w:p>
            <w:pPr>
              <w:spacing w:after="0"/>
              <w:rPr>
                <w:sz w:val="17"/>
                <w:szCs w:val="17"/>
                <w:color w:val="auto"/>
              </w:rPr>
            </w:pPr>
          </w:p>
        </w:tc>
        <w:tc>
          <w:tcPr>
            <w:tcW w:w="1240" w:type="dxa"/>
            <w:vAlign w:val="bottom"/>
            <w:shd w:val="clear" w:color="auto" w:fill="D4F1F5"/>
          </w:tcPr>
          <w:p>
            <w:pPr>
              <w:spacing w:after="0"/>
              <w:rPr>
                <w:sz w:val="17"/>
                <w:szCs w:val="17"/>
                <w:color w:val="auto"/>
              </w:rPr>
            </w:pPr>
          </w:p>
        </w:tc>
        <w:tc>
          <w:tcPr>
            <w:tcW w:w="300" w:type="dxa"/>
            <w:vAlign w:val="bottom"/>
            <w:shd w:val="clear" w:color="auto" w:fill="D4F1F5"/>
          </w:tcPr>
          <w:p>
            <w:pPr>
              <w:spacing w:after="0"/>
              <w:rPr>
                <w:sz w:val="17"/>
                <w:szCs w:val="17"/>
                <w:color w:val="auto"/>
              </w:rPr>
            </w:pPr>
          </w:p>
        </w:tc>
        <w:tc>
          <w:tcPr>
            <w:tcW w:w="1020" w:type="dxa"/>
            <w:vAlign w:val="bottom"/>
            <w:shd w:val="clear" w:color="auto" w:fill="D4F1F5"/>
          </w:tcPr>
          <w:p>
            <w:pPr>
              <w:spacing w:after="0"/>
              <w:rPr>
                <w:sz w:val="17"/>
                <w:szCs w:val="17"/>
                <w:color w:val="auto"/>
              </w:rPr>
            </w:pPr>
          </w:p>
        </w:tc>
      </w:tr>
      <w:tr>
        <w:trPr>
          <w:trHeight w:val="201"/>
        </w:trPr>
        <w:tc>
          <w:tcPr>
            <w:tcW w:w="5560" w:type="dxa"/>
            <w:vAlign w:val="bottom"/>
            <w:tcBorders>
              <w:bottom w:val="single" w:sz="8" w:color="D4F1F5"/>
            </w:tcBorders>
          </w:tcPr>
          <w:p>
            <w:pPr>
              <w:ind w:left="20"/>
              <w:spacing w:after="0"/>
              <w:rPr>
                <w:sz w:val="20"/>
                <w:szCs w:val="20"/>
                <w:color w:val="auto"/>
              </w:rPr>
            </w:pPr>
            <w:r>
              <w:rPr>
                <w:rFonts w:ascii="Arial" w:cs="Arial" w:eastAsia="Arial" w:hAnsi="Arial"/>
                <w:sz w:val="15"/>
                <w:szCs w:val="15"/>
                <w:color w:val="auto"/>
              </w:rPr>
              <w:t>Balance at December 31, 2025</w:t>
            </w:r>
          </w:p>
        </w:tc>
        <w:tc>
          <w:tcPr>
            <w:tcW w:w="18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w w:val="95"/>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(45)</w:t>
            </w:r>
          </w:p>
        </w:tc>
        <w:tc>
          <w:tcPr>
            <w:tcW w:w="340" w:type="dxa"/>
            <w:vAlign w:val="bottom"/>
            <w:tcBorders>
              <w:bottom w:val="single" w:sz="8" w:color="auto"/>
            </w:tcBorders>
            <w:gridSpan w:val="2"/>
          </w:tcPr>
          <w:p>
            <w:pPr>
              <w:jc w:val="right"/>
              <w:ind w:right="24"/>
              <w:spacing w:after="0"/>
              <w:rPr>
                <w:sz w:val="20"/>
                <w:szCs w:val="20"/>
                <w:color w:val="auto"/>
              </w:rPr>
            </w:pPr>
            <w:r>
              <w:rPr>
                <w:rFonts w:ascii="Arial" w:cs="Arial" w:eastAsia="Arial" w:hAnsi="Arial"/>
                <w:sz w:val="15"/>
                <w:szCs w:val="15"/>
                <w:color w:val="auto"/>
              </w:rPr>
              <w:t>$</w:t>
            </w:r>
          </w:p>
        </w:tc>
        <w:tc>
          <w:tcPr>
            <w:tcW w:w="1260" w:type="dxa"/>
            <w:vAlign w:val="bottom"/>
            <w:tcBorders>
              <w:bottom w:val="single" w:sz="8" w:color="auto"/>
            </w:tcBorders>
          </w:tcPr>
          <w:p>
            <w:pPr>
              <w:jc w:val="right"/>
              <w:ind w:right="104"/>
              <w:spacing w:after="0"/>
              <w:rPr>
                <w:sz w:val="20"/>
                <w:szCs w:val="20"/>
                <w:color w:val="auto"/>
              </w:rPr>
            </w:pPr>
            <w:r>
              <w:rPr>
                <w:rFonts w:ascii="Arial" w:cs="Arial" w:eastAsia="Arial" w:hAnsi="Arial"/>
                <w:sz w:val="15"/>
                <w:szCs w:val="15"/>
                <w:color w:val="auto"/>
              </w:rPr>
              <w:t>(54)</w:t>
            </w:r>
          </w:p>
        </w:tc>
        <w:tc>
          <w:tcPr>
            <w:tcW w:w="20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w w:val="95"/>
              </w:rPr>
              <w:t>$</w:t>
            </w:r>
          </w:p>
        </w:tc>
        <w:tc>
          <w:tcPr>
            <w:tcW w:w="1240" w:type="dxa"/>
            <w:vAlign w:val="bottom"/>
            <w:tcBorders>
              <w:bottom w:val="single" w:sz="8" w:color="auto"/>
            </w:tcBorders>
          </w:tcPr>
          <w:p>
            <w:pPr>
              <w:jc w:val="right"/>
              <w:ind w:right="104"/>
              <w:spacing w:after="0"/>
              <w:rPr>
                <w:sz w:val="20"/>
                <w:szCs w:val="20"/>
                <w:color w:val="auto"/>
              </w:rPr>
            </w:pPr>
            <w:r>
              <w:rPr>
                <w:rFonts w:ascii="Arial" w:cs="Arial" w:eastAsia="Arial" w:hAnsi="Arial"/>
                <w:sz w:val="15"/>
                <w:szCs w:val="15"/>
                <w:color w:val="auto"/>
              </w:rPr>
              <w:t>(98)</w:t>
            </w:r>
          </w:p>
        </w:tc>
        <w:tc>
          <w:tcPr>
            <w:tcW w:w="300" w:type="dxa"/>
            <w:vAlign w:val="bottom"/>
            <w:tcBorders>
              <w:bottom w:val="single" w:sz="8" w:color="auto"/>
            </w:tcBorders>
          </w:tcPr>
          <w:p>
            <w:pPr>
              <w:jc w:val="right"/>
              <w:ind w:right="124"/>
              <w:spacing w:after="0"/>
              <w:rPr>
                <w:sz w:val="20"/>
                <w:szCs w:val="20"/>
                <w:color w:val="auto"/>
              </w:rPr>
            </w:pPr>
            <w:r>
              <w:rPr>
                <w:rFonts w:ascii="Arial" w:cs="Arial" w:eastAsia="Arial" w:hAnsi="Arial"/>
                <w:sz w:val="15"/>
                <w:szCs w:val="15"/>
                <w:color w:val="auto"/>
                <w:w w:val="95"/>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(197)</w:t>
            </w:r>
          </w:p>
        </w:tc>
      </w:tr>
      <w:tr>
        <w:trPr>
          <w:trHeight w:val="197"/>
        </w:trPr>
        <w:tc>
          <w:tcPr>
            <w:tcW w:w="5560" w:type="dxa"/>
            <w:vAlign w:val="bottom"/>
            <w:shd w:val="clear" w:color="auto" w:fill="D4F1F5"/>
          </w:tcPr>
          <w:p>
            <w:pPr>
              <w:ind w:left="20"/>
              <w:spacing w:after="0"/>
              <w:rPr>
                <w:sz w:val="20"/>
                <w:szCs w:val="20"/>
                <w:color w:val="auto"/>
              </w:rPr>
            </w:pPr>
            <w:r>
              <w:rPr>
                <w:rFonts w:ascii="Arial" w:cs="Arial" w:eastAsia="Arial" w:hAnsi="Arial"/>
                <w:sz w:val="15"/>
                <w:szCs w:val="15"/>
                <w:color w:val="auto"/>
              </w:rPr>
              <w:t>OCI before reclassifications</w:t>
            </w:r>
          </w:p>
        </w:tc>
        <w:tc>
          <w:tcPr>
            <w:tcW w:w="180" w:type="dxa"/>
            <w:vAlign w:val="bottom"/>
            <w:shd w:val="clear" w:color="auto" w:fill="D4F1F5"/>
          </w:tcPr>
          <w:p>
            <w:pPr>
              <w:spacing w:after="0"/>
              <w:rPr>
                <w:sz w:val="17"/>
                <w:szCs w:val="17"/>
                <w:color w:val="auto"/>
              </w:rPr>
            </w:pPr>
          </w:p>
        </w:tc>
        <w:tc>
          <w:tcPr>
            <w:tcW w:w="1120" w:type="dxa"/>
            <w:vAlign w:val="bottom"/>
            <w:shd w:val="clear" w:color="auto" w:fill="D4F1F5"/>
          </w:tcPr>
          <w:p>
            <w:pPr>
              <w:jc w:val="right"/>
              <w:spacing w:after="0"/>
              <w:rPr>
                <w:sz w:val="20"/>
                <w:szCs w:val="20"/>
                <w:color w:val="auto"/>
              </w:rPr>
            </w:pPr>
            <w:r>
              <w:rPr>
                <w:rFonts w:ascii="Arial" w:cs="Arial" w:eastAsia="Arial" w:hAnsi="Arial"/>
                <w:sz w:val="15"/>
                <w:szCs w:val="15"/>
                <w:color w:val="auto"/>
              </w:rPr>
              <w:t>(2)</w:t>
            </w:r>
          </w:p>
        </w:tc>
        <w:tc>
          <w:tcPr>
            <w:tcW w:w="140" w:type="dxa"/>
            <w:vAlign w:val="bottom"/>
            <w:shd w:val="clear" w:color="auto" w:fill="D4F1F5"/>
          </w:tcPr>
          <w:p>
            <w:pPr>
              <w:spacing w:after="0"/>
              <w:rPr>
                <w:sz w:val="17"/>
                <w:szCs w:val="17"/>
                <w:color w:val="auto"/>
              </w:rPr>
            </w:pPr>
          </w:p>
        </w:tc>
        <w:tc>
          <w:tcPr>
            <w:tcW w:w="200" w:type="dxa"/>
            <w:vAlign w:val="bottom"/>
            <w:shd w:val="clear" w:color="auto" w:fill="D4F1F5"/>
          </w:tcPr>
          <w:p>
            <w:pPr>
              <w:spacing w:after="0"/>
              <w:rPr>
                <w:sz w:val="17"/>
                <w:szCs w:val="17"/>
                <w:color w:val="auto"/>
              </w:rPr>
            </w:pPr>
          </w:p>
        </w:tc>
        <w:tc>
          <w:tcPr>
            <w:tcW w:w="1260" w:type="dxa"/>
            <w:vAlign w:val="bottom"/>
            <w:shd w:val="clear" w:color="auto" w:fill="D4F1F5"/>
          </w:tcPr>
          <w:p>
            <w:pPr>
              <w:jc w:val="right"/>
              <w:ind w:right="144"/>
              <w:spacing w:after="0"/>
              <w:rPr>
                <w:sz w:val="20"/>
                <w:szCs w:val="20"/>
                <w:color w:val="auto"/>
              </w:rPr>
            </w:pPr>
            <w:r>
              <w:rPr>
                <w:rFonts w:ascii="Arial" w:cs="Arial" w:eastAsia="Arial" w:hAnsi="Arial"/>
                <w:sz w:val="15"/>
                <w:szCs w:val="15"/>
                <w:color w:val="auto"/>
              </w:rPr>
              <w:t>5</w:t>
            </w:r>
          </w:p>
        </w:tc>
        <w:tc>
          <w:tcPr>
            <w:tcW w:w="200" w:type="dxa"/>
            <w:vAlign w:val="bottom"/>
            <w:shd w:val="clear" w:color="auto" w:fill="D4F1F5"/>
          </w:tcPr>
          <w:p>
            <w:pPr>
              <w:spacing w:after="0"/>
              <w:rPr>
                <w:sz w:val="17"/>
                <w:szCs w:val="17"/>
                <w:color w:val="auto"/>
              </w:rPr>
            </w:pPr>
          </w:p>
        </w:tc>
        <w:tc>
          <w:tcPr>
            <w:tcW w:w="1240" w:type="dxa"/>
            <w:vAlign w:val="bottom"/>
            <w:shd w:val="clear" w:color="auto" w:fill="D4F1F5"/>
          </w:tcPr>
          <w:p>
            <w:pPr>
              <w:jc w:val="right"/>
              <w:ind w:right="144"/>
              <w:spacing w:after="0"/>
              <w:rPr>
                <w:sz w:val="20"/>
                <w:szCs w:val="20"/>
                <w:color w:val="auto"/>
              </w:rPr>
            </w:pPr>
            <w:r>
              <w:rPr>
                <w:rFonts w:ascii="Arial" w:cs="Arial" w:eastAsia="Arial" w:hAnsi="Arial"/>
                <w:sz w:val="15"/>
                <w:szCs w:val="15"/>
                <w:color w:val="auto"/>
              </w:rPr>
              <w:t>5</w:t>
            </w:r>
          </w:p>
        </w:tc>
        <w:tc>
          <w:tcPr>
            <w:tcW w:w="300" w:type="dxa"/>
            <w:vAlign w:val="bottom"/>
            <w:shd w:val="clear" w:color="auto" w:fill="D4F1F5"/>
          </w:tcPr>
          <w:p>
            <w:pPr>
              <w:spacing w:after="0"/>
              <w:rPr>
                <w:sz w:val="17"/>
                <w:szCs w:val="17"/>
                <w:color w:val="auto"/>
              </w:rPr>
            </w:pPr>
          </w:p>
        </w:tc>
        <w:tc>
          <w:tcPr>
            <w:tcW w:w="1020" w:type="dxa"/>
            <w:vAlign w:val="bottom"/>
            <w:shd w:val="clear" w:color="auto" w:fill="D4F1F5"/>
          </w:tcPr>
          <w:p>
            <w:pPr>
              <w:jc w:val="right"/>
              <w:ind w:right="4"/>
              <w:spacing w:after="0"/>
              <w:rPr>
                <w:sz w:val="20"/>
                <w:szCs w:val="20"/>
                <w:color w:val="auto"/>
              </w:rPr>
            </w:pPr>
            <w:r>
              <w:rPr>
                <w:rFonts w:ascii="Arial" w:cs="Arial" w:eastAsia="Arial" w:hAnsi="Arial"/>
                <w:sz w:val="15"/>
                <w:szCs w:val="15"/>
                <w:color w:val="auto"/>
              </w:rPr>
              <w:t>8</w:t>
            </w:r>
          </w:p>
        </w:tc>
      </w:tr>
      <w:tr>
        <w:trPr>
          <w:trHeight w:val="201"/>
        </w:trPr>
        <w:tc>
          <w:tcPr>
            <w:tcW w:w="5560" w:type="dxa"/>
            <w:vAlign w:val="bottom"/>
            <w:tcBorders>
              <w:bottom w:val="single" w:sz="8" w:color="D4F1F5"/>
            </w:tcBorders>
          </w:tcPr>
          <w:p>
            <w:pPr>
              <w:ind w:left="20"/>
              <w:spacing w:after="0"/>
              <w:rPr>
                <w:sz w:val="20"/>
                <w:szCs w:val="20"/>
                <w:color w:val="auto"/>
              </w:rPr>
            </w:pPr>
            <w:r>
              <w:rPr>
                <w:rFonts w:ascii="Arial" w:cs="Arial" w:eastAsia="Arial" w:hAnsi="Arial"/>
                <w:sz w:val="15"/>
                <w:szCs w:val="15"/>
                <w:color w:val="auto"/>
              </w:rPr>
              <w:t>Amounts reclassified from AOCI</w:t>
            </w:r>
          </w:p>
        </w:tc>
        <w:tc>
          <w:tcPr>
            <w:tcW w:w="18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rPr>
              <w:t>—</w:t>
            </w:r>
          </w:p>
        </w:tc>
        <w:tc>
          <w:tcPr>
            <w:tcW w:w="14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104"/>
              <w:spacing w:after="0"/>
              <w:rPr>
                <w:sz w:val="20"/>
                <w:szCs w:val="20"/>
                <w:color w:val="auto"/>
              </w:rPr>
            </w:pPr>
            <w:r>
              <w:rPr>
                <w:rFonts w:ascii="Arial" w:cs="Arial" w:eastAsia="Arial" w:hAnsi="Arial"/>
                <w:sz w:val="15"/>
                <w:szCs w:val="15"/>
                <w:color w:val="auto"/>
              </w:rPr>
              <w:t>(3)</w:t>
            </w:r>
          </w:p>
        </w:tc>
        <w:tc>
          <w:tcPr>
            <w:tcW w:w="2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144"/>
              <w:spacing w:after="0"/>
              <w:rPr>
                <w:sz w:val="20"/>
                <w:szCs w:val="20"/>
                <w:color w:val="auto"/>
              </w:rPr>
            </w:pPr>
            <w:r>
              <w:rPr>
                <w:rFonts w:ascii="Arial" w:cs="Arial" w:eastAsia="Arial" w:hAnsi="Arial"/>
                <w:sz w:val="15"/>
                <w:szCs w:val="15"/>
                <w:color w:val="auto"/>
              </w:rPr>
              <w:t>1</w:t>
            </w: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w:t>
            </w:r>
          </w:p>
        </w:tc>
      </w:tr>
      <w:tr>
        <w:trPr>
          <w:trHeight w:val="196"/>
        </w:trPr>
        <w:tc>
          <w:tcPr>
            <w:tcW w:w="5560" w:type="dxa"/>
            <w:vAlign w:val="bottom"/>
            <w:shd w:val="clear" w:color="auto" w:fill="D4F1F5"/>
          </w:tcPr>
          <w:p>
            <w:pPr>
              <w:ind w:left="20"/>
              <w:spacing w:after="0"/>
              <w:rPr>
                <w:sz w:val="20"/>
                <w:szCs w:val="20"/>
                <w:color w:val="auto"/>
              </w:rPr>
            </w:pPr>
            <w:r>
              <w:rPr>
                <w:rFonts w:ascii="Arial" w:cs="Arial" w:eastAsia="Arial" w:hAnsi="Arial"/>
                <w:sz w:val="15"/>
                <w:szCs w:val="15"/>
                <w:color w:val="auto"/>
              </w:rPr>
              <w:t>Net OCI</w:t>
            </w:r>
          </w:p>
        </w:tc>
        <w:tc>
          <w:tcPr>
            <w:tcW w:w="180" w:type="dxa"/>
            <w:vAlign w:val="bottom"/>
            <w:tcBorders>
              <w:bottom w:val="single" w:sz="8" w:color="auto"/>
            </w:tcBorders>
            <w:shd w:val="clear" w:color="auto" w:fill="D4F1F5"/>
          </w:tcPr>
          <w:p>
            <w:pPr>
              <w:spacing w:after="0"/>
              <w:rPr>
                <w:sz w:val="17"/>
                <w:szCs w:val="17"/>
                <w:color w:val="auto"/>
              </w:rPr>
            </w:pPr>
          </w:p>
        </w:tc>
        <w:tc>
          <w:tcPr>
            <w:tcW w:w="1120" w:type="dxa"/>
            <w:vAlign w:val="bottom"/>
            <w:tcBorders>
              <w:bottom w:val="single" w:sz="8" w:color="auto"/>
            </w:tcBorders>
            <w:shd w:val="clear" w:color="auto" w:fill="D4F1F5"/>
          </w:tcPr>
          <w:p>
            <w:pPr>
              <w:jc w:val="right"/>
              <w:spacing w:after="0"/>
              <w:rPr>
                <w:sz w:val="20"/>
                <w:szCs w:val="20"/>
                <w:color w:val="auto"/>
              </w:rPr>
            </w:pPr>
            <w:r>
              <w:rPr>
                <w:rFonts w:ascii="Arial" w:cs="Arial" w:eastAsia="Arial" w:hAnsi="Arial"/>
                <w:sz w:val="15"/>
                <w:szCs w:val="15"/>
                <w:color w:val="auto"/>
              </w:rPr>
              <w:t>(2)</w:t>
            </w:r>
          </w:p>
        </w:tc>
        <w:tc>
          <w:tcPr>
            <w:tcW w:w="140" w:type="dxa"/>
            <w:vAlign w:val="bottom"/>
            <w:tcBorders>
              <w:bottom w:val="single" w:sz="8" w:color="auto"/>
            </w:tcBorders>
            <w:shd w:val="clear" w:color="auto" w:fill="D4F1F5"/>
          </w:tcPr>
          <w:p>
            <w:pPr>
              <w:spacing w:after="0"/>
              <w:rPr>
                <w:sz w:val="17"/>
                <w:szCs w:val="17"/>
                <w:color w:val="auto"/>
              </w:rPr>
            </w:pPr>
          </w:p>
        </w:tc>
        <w:tc>
          <w:tcPr>
            <w:tcW w:w="200" w:type="dxa"/>
            <w:vAlign w:val="bottom"/>
            <w:tcBorders>
              <w:bottom w:val="single" w:sz="8" w:color="auto"/>
            </w:tcBorders>
            <w:shd w:val="clear" w:color="auto" w:fill="D4F1F5"/>
          </w:tcPr>
          <w:p>
            <w:pPr>
              <w:spacing w:after="0"/>
              <w:rPr>
                <w:sz w:val="17"/>
                <w:szCs w:val="17"/>
                <w:color w:val="auto"/>
              </w:rPr>
            </w:pPr>
          </w:p>
        </w:tc>
        <w:tc>
          <w:tcPr>
            <w:tcW w:w="1260" w:type="dxa"/>
            <w:vAlign w:val="bottom"/>
            <w:tcBorders>
              <w:bottom w:val="single" w:sz="8" w:color="auto"/>
            </w:tcBorders>
            <w:shd w:val="clear" w:color="auto" w:fill="D4F1F5"/>
          </w:tcPr>
          <w:p>
            <w:pPr>
              <w:jc w:val="right"/>
              <w:ind w:right="144"/>
              <w:spacing w:after="0"/>
              <w:rPr>
                <w:sz w:val="20"/>
                <w:szCs w:val="20"/>
                <w:color w:val="auto"/>
              </w:rPr>
            </w:pPr>
            <w:r>
              <w:rPr>
                <w:rFonts w:ascii="Arial" w:cs="Arial" w:eastAsia="Arial" w:hAnsi="Arial"/>
                <w:sz w:val="15"/>
                <w:szCs w:val="15"/>
                <w:color w:val="auto"/>
              </w:rPr>
              <w:t>2</w:t>
            </w:r>
          </w:p>
        </w:tc>
        <w:tc>
          <w:tcPr>
            <w:tcW w:w="200" w:type="dxa"/>
            <w:vAlign w:val="bottom"/>
            <w:tcBorders>
              <w:bottom w:val="single" w:sz="8" w:color="auto"/>
            </w:tcBorders>
            <w:shd w:val="clear" w:color="auto" w:fill="D4F1F5"/>
          </w:tcPr>
          <w:p>
            <w:pPr>
              <w:spacing w:after="0"/>
              <w:rPr>
                <w:sz w:val="17"/>
                <w:szCs w:val="17"/>
                <w:color w:val="auto"/>
              </w:rPr>
            </w:pPr>
          </w:p>
        </w:tc>
        <w:tc>
          <w:tcPr>
            <w:tcW w:w="1240" w:type="dxa"/>
            <w:vAlign w:val="bottom"/>
            <w:tcBorders>
              <w:bottom w:val="single" w:sz="8" w:color="auto"/>
            </w:tcBorders>
            <w:shd w:val="clear" w:color="auto" w:fill="D4F1F5"/>
          </w:tcPr>
          <w:p>
            <w:pPr>
              <w:jc w:val="right"/>
              <w:ind w:right="144"/>
              <w:spacing w:after="0"/>
              <w:rPr>
                <w:sz w:val="20"/>
                <w:szCs w:val="20"/>
                <w:color w:val="auto"/>
              </w:rPr>
            </w:pPr>
            <w:r>
              <w:rPr>
                <w:rFonts w:ascii="Arial" w:cs="Arial" w:eastAsia="Arial" w:hAnsi="Arial"/>
                <w:sz w:val="15"/>
                <w:szCs w:val="15"/>
                <w:color w:val="auto"/>
              </w:rPr>
              <w:t>6</w:t>
            </w:r>
          </w:p>
        </w:tc>
        <w:tc>
          <w:tcPr>
            <w:tcW w:w="300" w:type="dxa"/>
            <w:vAlign w:val="bottom"/>
            <w:tcBorders>
              <w:bottom w:val="single" w:sz="8" w:color="auto"/>
            </w:tcBorders>
            <w:shd w:val="clear" w:color="auto" w:fill="D4F1F5"/>
          </w:tcPr>
          <w:p>
            <w:pPr>
              <w:spacing w:after="0"/>
              <w:rPr>
                <w:sz w:val="17"/>
                <w:szCs w:val="17"/>
                <w:color w:val="auto"/>
              </w:rPr>
            </w:pPr>
          </w:p>
        </w:tc>
        <w:tc>
          <w:tcPr>
            <w:tcW w:w="1020" w:type="dxa"/>
            <w:vAlign w:val="bottom"/>
            <w:tcBorders>
              <w:bottom w:val="single" w:sz="8" w:color="auto"/>
            </w:tcBorders>
            <w:shd w:val="clear" w:color="auto" w:fill="D4F1F5"/>
          </w:tcPr>
          <w:p>
            <w:pPr>
              <w:jc w:val="right"/>
              <w:ind w:right="4"/>
              <w:spacing w:after="0"/>
              <w:rPr>
                <w:sz w:val="20"/>
                <w:szCs w:val="20"/>
                <w:color w:val="auto"/>
              </w:rPr>
            </w:pPr>
            <w:r>
              <w:rPr>
                <w:rFonts w:ascii="Arial" w:cs="Arial" w:eastAsia="Arial" w:hAnsi="Arial"/>
                <w:sz w:val="15"/>
                <w:szCs w:val="15"/>
                <w:color w:val="auto"/>
              </w:rPr>
              <w:t>6</w:t>
            </w:r>
          </w:p>
        </w:tc>
      </w:tr>
      <w:tr>
        <w:trPr>
          <w:trHeight w:val="204"/>
        </w:trPr>
        <w:tc>
          <w:tcPr>
            <w:tcW w:w="5560" w:type="dxa"/>
            <w:vAlign w:val="bottom"/>
            <w:tcBorders>
              <w:bottom w:val="single" w:sz="8" w:color="D4F1F5"/>
            </w:tcBorders>
          </w:tcPr>
          <w:p>
            <w:pPr>
              <w:ind w:left="20"/>
              <w:spacing w:after="0"/>
              <w:rPr>
                <w:sz w:val="20"/>
                <w:szCs w:val="20"/>
                <w:color w:val="auto"/>
              </w:rPr>
            </w:pPr>
            <w:r>
              <w:rPr>
                <w:rFonts w:ascii="Arial" w:cs="Arial" w:eastAsia="Arial" w:hAnsi="Arial"/>
                <w:sz w:val="15"/>
                <w:szCs w:val="15"/>
                <w:color w:val="auto"/>
              </w:rPr>
              <w:t>Balance at March 31, 2026</w:t>
            </w:r>
          </w:p>
        </w:tc>
        <w:tc>
          <w:tcPr>
            <w:tcW w:w="18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w w:val="95"/>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(47)</w:t>
            </w:r>
          </w:p>
        </w:tc>
        <w:tc>
          <w:tcPr>
            <w:tcW w:w="340" w:type="dxa"/>
            <w:vAlign w:val="bottom"/>
            <w:tcBorders>
              <w:bottom w:val="single" w:sz="8" w:color="auto"/>
            </w:tcBorders>
            <w:gridSpan w:val="2"/>
          </w:tcPr>
          <w:p>
            <w:pPr>
              <w:jc w:val="right"/>
              <w:ind w:right="24"/>
              <w:spacing w:after="0"/>
              <w:rPr>
                <w:sz w:val="20"/>
                <w:szCs w:val="20"/>
                <w:color w:val="auto"/>
              </w:rPr>
            </w:pPr>
            <w:r>
              <w:rPr>
                <w:rFonts w:ascii="Arial" w:cs="Arial" w:eastAsia="Arial" w:hAnsi="Arial"/>
                <w:sz w:val="15"/>
                <w:szCs w:val="15"/>
                <w:color w:val="auto"/>
              </w:rPr>
              <w:t>$</w:t>
            </w:r>
          </w:p>
        </w:tc>
        <w:tc>
          <w:tcPr>
            <w:tcW w:w="1260" w:type="dxa"/>
            <w:vAlign w:val="bottom"/>
            <w:tcBorders>
              <w:bottom w:val="single" w:sz="8" w:color="auto"/>
            </w:tcBorders>
          </w:tcPr>
          <w:p>
            <w:pPr>
              <w:jc w:val="right"/>
              <w:ind w:right="104"/>
              <w:spacing w:after="0"/>
              <w:rPr>
                <w:sz w:val="20"/>
                <w:szCs w:val="20"/>
                <w:color w:val="auto"/>
              </w:rPr>
            </w:pPr>
            <w:r>
              <w:rPr>
                <w:rFonts w:ascii="Arial" w:cs="Arial" w:eastAsia="Arial" w:hAnsi="Arial"/>
                <w:sz w:val="15"/>
                <w:szCs w:val="15"/>
                <w:color w:val="auto"/>
              </w:rPr>
              <w:t>(52)</w:t>
            </w:r>
          </w:p>
        </w:tc>
        <w:tc>
          <w:tcPr>
            <w:tcW w:w="20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w w:val="95"/>
              </w:rPr>
              <w:t>$</w:t>
            </w:r>
          </w:p>
        </w:tc>
        <w:tc>
          <w:tcPr>
            <w:tcW w:w="1240" w:type="dxa"/>
            <w:vAlign w:val="bottom"/>
            <w:tcBorders>
              <w:bottom w:val="single" w:sz="8" w:color="auto"/>
            </w:tcBorders>
          </w:tcPr>
          <w:p>
            <w:pPr>
              <w:jc w:val="right"/>
              <w:ind w:right="104"/>
              <w:spacing w:after="0"/>
              <w:rPr>
                <w:sz w:val="20"/>
                <w:szCs w:val="20"/>
                <w:color w:val="auto"/>
              </w:rPr>
            </w:pPr>
            <w:r>
              <w:rPr>
                <w:rFonts w:ascii="Arial" w:cs="Arial" w:eastAsia="Arial" w:hAnsi="Arial"/>
                <w:sz w:val="15"/>
                <w:szCs w:val="15"/>
                <w:color w:val="auto"/>
              </w:rPr>
              <w:t>(92)</w:t>
            </w:r>
          </w:p>
        </w:tc>
        <w:tc>
          <w:tcPr>
            <w:tcW w:w="300" w:type="dxa"/>
            <w:vAlign w:val="bottom"/>
            <w:tcBorders>
              <w:bottom w:val="single" w:sz="8" w:color="auto"/>
            </w:tcBorders>
          </w:tcPr>
          <w:p>
            <w:pPr>
              <w:jc w:val="right"/>
              <w:ind w:right="124"/>
              <w:spacing w:after="0"/>
              <w:rPr>
                <w:sz w:val="20"/>
                <w:szCs w:val="20"/>
                <w:color w:val="auto"/>
              </w:rPr>
            </w:pPr>
            <w:r>
              <w:rPr>
                <w:rFonts w:ascii="Arial" w:cs="Arial" w:eastAsia="Arial" w:hAnsi="Arial"/>
                <w:sz w:val="15"/>
                <w:szCs w:val="15"/>
                <w:color w:val="auto"/>
                <w:w w:val="95"/>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(191)</w:t>
            </w:r>
          </w:p>
        </w:tc>
      </w:tr>
      <w:tr>
        <w:trPr>
          <w:trHeight w:val="203"/>
        </w:trPr>
        <w:tc>
          <w:tcPr>
            <w:tcW w:w="5560" w:type="dxa"/>
            <w:vAlign w:val="bottom"/>
            <w:shd w:val="clear" w:color="auto" w:fill="D4F1F5"/>
          </w:tcPr>
          <w:p>
            <w:pPr>
              <w:spacing w:after="0"/>
              <w:rPr>
                <w:sz w:val="17"/>
                <w:szCs w:val="17"/>
                <w:color w:val="auto"/>
              </w:rPr>
            </w:pPr>
          </w:p>
        </w:tc>
        <w:tc>
          <w:tcPr>
            <w:tcW w:w="180" w:type="dxa"/>
            <w:vAlign w:val="bottom"/>
            <w:shd w:val="clear" w:color="auto" w:fill="D4F1F5"/>
          </w:tcPr>
          <w:p>
            <w:pPr>
              <w:spacing w:after="0"/>
              <w:rPr>
                <w:sz w:val="17"/>
                <w:szCs w:val="17"/>
                <w:color w:val="auto"/>
              </w:rPr>
            </w:pPr>
          </w:p>
        </w:tc>
        <w:tc>
          <w:tcPr>
            <w:tcW w:w="1120" w:type="dxa"/>
            <w:vAlign w:val="bottom"/>
            <w:shd w:val="clear" w:color="auto" w:fill="D4F1F5"/>
          </w:tcPr>
          <w:p>
            <w:pPr>
              <w:spacing w:after="0"/>
              <w:rPr>
                <w:sz w:val="17"/>
                <w:szCs w:val="17"/>
                <w:color w:val="auto"/>
              </w:rPr>
            </w:pPr>
          </w:p>
        </w:tc>
        <w:tc>
          <w:tcPr>
            <w:tcW w:w="140" w:type="dxa"/>
            <w:vAlign w:val="bottom"/>
            <w:shd w:val="clear" w:color="auto" w:fill="D4F1F5"/>
          </w:tcPr>
          <w:p>
            <w:pPr>
              <w:spacing w:after="0"/>
              <w:rPr>
                <w:sz w:val="17"/>
                <w:szCs w:val="17"/>
                <w:color w:val="auto"/>
              </w:rPr>
            </w:pPr>
          </w:p>
        </w:tc>
        <w:tc>
          <w:tcPr>
            <w:tcW w:w="200" w:type="dxa"/>
            <w:vAlign w:val="bottom"/>
            <w:shd w:val="clear" w:color="auto" w:fill="D4F1F5"/>
          </w:tcPr>
          <w:p>
            <w:pPr>
              <w:spacing w:after="0"/>
              <w:rPr>
                <w:sz w:val="17"/>
                <w:szCs w:val="17"/>
                <w:color w:val="auto"/>
              </w:rPr>
            </w:pPr>
          </w:p>
        </w:tc>
        <w:tc>
          <w:tcPr>
            <w:tcW w:w="1260" w:type="dxa"/>
            <w:vAlign w:val="bottom"/>
            <w:shd w:val="clear" w:color="auto" w:fill="D4F1F5"/>
          </w:tcPr>
          <w:p>
            <w:pPr>
              <w:spacing w:after="0"/>
              <w:rPr>
                <w:sz w:val="17"/>
                <w:szCs w:val="17"/>
                <w:color w:val="auto"/>
              </w:rPr>
            </w:pPr>
          </w:p>
        </w:tc>
        <w:tc>
          <w:tcPr>
            <w:tcW w:w="200" w:type="dxa"/>
            <w:vAlign w:val="bottom"/>
            <w:shd w:val="clear" w:color="auto" w:fill="D4F1F5"/>
          </w:tcPr>
          <w:p>
            <w:pPr>
              <w:spacing w:after="0"/>
              <w:rPr>
                <w:sz w:val="17"/>
                <w:szCs w:val="17"/>
                <w:color w:val="auto"/>
              </w:rPr>
            </w:pPr>
          </w:p>
        </w:tc>
        <w:tc>
          <w:tcPr>
            <w:tcW w:w="1240" w:type="dxa"/>
            <w:vAlign w:val="bottom"/>
            <w:shd w:val="clear" w:color="auto" w:fill="D4F1F5"/>
          </w:tcPr>
          <w:p>
            <w:pPr>
              <w:spacing w:after="0"/>
              <w:rPr>
                <w:sz w:val="17"/>
                <w:szCs w:val="17"/>
                <w:color w:val="auto"/>
              </w:rPr>
            </w:pPr>
          </w:p>
        </w:tc>
        <w:tc>
          <w:tcPr>
            <w:tcW w:w="300" w:type="dxa"/>
            <w:vAlign w:val="bottom"/>
            <w:shd w:val="clear" w:color="auto" w:fill="D4F1F5"/>
          </w:tcPr>
          <w:p>
            <w:pPr>
              <w:spacing w:after="0"/>
              <w:rPr>
                <w:sz w:val="17"/>
                <w:szCs w:val="17"/>
                <w:color w:val="auto"/>
              </w:rPr>
            </w:pPr>
          </w:p>
        </w:tc>
        <w:tc>
          <w:tcPr>
            <w:tcW w:w="1020" w:type="dxa"/>
            <w:vAlign w:val="bottom"/>
            <w:shd w:val="clear" w:color="auto" w:fill="D4F1F5"/>
          </w:tcPr>
          <w:p>
            <w:pPr>
              <w:spacing w:after="0"/>
              <w:rPr>
                <w:sz w:val="17"/>
                <w:szCs w:val="17"/>
                <w:color w:val="auto"/>
              </w:rPr>
            </w:pPr>
          </w:p>
        </w:tc>
      </w:tr>
      <w:tr>
        <w:trPr>
          <w:trHeight w:val="201"/>
        </w:trPr>
        <w:tc>
          <w:tcPr>
            <w:tcW w:w="5560" w:type="dxa"/>
            <w:vAlign w:val="bottom"/>
            <w:tcBorders>
              <w:bottom w:val="single" w:sz="8" w:color="D4F1F5"/>
            </w:tcBorders>
          </w:tcPr>
          <w:p>
            <w:pPr>
              <w:ind w:left="20"/>
              <w:spacing w:after="0"/>
              <w:rPr>
                <w:sz w:val="20"/>
                <w:szCs w:val="20"/>
                <w:color w:val="auto"/>
              </w:rPr>
            </w:pPr>
            <w:r>
              <w:rPr>
                <w:rFonts w:ascii="Arial" w:cs="Arial" w:eastAsia="Arial" w:hAnsi="Arial"/>
                <w:sz w:val="15"/>
                <w:szCs w:val="15"/>
                <w:color w:val="auto"/>
              </w:rPr>
              <w:t>Balance at December 31, 2024</w:t>
            </w:r>
          </w:p>
        </w:tc>
        <w:tc>
          <w:tcPr>
            <w:tcW w:w="18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w w:val="95"/>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(66)</w:t>
            </w:r>
          </w:p>
        </w:tc>
        <w:tc>
          <w:tcPr>
            <w:tcW w:w="340" w:type="dxa"/>
            <w:vAlign w:val="bottom"/>
            <w:tcBorders>
              <w:bottom w:val="single" w:sz="8" w:color="auto"/>
            </w:tcBorders>
            <w:gridSpan w:val="2"/>
          </w:tcPr>
          <w:p>
            <w:pPr>
              <w:jc w:val="right"/>
              <w:ind w:right="24"/>
              <w:spacing w:after="0"/>
              <w:rPr>
                <w:sz w:val="20"/>
                <w:szCs w:val="20"/>
                <w:color w:val="auto"/>
              </w:rPr>
            </w:pPr>
            <w:r>
              <w:rPr>
                <w:rFonts w:ascii="Arial" w:cs="Arial" w:eastAsia="Arial" w:hAnsi="Arial"/>
                <w:sz w:val="15"/>
                <w:szCs w:val="15"/>
                <w:color w:val="auto"/>
              </w:rPr>
              <w:t>$</w:t>
            </w:r>
          </w:p>
        </w:tc>
        <w:tc>
          <w:tcPr>
            <w:tcW w:w="1260" w:type="dxa"/>
            <w:vAlign w:val="bottom"/>
            <w:tcBorders>
              <w:bottom w:val="single" w:sz="8" w:color="auto"/>
            </w:tcBorders>
          </w:tcPr>
          <w:p>
            <w:pPr>
              <w:jc w:val="right"/>
              <w:ind w:right="144"/>
              <w:spacing w:after="0"/>
              <w:rPr>
                <w:sz w:val="20"/>
                <w:szCs w:val="20"/>
                <w:color w:val="auto"/>
              </w:rPr>
            </w:pPr>
            <w:r>
              <w:rPr>
                <w:rFonts w:ascii="Arial" w:cs="Arial" w:eastAsia="Arial" w:hAnsi="Arial"/>
                <w:sz w:val="15"/>
                <w:szCs w:val="15"/>
                <w:color w:val="auto"/>
              </w:rPr>
              <w:t>15</w:t>
            </w:r>
          </w:p>
        </w:tc>
        <w:tc>
          <w:tcPr>
            <w:tcW w:w="20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w w:val="95"/>
              </w:rPr>
              <w:t>$</w:t>
            </w:r>
          </w:p>
        </w:tc>
        <w:tc>
          <w:tcPr>
            <w:tcW w:w="1240" w:type="dxa"/>
            <w:vAlign w:val="bottom"/>
            <w:tcBorders>
              <w:bottom w:val="single" w:sz="8" w:color="auto"/>
            </w:tcBorders>
          </w:tcPr>
          <w:p>
            <w:pPr>
              <w:jc w:val="right"/>
              <w:ind w:right="104"/>
              <w:spacing w:after="0"/>
              <w:rPr>
                <w:sz w:val="20"/>
                <w:szCs w:val="20"/>
                <w:color w:val="auto"/>
              </w:rPr>
            </w:pPr>
            <w:r>
              <w:rPr>
                <w:rFonts w:ascii="Arial" w:cs="Arial" w:eastAsia="Arial" w:hAnsi="Arial"/>
                <w:sz w:val="15"/>
                <w:szCs w:val="15"/>
                <w:color w:val="auto"/>
              </w:rPr>
              <w:t>(115)</w:t>
            </w:r>
          </w:p>
        </w:tc>
        <w:tc>
          <w:tcPr>
            <w:tcW w:w="300" w:type="dxa"/>
            <w:vAlign w:val="bottom"/>
            <w:tcBorders>
              <w:bottom w:val="single" w:sz="8" w:color="auto"/>
            </w:tcBorders>
          </w:tcPr>
          <w:p>
            <w:pPr>
              <w:jc w:val="right"/>
              <w:ind w:right="124"/>
              <w:spacing w:after="0"/>
              <w:rPr>
                <w:sz w:val="20"/>
                <w:szCs w:val="20"/>
                <w:color w:val="auto"/>
              </w:rPr>
            </w:pPr>
            <w:r>
              <w:rPr>
                <w:rFonts w:ascii="Arial" w:cs="Arial" w:eastAsia="Arial" w:hAnsi="Arial"/>
                <w:sz w:val="15"/>
                <w:szCs w:val="15"/>
                <w:color w:val="auto"/>
                <w:w w:val="95"/>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(166)</w:t>
            </w:r>
          </w:p>
        </w:tc>
      </w:tr>
      <w:tr>
        <w:trPr>
          <w:trHeight w:val="197"/>
        </w:trPr>
        <w:tc>
          <w:tcPr>
            <w:tcW w:w="5560" w:type="dxa"/>
            <w:vAlign w:val="bottom"/>
            <w:shd w:val="clear" w:color="auto" w:fill="D4F1F5"/>
          </w:tcPr>
          <w:p>
            <w:pPr>
              <w:ind w:left="20"/>
              <w:spacing w:after="0"/>
              <w:rPr>
                <w:sz w:val="20"/>
                <w:szCs w:val="20"/>
                <w:color w:val="auto"/>
              </w:rPr>
            </w:pPr>
            <w:r>
              <w:rPr>
                <w:rFonts w:ascii="Arial" w:cs="Arial" w:eastAsia="Arial" w:hAnsi="Arial"/>
                <w:sz w:val="15"/>
                <w:szCs w:val="15"/>
                <w:color w:val="auto"/>
              </w:rPr>
              <w:t>OCI before reclassifications</w:t>
            </w:r>
          </w:p>
        </w:tc>
        <w:tc>
          <w:tcPr>
            <w:tcW w:w="180" w:type="dxa"/>
            <w:vAlign w:val="bottom"/>
            <w:shd w:val="clear" w:color="auto" w:fill="D4F1F5"/>
          </w:tcPr>
          <w:p>
            <w:pPr>
              <w:spacing w:after="0"/>
              <w:rPr>
                <w:sz w:val="17"/>
                <w:szCs w:val="17"/>
                <w:color w:val="auto"/>
              </w:rPr>
            </w:pPr>
          </w:p>
        </w:tc>
        <w:tc>
          <w:tcPr>
            <w:tcW w:w="1120" w:type="dxa"/>
            <w:vAlign w:val="bottom"/>
            <w:shd w:val="clear" w:color="auto" w:fill="D4F1F5"/>
          </w:tcPr>
          <w:p>
            <w:pPr>
              <w:jc w:val="right"/>
              <w:ind w:right="5"/>
              <w:spacing w:after="0"/>
              <w:rPr>
                <w:sz w:val="20"/>
                <w:szCs w:val="20"/>
                <w:color w:val="auto"/>
              </w:rPr>
            </w:pPr>
            <w:r>
              <w:rPr>
                <w:rFonts w:ascii="Arial" w:cs="Arial" w:eastAsia="Arial" w:hAnsi="Arial"/>
                <w:sz w:val="15"/>
                <w:szCs w:val="15"/>
                <w:color w:val="auto"/>
              </w:rPr>
              <w:t>—</w:t>
            </w:r>
          </w:p>
        </w:tc>
        <w:tc>
          <w:tcPr>
            <w:tcW w:w="140" w:type="dxa"/>
            <w:vAlign w:val="bottom"/>
            <w:shd w:val="clear" w:color="auto" w:fill="D4F1F5"/>
          </w:tcPr>
          <w:p>
            <w:pPr>
              <w:spacing w:after="0"/>
              <w:rPr>
                <w:sz w:val="17"/>
                <w:szCs w:val="17"/>
                <w:color w:val="auto"/>
              </w:rPr>
            </w:pPr>
          </w:p>
        </w:tc>
        <w:tc>
          <w:tcPr>
            <w:tcW w:w="200" w:type="dxa"/>
            <w:vAlign w:val="bottom"/>
            <w:shd w:val="clear" w:color="auto" w:fill="D4F1F5"/>
          </w:tcPr>
          <w:p>
            <w:pPr>
              <w:spacing w:after="0"/>
              <w:rPr>
                <w:sz w:val="17"/>
                <w:szCs w:val="17"/>
                <w:color w:val="auto"/>
              </w:rPr>
            </w:pPr>
          </w:p>
        </w:tc>
        <w:tc>
          <w:tcPr>
            <w:tcW w:w="1260" w:type="dxa"/>
            <w:vAlign w:val="bottom"/>
            <w:shd w:val="clear" w:color="auto" w:fill="D4F1F5"/>
          </w:tcPr>
          <w:p>
            <w:pPr>
              <w:jc w:val="right"/>
              <w:ind w:right="104"/>
              <w:spacing w:after="0"/>
              <w:rPr>
                <w:sz w:val="20"/>
                <w:szCs w:val="20"/>
                <w:color w:val="auto"/>
              </w:rPr>
            </w:pPr>
            <w:r>
              <w:rPr>
                <w:rFonts w:ascii="Arial" w:cs="Arial" w:eastAsia="Arial" w:hAnsi="Arial"/>
                <w:sz w:val="15"/>
                <w:szCs w:val="15"/>
                <w:color w:val="auto"/>
              </w:rPr>
              <w:t>(31)</w:t>
            </w:r>
          </w:p>
        </w:tc>
        <w:tc>
          <w:tcPr>
            <w:tcW w:w="200" w:type="dxa"/>
            <w:vAlign w:val="bottom"/>
            <w:shd w:val="clear" w:color="auto" w:fill="D4F1F5"/>
          </w:tcPr>
          <w:p>
            <w:pPr>
              <w:spacing w:after="0"/>
              <w:rPr>
                <w:sz w:val="17"/>
                <w:szCs w:val="17"/>
                <w:color w:val="auto"/>
              </w:rPr>
            </w:pPr>
          </w:p>
        </w:tc>
        <w:tc>
          <w:tcPr>
            <w:tcW w:w="1240" w:type="dxa"/>
            <w:vAlign w:val="bottom"/>
            <w:shd w:val="clear" w:color="auto" w:fill="D4F1F5"/>
          </w:tcPr>
          <w:p>
            <w:pPr>
              <w:jc w:val="right"/>
              <w:ind w:right="104"/>
              <w:spacing w:after="0"/>
              <w:rPr>
                <w:sz w:val="20"/>
                <w:szCs w:val="20"/>
                <w:color w:val="auto"/>
              </w:rPr>
            </w:pPr>
            <w:r>
              <w:rPr>
                <w:rFonts w:ascii="Arial" w:cs="Arial" w:eastAsia="Arial" w:hAnsi="Arial"/>
                <w:sz w:val="15"/>
                <w:szCs w:val="15"/>
                <w:color w:val="auto"/>
              </w:rPr>
              <w:t>(2)</w:t>
            </w:r>
          </w:p>
        </w:tc>
        <w:tc>
          <w:tcPr>
            <w:tcW w:w="300" w:type="dxa"/>
            <w:vAlign w:val="bottom"/>
            <w:shd w:val="clear" w:color="auto" w:fill="D4F1F5"/>
          </w:tcPr>
          <w:p>
            <w:pPr>
              <w:spacing w:after="0"/>
              <w:rPr>
                <w:sz w:val="17"/>
                <w:szCs w:val="17"/>
                <w:color w:val="auto"/>
              </w:rPr>
            </w:pPr>
          </w:p>
        </w:tc>
        <w:tc>
          <w:tcPr>
            <w:tcW w:w="1020" w:type="dxa"/>
            <w:vAlign w:val="bottom"/>
            <w:shd w:val="clear" w:color="auto" w:fill="D4F1F5"/>
          </w:tcPr>
          <w:p>
            <w:pPr>
              <w:jc w:val="right"/>
              <w:spacing w:after="0"/>
              <w:rPr>
                <w:sz w:val="20"/>
                <w:szCs w:val="20"/>
                <w:color w:val="auto"/>
              </w:rPr>
            </w:pPr>
            <w:r>
              <w:rPr>
                <w:rFonts w:ascii="Arial" w:cs="Arial" w:eastAsia="Arial" w:hAnsi="Arial"/>
                <w:sz w:val="15"/>
                <w:szCs w:val="15"/>
                <w:color w:val="auto"/>
              </w:rPr>
              <w:t>(33)</w:t>
            </w:r>
          </w:p>
        </w:tc>
      </w:tr>
      <w:tr>
        <w:trPr>
          <w:trHeight w:val="201"/>
        </w:trPr>
        <w:tc>
          <w:tcPr>
            <w:tcW w:w="5560" w:type="dxa"/>
            <w:vAlign w:val="bottom"/>
            <w:tcBorders>
              <w:bottom w:val="single" w:sz="8" w:color="D4F1F5"/>
            </w:tcBorders>
          </w:tcPr>
          <w:p>
            <w:pPr>
              <w:ind w:left="20"/>
              <w:spacing w:after="0"/>
              <w:rPr>
                <w:sz w:val="20"/>
                <w:szCs w:val="20"/>
                <w:color w:val="auto"/>
              </w:rPr>
            </w:pPr>
            <w:r>
              <w:rPr>
                <w:rFonts w:ascii="Arial" w:cs="Arial" w:eastAsia="Arial" w:hAnsi="Arial"/>
                <w:sz w:val="15"/>
                <w:szCs w:val="15"/>
                <w:color w:val="auto"/>
              </w:rPr>
              <w:t>Amounts reclassified from AOCI</w:t>
            </w:r>
          </w:p>
        </w:tc>
        <w:tc>
          <w:tcPr>
            <w:tcW w:w="18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rPr>
              <w:t>—</w:t>
            </w:r>
          </w:p>
        </w:tc>
        <w:tc>
          <w:tcPr>
            <w:tcW w:w="14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104"/>
              <w:spacing w:after="0"/>
              <w:rPr>
                <w:sz w:val="20"/>
                <w:szCs w:val="20"/>
                <w:color w:val="auto"/>
              </w:rPr>
            </w:pPr>
            <w:r>
              <w:rPr>
                <w:rFonts w:ascii="Arial" w:cs="Arial" w:eastAsia="Arial" w:hAnsi="Arial"/>
                <w:sz w:val="15"/>
                <w:szCs w:val="15"/>
                <w:color w:val="auto"/>
              </w:rPr>
              <w:t>(1)</w:t>
            </w:r>
          </w:p>
        </w:tc>
        <w:tc>
          <w:tcPr>
            <w:tcW w:w="2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144"/>
              <w:spacing w:after="0"/>
              <w:rPr>
                <w:sz w:val="20"/>
                <w:szCs w:val="20"/>
                <w:color w:val="auto"/>
              </w:rPr>
            </w:pPr>
            <w:r>
              <w:rPr>
                <w:rFonts w:ascii="Arial" w:cs="Arial" w:eastAsia="Arial" w:hAnsi="Arial"/>
                <w:sz w:val="15"/>
                <w:szCs w:val="15"/>
                <w:color w:val="auto"/>
              </w:rPr>
              <w:t>5</w:t>
            </w: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4</w:t>
            </w:r>
          </w:p>
        </w:tc>
      </w:tr>
      <w:tr>
        <w:trPr>
          <w:trHeight w:val="197"/>
        </w:trPr>
        <w:tc>
          <w:tcPr>
            <w:tcW w:w="5560" w:type="dxa"/>
            <w:vAlign w:val="bottom"/>
            <w:shd w:val="clear" w:color="auto" w:fill="D4F1F5"/>
          </w:tcPr>
          <w:p>
            <w:pPr>
              <w:ind w:left="20"/>
              <w:spacing w:after="0"/>
              <w:rPr>
                <w:sz w:val="20"/>
                <w:szCs w:val="20"/>
                <w:color w:val="auto"/>
              </w:rPr>
            </w:pPr>
            <w:r>
              <w:rPr>
                <w:rFonts w:ascii="Arial" w:cs="Arial" w:eastAsia="Arial" w:hAnsi="Arial"/>
                <w:sz w:val="15"/>
                <w:szCs w:val="15"/>
                <w:color w:val="auto"/>
              </w:rPr>
              <w:t>Net OCI</w:t>
            </w:r>
          </w:p>
        </w:tc>
        <w:tc>
          <w:tcPr>
            <w:tcW w:w="180" w:type="dxa"/>
            <w:vAlign w:val="bottom"/>
            <w:tcBorders>
              <w:bottom w:val="single" w:sz="8" w:color="auto"/>
            </w:tcBorders>
            <w:shd w:val="clear" w:color="auto" w:fill="D4F1F5"/>
          </w:tcPr>
          <w:p>
            <w:pPr>
              <w:spacing w:after="0"/>
              <w:rPr>
                <w:sz w:val="17"/>
                <w:szCs w:val="17"/>
                <w:color w:val="auto"/>
              </w:rPr>
            </w:pPr>
          </w:p>
        </w:tc>
        <w:tc>
          <w:tcPr>
            <w:tcW w:w="1120" w:type="dxa"/>
            <w:vAlign w:val="bottom"/>
            <w:tcBorders>
              <w:bottom w:val="single" w:sz="8" w:color="auto"/>
            </w:tcBorders>
            <w:shd w:val="clear" w:color="auto" w:fill="D4F1F5"/>
          </w:tcPr>
          <w:p>
            <w:pPr>
              <w:jc w:val="right"/>
              <w:ind w:right="5"/>
              <w:spacing w:after="0"/>
              <w:rPr>
                <w:sz w:val="20"/>
                <w:szCs w:val="20"/>
                <w:color w:val="auto"/>
              </w:rPr>
            </w:pPr>
            <w:r>
              <w:rPr>
                <w:rFonts w:ascii="Arial" w:cs="Arial" w:eastAsia="Arial" w:hAnsi="Arial"/>
                <w:sz w:val="15"/>
                <w:szCs w:val="15"/>
                <w:color w:val="auto"/>
              </w:rPr>
              <w:t>—</w:t>
            </w:r>
          </w:p>
        </w:tc>
        <w:tc>
          <w:tcPr>
            <w:tcW w:w="140" w:type="dxa"/>
            <w:vAlign w:val="bottom"/>
            <w:tcBorders>
              <w:bottom w:val="single" w:sz="8" w:color="auto"/>
            </w:tcBorders>
            <w:shd w:val="clear" w:color="auto" w:fill="D4F1F5"/>
          </w:tcPr>
          <w:p>
            <w:pPr>
              <w:spacing w:after="0"/>
              <w:rPr>
                <w:sz w:val="17"/>
                <w:szCs w:val="17"/>
                <w:color w:val="auto"/>
              </w:rPr>
            </w:pPr>
          </w:p>
        </w:tc>
        <w:tc>
          <w:tcPr>
            <w:tcW w:w="200" w:type="dxa"/>
            <w:vAlign w:val="bottom"/>
            <w:tcBorders>
              <w:bottom w:val="single" w:sz="8" w:color="auto"/>
            </w:tcBorders>
            <w:shd w:val="clear" w:color="auto" w:fill="D4F1F5"/>
          </w:tcPr>
          <w:p>
            <w:pPr>
              <w:spacing w:after="0"/>
              <w:rPr>
                <w:sz w:val="17"/>
                <w:szCs w:val="17"/>
                <w:color w:val="auto"/>
              </w:rPr>
            </w:pPr>
          </w:p>
        </w:tc>
        <w:tc>
          <w:tcPr>
            <w:tcW w:w="1260" w:type="dxa"/>
            <w:vAlign w:val="bottom"/>
            <w:tcBorders>
              <w:bottom w:val="single" w:sz="8" w:color="auto"/>
            </w:tcBorders>
            <w:shd w:val="clear" w:color="auto" w:fill="D4F1F5"/>
          </w:tcPr>
          <w:p>
            <w:pPr>
              <w:jc w:val="right"/>
              <w:ind w:right="104"/>
              <w:spacing w:after="0"/>
              <w:rPr>
                <w:sz w:val="20"/>
                <w:szCs w:val="20"/>
                <w:color w:val="auto"/>
              </w:rPr>
            </w:pPr>
            <w:r>
              <w:rPr>
                <w:rFonts w:ascii="Arial" w:cs="Arial" w:eastAsia="Arial" w:hAnsi="Arial"/>
                <w:sz w:val="15"/>
                <w:szCs w:val="15"/>
                <w:color w:val="auto"/>
              </w:rPr>
              <w:t>(32)</w:t>
            </w:r>
          </w:p>
        </w:tc>
        <w:tc>
          <w:tcPr>
            <w:tcW w:w="200" w:type="dxa"/>
            <w:vAlign w:val="bottom"/>
            <w:tcBorders>
              <w:bottom w:val="single" w:sz="8" w:color="auto"/>
            </w:tcBorders>
            <w:shd w:val="clear" w:color="auto" w:fill="D4F1F5"/>
          </w:tcPr>
          <w:p>
            <w:pPr>
              <w:spacing w:after="0"/>
              <w:rPr>
                <w:sz w:val="17"/>
                <w:szCs w:val="17"/>
                <w:color w:val="auto"/>
              </w:rPr>
            </w:pPr>
          </w:p>
        </w:tc>
        <w:tc>
          <w:tcPr>
            <w:tcW w:w="1240" w:type="dxa"/>
            <w:vAlign w:val="bottom"/>
            <w:tcBorders>
              <w:bottom w:val="single" w:sz="8" w:color="auto"/>
            </w:tcBorders>
            <w:shd w:val="clear" w:color="auto" w:fill="D4F1F5"/>
          </w:tcPr>
          <w:p>
            <w:pPr>
              <w:jc w:val="right"/>
              <w:ind w:right="144"/>
              <w:spacing w:after="0"/>
              <w:rPr>
                <w:sz w:val="20"/>
                <w:szCs w:val="20"/>
                <w:color w:val="auto"/>
              </w:rPr>
            </w:pPr>
            <w:r>
              <w:rPr>
                <w:rFonts w:ascii="Arial" w:cs="Arial" w:eastAsia="Arial" w:hAnsi="Arial"/>
                <w:sz w:val="15"/>
                <w:szCs w:val="15"/>
                <w:color w:val="auto"/>
              </w:rPr>
              <w:t>3</w:t>
            </w:r>
          </w:p>
        </w:tc>
        <w:tc>
          <w:tcPr>
            <w:tcW w:w="300" w:type="dxa"/>
            <w:vAlign w:val="bottom"/>
            <w:tcBorders>
              <w:bottom w:val="single" w:sz="8" w:color="auto"/>
            </w:tcBorders>
            <w:shd w:val="clear" w:color="auto" w:fill="D4F1F5"/>
          </w:tcPr>
          <w:p>
            <w:pPr>
              <w:spacing w:after="0"/>
              <w:rPr>
                <w:sz w:val="17"/>
                <w:szCs w:val="17"/>
                <w:color w:val="auto"/>
              </w:rPr>
            </w:pPr>
          </w:p>
        </w:tc>
        <w:tc>
          <w:tcPr>
            <w:tcW w:w="1020" w:type="dxa"/>
            <w:vAlign w:val="bottom"/>
            <w:tcBorders>
              <w:bottom w:val="single" w:sz="8" w:color="auto"/>
            </w:tcBorders>
            <w:shd w:val="clear" w:color="auto" w:fill="D4F1F5"/>
          </w:tcPr>
          <w:p>
            <w:pPr>
              <w:jc w:val="right"/>
              <w:spacing w:after="0"/>
              <w:rPr>
                <w:sz w:val="20"/>
                <w:szCs w:val="20"/>
                <w:color w:val="auto"/>
              </w:rPr>
            </w:pPr>
            <w:r>
              <w:rPr>
                <w:rFonts w:ascii="Arial" w:cs="Arial" w:eastAsia="Arial" w:hAnsi="Arial"/>
                <w:sz w:val="15"/>
                <w:szCs w:val="15"/>
                <w:color w:val="auto"/>
              </w:rPr>
              <w:t>(29)</w:t>
            </w:r>
          </w:p>
        </w:tc>
      </w:tr>
      <w:tr>
        <w:trPr>
          <w:trHeight w:val="203"/>
        </w:trPr>
        <w:tc>
          <w:tcPr>
            <w:tcW w:w="5560" w:type="dxa"/>
            <w:vAlign w:val="bottom"/>
            <w:tcBorders>
              <w:bottom w:val="single" w:sz="8" w:color="auto"/>
            </w:tcBorders>
          </w:tcPr>
          <w:p>
            <w:pPr>
              <w:ind w:left="20"/>
              <w:spacing w:after="0"/>
              <w:rPr>
                <w:sz w:val="20"/>
                <w:szCs w:val="20"/>
                <w:color w:val="auto"/>
              </w:rPr>
            </w:pPr>
            <w:r>
              <w:rPr>
                <w:rFonts w:ascii="Arial" w:cs="Arial" w:eastAsia="Arial" w:hAnsi="Arial"/>
                <w:sz w:val="15"/>
                <w:szCs w:val="15"/>
                <w:color w:val="auto"/>
              </w:rPr>
              <w:t>Balance at March 31, 2025</w:t>
            </w:r>
          </w:p>
        </w:tc>
        <w:tc>
          <w:tcPr>
            <w:tcW w:w="18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w w:val="95"/>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(66)</w:t>
            </w:r>
          </w:p>
        </w:tc>
        <w:tc>
          <w:tcPr>
            <w:tcW w:w="340" w:type="dxa"/>
            <w:vAlign w:val="bottom"/>
            <w:tcBorders>
              <w:bottom w:val="single" w:sz="8" w:color="auto"/>
            </w:tcBorders>
            <w:gridSpan w:val="2"/>
          </w:tcPr>
          <w:p>
            <w:pPr>
              <w:jc w:val="right"/>
              <w:ind w:right="24"/>
              <w:spacing w:after="0"/>
              <w:rPr>
                <w:sz w:val="20"/>
                <w:szCs w:val="20"/>
                <w:color w:val="auto"/>
              </w:rPr>
            </w:pPr>
            <w:r>
              <w:rPr>
                <w:rFonts w:ascii="Arial" w:cs="Arial" w:eastAsia="Arial" w:hAnsi="Arial"/>
                <w:sz w:val="15"/>
                <w:szCs w:val="15"/>
                <w:color w:val="auto"/>
              </w:rPr>
              <w:t>$</w:t>
            </w:r>
          </w:p>
        </w:tc>
        <w:tc>
          <w:tcPr>
            <w:tcW w:w="1260" w:type="dxa"/>
            <w:vAlign w:val="bottom"/>
            <w:tcBorders>
              <w:bottom w:val="single" w:sz="8" w:color="auto"/>
            </w:tcBorders>
          </w:tcPr>
          <w:p>
            <w:pPr>
              <w:jc w:val="right"/>
              <w:ind w:right="104"/>
              <w:spacing w:after="0"/>
              <w:rPr>
                <w:sz w:val="20"/>
                <w:szCs w:val="20"/>
                <w:color w:val="auto"/>
              </w:rPr>
            </w:pPr>
            <w:r>
              <w:rPr>
                <w:rFonts w:ascii="Arial" w:cs="Arial" w:eastAsia="Arial" w:hAnsi="Arial"/>
                <w:sz w:val="15"/>
                <w:szCs w:val="15"/>
                <w:color w:val="auto"/>
              </w:rPr>
              <w:t>(17)</w:t>
            </w:r>
          </w:p>
        </w:tc>
        <w:tc>
          <w:tcPr>
            <w:tcW w:w="20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w w:val="95"/>
              </w:rPr>
              <w:t>$</w:t>
            </w:r>
          </w:p>
        </w:tc>
        <w:tc>
          <w:tcPr>
            <w:tcW w:w="1240" w:type="dxa"/>
            <w:vAlign w:val="bottom"/>
            <w:tcBorders>
              <w:bottom w:val="single" w:sz="8" w:color="auto"/>
            </w:tcBorders>
          </w:tcPr>
          <w:p>
            <w:pPr>
              <w:jc w:val="right"/>
              <w:ind w:right="104"/>
              <w:spacing w:after="0"/>
              <w:rPr>
                <w:sz w:val="20"/>
                <w:szCs w:val="20"/>
                <w:color w:val="auto"/>
              </w:rPr>
            </w:pPr>
            <w:r>
              <w:rPr>
                <w:rFonts w:ascii="Arial" w:cs="Arial" w:eastAsia="Arial" w:hAnsi="Arial"/>
                <w:sz w:val="15"/>
                <w:szCs w:val="15"/>
                <w:color w:val="auto"/>
              </w:rPr>
              <w:t>(112)</w:t>
            </w:r>
          </w:p>
        </w:tc>
        <w:tc>
          <w:tcPr>
            <w:tcW w:w="300" w:type="dxa"/>
            <w:vAlign w:val="bottom"/>
            <w:tcBorders>
              <w:bottom w:val="single" w:sz="8" w:color="auto"/>
            </w:tcBorders>
          </w:tcPr>
          <w:p>
            <w:pPr>
              <w:jc w:val="right"/>
              <w:ind w:right="124"/>
              <w:spacing w:after="0"/>
              <w:rPr>
                <w:sz w:val="20"/>
                <w:szCs w:val="20"/>
                <w:color w:val="auto"/>
              </w:rPr>
            </w:pPr>
            <w:r>
              <w:rPr>
                <w:rFonts w:ascii="Arial" w:cs="Arial" w:eastAsia="Arial" w:hAnsi="Arial"/>
                <w:sz w:val="15"/>
                <w:szCs w:val="15"/>
                <w:color w:val="auto"/>
                <w:w w:val="95"/>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(195)</w:t>
            </w:r>
          </w:p>
        </w:tc>
      </w:tr>
      <w:tr>
        <w:trPr>
          <w:trHeight w:val="203"/>
        </w:trPr>
        <w:tc>
          <w:tcPr>
            <w:tcW w:w="5560" w:type="dxa"/>
            <w:vAlign w:val="bottom"/>
            <w:shd w:val="clear" w:color="auto" w:fill="D4F1F5"/>
          </w:tcPr>
          <w:p>
            <w:pPr>
              <w:ind w:left="20"/>
              <w:spacing w:after="0"/>
              <w:rPr>
                <w:sz w:val="20"/>
                <w:szCs w:val="20"/>
                <w:color w:val="auto"/>
              </w:rPr>
            </w:pPr>
            <w:r>
              <w:rPr>
                <w:rFonts w:ascii="Arial" w:cs="Arial" w:eastAsia="Arial" w:hAnsi="Arial"/>
                <w:sz w:val="15"/>
                <w:szCs w:val="15"/>
                <w:b w:val="1"/>
                <w:bCs w:val="1"/>
                <w:color w:val="auto"/>
              </w:rPr>
              <w:t>SDG&amp;E:</w:t>
            </w:r>
          </w:p>
        </w:tc>
        <w:tc>
          <w:tcPr>
            <w:tcW w:w="180" w:type="dxa"/>
            <w:vAlign w:val="bottom"/>
            <w:shd w:val="clear" w:color="auto" w:fill="D4F1F5"/>
          </w:tcPr>
          <w:p>
            <w:pPr>
              <w:spacing w:after="0"/>
              <w:rPr>
                <w:sz w:val="17"/>
                <w:szCs w:val="17"/>
                <w:color w:val="auto"/>
              </w:rPr>
            </w:pPr>
          </w:p>
        </w:tc>
        <w:tc>
          <w:tcPr>
            <w:tcW w:w="1120" w:type="dxa"/>
            <w:vAlign w:val="bottom"/>
            <w:shd w:val="clear" w:color="auto" w:fill="D4F1F5"/>
          </w:tcPr>
          <w:p>
            <w:pPr>
              <w:spacing w:after="0"/>
              <w:rPr>
                <w:sz w:val="17"/>
                <w:szCs w:val="17"/>
                <w:color w:val="auto"/>
              </w:rPr>
            </w:pPr>
          </w:p>
        </w:tc>
        <w:tc>
          <w:tcPr>
            <w:tcW w:w="140" w:type="dxa"/>
            <w:vAlign w:val="bottom"/>
            <w:shd w:val="clear" w:color="auto" w:fill="D4F1F5"/>
          </w:tcPr>
          <w:p>
            <w:pPr>
              <w:spacing w:after="0"/>
              <w:rPr>
                <w:sz w:val="17"/>
                <w:szCs w:val="17"/>
                <w:color w:val="auto"/>
              </w:rPr>
            </w:pPr>
          </w:p>
        </w:tc>
        <w:tc>
          <w:tcPr>
            <w:tcW w:w="200" w:type="dxa"/>
            <w:vAlign w:val="bottom"/>
            <w:shd w:val="clear" w:color="auto" w:fill="D4F1F5"/>
          </w:tcPr>
          <w:p>
            <w:pPr>
              <w:spacing w:after="0"/>
              <w:rPr>
                <w:sz w:val="17"/>
                <w:szCs w:val="17"/>
                <w:color w:val="auto"/>
              </w:rPr>
            </w:pPr>
          </w:p>
        </w:tc>
        <w:tc>
          <w:tcPr>
            <w:tcW w:w="1260" w:type="dxa"/>
            <w:vAlign w:val="bottom"/>
            <w:shd w:val="clear" w:color="auto" w:fill="D4F1F5"/>
          </w:tcPr>
          <w:p>
            <w:pPr>
              <w:spacing w:after="0"/>
              <w:rPr>
                <w:sz w:val="17"/>
                <w:szCs w:val="17"/>
                <w:color w:val="auto"/>
              </w:rPr>
            </w:pPr>
          </w:p>
        </w:tc>
        <w:tc>
          <w:tcPr>
            <w:tcW w:w="200" w:type="dxa"/>
            <w:vAlign w:val="bottom"/>
            <w:shd w:val="clear" w:color="auto" w:fill="D4F1F5"/>
          </w:tcPr>
          <w:p>
            <w:pPr>
              <w:spacing w:after="0"/>
              <w:rPr>
                <w:sz w:val="17"/>
                <w:szCs w:val="17"/>
                <w:color w:val="auto"/>
              </w:rPr>
            </w:pPr>
          </w:p>
        </w:tc>
        <w:tc>
          <w:tcPr>
            <w:tcW w:w="1240" w:type="dxa"/>
            <w:vAlign w:val="bottom"/>
            <w:shd w:val="clear" w:color="auto" w:fill="D4F1F5"/>
          </w:tcPr>
          <w:p>
            <w:pPr>
              <w:spacing w:after="0"/>
              <w:rPr>
                <w:sz w:val="17"/>
                <w:szCs w:val="17"/>
                <w:color w:val="auto"/>
              </w:rPr>
            </w:pPr>
          </w:p>
        </w:tc>
        <w:tc>
          <w:tcPr>
            <w:tcW w:w="300" w:type="dxa"/>
            <w:vAlign w:val="bottom"/>
            <w:shd w:val="clear" w:color="auto" w:fill="D4F1F5"/>
          </w:tcPr>
          <w:p>
            <w:pPr>
              <w:spacing w:after="0"/>
              <w:rPr>
                <w:sz w:val="17"/>
                <w:szCs w:val="17"/>
                <w:color w:val="auto"/>
              </w:rPr>
            </w:pPr>
          </w:p>
        </w:tc>
        <w:tc>
          <w:tcPr>
            <w:tcW w:w="1020" w:type="dxa"/>
            <w:vAlign w:val="bottom"/>
            <w:shd w:val="clear" w:color="auto" w:fill="D4F1F5"/>
          </w:tcPr>
          <w:p>
            <w:pPr>
              <w:spacing w:after="0"/>
              <w:rPr>
                <w:sz w:val="17"/>
                <w:szCs w:val="17"/>
                <w:color w:val="auto"/>
              </w:rPr>
            </w:pPr>
          </w:p>
        </w:tc>
      </w:tr>
      <w:tr>
        <w:trPr>
          <w:trHeight w:val="196"/>
        </w:trPr>
        <w:tc>
          <w:tcPr>
            <w:tcW w:w="5560" w:type="dxa"/>
            <w:vAlign w:val="bottom"/>
            <w:tcBorders>
              <w:bottom w:val="single" w:sz="8" w:color="D4F1F5"/>
            </w:tcBorders>
          </w:tcPr>
          <w:p>
            <w:pPr>
              <w:ind w:left="20"/>
              <w:spacing w:after="0"/>
              <w:rPr>
                <w:sz w:val="20"/>
                <w:szCs w:val="20"/>
                <w:color w:val="auto"/>
              </w:rPr>
            </w:pPr>
            <w:r>
              <w:rPr>
                <w:rFonts w:ascii="Arial" w:cs="Arial" w:eastAsia="Arial" w:hAnsi="Arial"/>
                <w:sz w:val="15"/>
                <w:szCs w:val="15"/>
                <w:color w:val="auto"/>
              </w:rPr>
              <w:t>Balance at December 31, 2025 and March 31, 2026</w:t>
            </w:r>
          </w:p>
        </w:tc>
        <w:tc>
          <w:tcPr>
            <w:tcW w:w="180" w:type="dxa"/>
            <w:vAlign w:val="bottom"/>
            <w:tcBorders>
              <w:bottom w:val="single" w:sz="8" w:color="D4F1F5"/>
            </w:tcBorders>
          </w:tcPr>
          <w:p>
            <w:pPr>
              <w:spacing w:after="0"/>
              <w:rPr>
                <w:sz w:val="17"/>
                <w:szCs w:val="17"/>
                <w:color w:val="auto"/>
              </w:rPr>
            </w:pPr>
          </w:p>
        </w:tc>
        <w:tc>
          <w:tcPr>
            <w:tcW w:w="1120" w:type="dxa"/>
            <w:vAlign w:val="bottom"/>
            <w:tcBorders>
              <w:bottom w:val="single" w:sz="8" w:color="D4F1F5"/>
            </w:tcBorders>
          </w:tcPr>
          <w:p>
            <w:pPr>
              <w:spacing w:after="0"/>
              <w:rPr>
                <w:sz w:val="17"/>
                <w:szCs w:val="17"/>
                <w:color w:val="auto"/>
              </w:rPr>
            </w:pPr>
          </w:p>
        </w:tc>
        <w:tc>
          <w:tcPr>
            <w:tcW w:w="140" w:type="dxa"/>
            <w:vAlign w:val="bottom"/>
            <w:tcBorders>
              <w:bottom w:val="single" w:sz="8" w:color="D4F1F5"/>
            </w:tcBorders>
          </w:tcPr>
          <w:p>
            <w:pPr>
              <w:spacing w:after="0"/>
              <w:rPr>
                <w:sz w:val="17"/>
                <w:szCs w:val="17"/>
                <w:color w:val="auto"/>
              </w:rPr>
            </w:pPr>
          </w:p>
        </w:tc>
        <w:tc>
          <w:tcPr>
            <w:tcW w:w="200" w:type="dxa"/>
            <w:vAlign w:val="bottom"/>
            <w:tcBorders>
              <w:bottom w:val="single" w:sz="8" w:color="D4F1F5"/>
            </w:tcBorders>
          </w:tcPr>
          <w:p>
            <w:pPr>
              <w:spacing w:after="0"/>
              <w:rPr>
                <w:sz w:val="17"/>
                <w:szCs w:val="17"/>
                <w:color w:val="auto"/>
              </w:rPr>
            </w:pPr>
          </w:p>
        </w:tc>
        <w:tc>
          <w:tcPr>
            <w:tcW w:w="1260" w:type="dxa"/>
            <w:vAlign w:val="bottom"/>
            <w:tcBorders>
              <w:bottom w:val="single" w:sz="8" w:color="D4F1F5"/>
            </w:tcBorders>
          </w:tcPr>
          <w:p>
            <w:pPr>
              <w:spacing w:after="0"/>
              <w:rPr>
                <w:sz w:val="17"/>
                <w:szCs w:val="17"/>
                <w:color w:val="auto"/>
              </w:rPr>
            </w:pPr>
          </w:p>
        </w:tc>
        <w:tc>
          <w:tcPr>
            <w:tcW w:w="20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w w:val="95"/>
              </w:rPr>
              <w:t>$</w:t>
            </w:r>
          </w:p>
        </w:tc>
        <w:tc>
          <w:tcPr>
            <w:tcW w:w="1240" w:type="dxa"/>
            <w:vAlign w:val="bottom"/>
            <w:tcBorders>
              <w:bottom w:val="single" w:sz="8" w:color="auto"/>
            </w:tcBorders>
          </w:tcPr>
          <w:p>
            <w:pPr>
              <w:jc w:val="right"/>
              <w:ind w:right="104"/>
              <w:spacing w:after="0"/>
              <w:rPr>
                <w:sz w:val="20"/>
                <w:szCs w:val="20"/>
                <w:color w:val="auto"/>
              </w:rPr>
            </w:pPr>
            <w:r>
              <w:rPr>
                <w:rFonts w:ascii="Arial" w:cs="Arial" w:eastAsia="Arial" w:hAnsi="Arial"/>
                <w:sz w:val="15"/>
                <w:szCs w:val="15"/>
                <w:color w:val="auto"/>
              </w:rPr>
              <w:t>(6)</w:t>
            </w:r>
          </w:p>
        </w:tc>
        <w:tc>
          <w:tcPr>
            <w:tcW w:w="300" w:type="dxa"/>
            <w:vAlign w:val="bottom"/>
            <w:tcBorders>
              <w:bottom w:val="single" w:sz="8" w:color="auto"/>
            </w:tcBorders>
          </w:tcPr>
          <w:p>
            <w:pPr>
              <w:jc w:val="right"/>
              <w:ind w:right="124"/>
              <w:spacing w:after="0"/>
              <w:rPr>
                <w:sz w:val="20"/>
                <w:szCs w:val="20"/>
                <w:color w:val="auto"/>
              </w:rPr>
            </w:pPr>
            <w:r>
              <w:rPr>
                <w:rFonts w:ascii="Arial" w:cs="Arial" w:eastAsia="Arial" w:hAnsi="Arial"/>
                <w:sz w:val="15"/>
                <w:szCs w:val="15"/>
                <w:color w:val="auto"/>
                <w:w w:val="95"/>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w:t>
            </w:r>
          </w:p>
        </w:tc>
      </w:tr>
      <w:tr>
        <w:trPr>
          <w:trHeight w:val="203"/>
        </w:trPr>
        <w:tc>
          <w:tcPr>
            <w:tcW w:w="5560" w:type="dxa"/>
            <w:vAlign w:val="bottom"/>
            <w:shd w:val="clear" w:color="auto" w:fill="D4F1F5"/>
          </w:tcPr>
          <w:p>
            <w:pPr>
              <w:spacing w:after="0"/>
              <w:rPr>
                <w:sz w:val="17"/>
                <w:szCs w:val="17"/>
                <w:color w:val="auto"/>
              </w:rPr>
            </w:pPr>
          </w:p>
        </w:tc>
        <w:tc>
          <w:tcPr>
            <w:tcW w:w="180" w:type="dxa"/>
            <w:vAlign w:val="bottom"/>
            <w:shd w:val="clear" w:color="auto" w:fill="D4F1F5"/>
          </w:tcPr>
          <w:p>
            <w:pPr>
              <w:spacing w:after="0"/>
              <w:rPr>
                <w:sz w:val="17"/>
                <w:szCs w:val="17"/>
                <w:color w:val="auto"/>
              </w:rPr>
            </w:pPr>
          </w:p>
        </w:tc>
        <w:tc>
          <w:tcPr>
            <w:tcW w:w="1120" w:type="dxa"/>
            <w:vAlign w:val="bottom"/>
            <w:shd w:val="clear" w:color="auto" w:fill="D4F1F5"/>
          </w:tcPr>
          <w:p>
            <w:pPr>
              <w:spacing w:after="0"/>
              <w:rPr>
                <w:sz w:val="17"/>
                <w:szCs w:val="17"/>
                <w:color w:val="auto"/>
              </w:rPr>
            </w:pPr>
          </w:p>
        </w:tc>
        <w:tc>
          <w:tcPr>
            <w:tcW w:w="140" w:type="dxa"/>
            <w:vAlign w:val="bottom"/>
            <w:shd w:val="clear" w:color="auto" w:fill="D4F1F5"/>
          </w:tcPr>
          <w:p>
            <w:pPr>
              <w:spacing w:after="0"/>
              <w:rPr>
                <w:sz w:val="17"/>
                <w:szCs w:val="17"/>
                <w:color w:val="auto"/>
              </w:rPr>
            </w:pPr>
          </w:p>
        </w:tc>
        <w:tc>
          <w:tcPr>
            <w:tcW w:w="200" w:type="dxa"/>
            <w:vAlign w:val="bottom"/>
            <w:shd w:val="clear" w:color="auto" w:fill="D4F1F5"/>
          </w:tcPr>
          <w:p>
            <w:pPr>
              <w:spacing w:after="0"/>
              <w:rPr>
                <w:sz w:val="17"/>
                <w:szCs w:val="17"/>
                <w:color w:val="auto"/>
              </w:rPr>
            </w:pPr>
          </w:p>
        </w:tc>
        <w:tc>
          <w:tcPr>
            <w:tcW w:w="1260" w:type="dxa"/>
            <w:vAlign w:val="bottom"/>
            <w:shd w:val="clear" w:color="auto" w:fill="D4F1F5"/>
          </w:tcPr>
          <w:p>
            <w:pPr>
              <w:spacing w:after="0"/>
              <w:rPr>
                <w:sz w:val="17"/>
                <w:szCs w:val="17"/>
                <w:color w:val="auto"/>
              </w:rPr>
            </w:pPr>
          </w:p>
        </w:tc>
        <w:tc>
          <w:tcPr>
            <w:tcW w:w="200" w:type="dxa"/>
            <w:vAlign w:val="bottom"/>
            <w:shd w:val="clear" w:color="auto" w:fill="D4F1F5"/>
          </w:tcPr>
          <w:p>
            <w:pPr>
              <w:spacing w:after="0"/>
              <w:rPr>
                <w:sz w:val="17"/>
                <w:szCs w:val="17"/>
                <w:color w:val="auto"/>
              </w:rPr>
            </w:pPr>
          </w:p>
        </w:tc>
        <w:tc>
          <w:tcPr>
            <w:tcW w:w="1240" w:type="dxa"/>
            <w:vAlign w:val="bottom"/>
            <w:shd w:val="clear" w:color="auto" w:fill="D4F1F5"/>
          </w:tcPr>
          <w:p>
            <w:pPr>
              <w:spacing w:after="0"/>
              <w:rPr>
                <w:sz w:val="17"/>
                <w:szCs w:val="17"/>
                <w:color w:val="auto"/>
              </w:rPr>
            </w:pPr>
          </w:p>
        </w:tc>
        <w:tc>
          <w:tcPr>
            <w:tcW w:w="300" w:type="dxa"/>
            <w:vAlign w:val="bottom"/>
            <w:shd w:val="clear" w:color="auto" w:fill="D4F1F5"/>
          </w:tcPr>
          <w:p>
            <w:pPr>
              <w:spacing w:after="0"/>
              <w:rPr>
                <w:sz w:val="17"/>
                <w:szCs w:val="17"/>
                <w:color w:val="auto"/>
              </w:rPr>
            </w:pPr>
          </w:p>
        </w:tc>
        <w:tc>
          <w:tcPr>
            <w:tcW w:w="1020" w:type="dxa"/>
            <w:vAlign w:val="bottom"/>
            <w:shd w:val="clear" w:color="auto" w:fill="D4F1F5"/>
          </w:tcPr>
          <w:p>
            <w:pPr>
              <w:spacing w:after="0"/>
              <w:rPr>
                <w:sz w:val="17"/>
                <w:szCs w:val="17"/>
                <w:color w:val="auto"/>
              </w:rPr>
            </w:pPr>
          </w:p>
        </w:tc>
      </w:tr>
      <w:tr>
        <w:trPr>
          <w:trHeight w:val="209"/>
        </w:trPr>
        <w:tc>
          <w:tcPr>
            <w:tcW w:w="5560" w:type="dxa"/>
            <w:vAlign w:val="bottom"/>
            <w:tcBorders>
              <w:bottom w:val="single" w:sz="8" w:color="auto"/>
            </w:tcBorders>
          </w:tcPr>
          <w:p>
            <w:pPr>
              <w:ind w:left="20"/>
              <w:spacing w:after="0"/>
              <w:rPr>
                <w:sz w:val="20"/>
                <w:szCs w:val="20"/>
                <w:color w:val="auto"/>
              </w:rPr>
            </w:pPr>
            <w:r>
              <w:rPr>
                <w:rFonts w:ascii="Arial" w:cs="Arial" w:eastAsia="Arial" w:hAnsi="Arial"/>
                <w:sz w:val="15"/>
                <w:szCs w:val="15"/>
                <w:color w:val="auto"/>
              </w:rPr>
              <w:t>Balance at December 31, 2024 and March 31, 2025</w:t>
            </w:r>
          </w:p>
        </w:tc>
        <w:tc>
          <w:tcPr>
            <w:tcW w:w="1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w w:val="95"/>
              </w:rPr>
              <w:t>$</w:t>
            </w:r>
          </w:p>
        </w:tc>
        <w:tc>
          <w:tcPr>
            <w:tcW w:w="1240" w:type="dxa"/>
            <w:vAlign w:val="bottom"/>
            <w:tcBorders>
              <w:bottom w:val="single" w:sz="8" w:color="auto"/>
            </w:tcBorders>
          </w:tcPr>
          <w:p>
            <w:pPr>
              <w:jc w:val="right"/>
              <w:ind w:right="104"/>
              <w:spacing w:after="0"/>
              <w:rPr>
                <w:sz w:val="20"/>
                <w:szCs w:val="20"/>
                <w:color w:val="auto"/>
              </w:rPr>
            </w:pPr>
            <w:r>
              <w:rPr>
                <w:rFonts w:ascii="Arial" w:cs="Arial" w:eastAsia="Arial" w:hAnsi="Arial"/>
                <w:sz w:val="15"/>
                <w:szCs w:val="15"/>
                <w:color w:val="auto"/>
              </w:rPr>
              <w:t>(12)</w:t>
            </w:r>
          </w:p>
        </w:tc>
        <w:tc>
          <w:tcPr>
            <w:tcW w:w="300" w:type="dxa"/>
            <w:vAlign w:val="bottom"/>
            <w:tcBorders>
              <w:bottom w:val="single" w:sz="8" w:color="auto"/>
            </w:tcBorders>
          </w:tcPr>
          <w:p>
            <w:pPr>
              <w:jc w:val="right"/>
              <w:ind w:right="124"/>
              <w:spacing w:after="0"/>
              <w:rPr>
                <w:sz w:val="20"/>
                <w:szCs w:val="20"/>
                <w:color w:val="auto"/>
              </w:rPr>
            </w:pPr>
            <w:r>
              <w:rPr>
                <w:rFonts w:ascii="Arial" w:cs="Arial" w:eastAsia="Arial" w:hAnsi="Arial"/>
                <w:sz w:val="15"/>
                <w:szCs w:val="15"/>
                <w:color w:val="auto"/>
                <w:w w:val="95"/>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(12)</w:t>
            </w:r>
          </w:p>
        </w:tc>
      </w:tr>
      <w:tr>
        <w:trPr>
          <w:trHeight w:val="203"/>
        </w:trPr>
        <w:tc>
          <w:tcPr>
            <w:tcW w:w="5560" w:type="dxa"/>
            <w:vAlign w:val="bottom"/>
            <w:shd w:val="clear" w:color="auto" w:fill="D4F1F5"/>
          </w:tcPr>
          <w:p>
            <w:pPr>
              <w:ind w:left="20"/>
              <w:spacing w:after="0"/>
              <w:rPr>
                <w:sz w:val="20"/>
                <w:szCs w:val="20"/>
                <w:color w:val="auto"/>
              </w:rPr>
            </w:pPr>
            <w:r>
              <w:rPr>
                <w:rFonts w:ascii="Arial" w:cs="Arial" w:eastAsia="Arial" w:hAnsi="Arial"/>
                <w:sz w:val="15"/>
                <w:szCs w:val="15"/>
                <w:b w:val="1"/>
                <w:bCs w:val="1"/>
                <w:color w:val="auto"/>
              </w:rPr>
              <w:t>SoCalGas:</w:t>
            </w:r>
          </w:p>
        </w:tc>
        <w:tc>
          <w:tcPr>
            <w:tcW w:w="180" w:type="dxa"/>
            <w:vAlign w:val="bottom"/>
            <w:shd w:val="clear" w:color="auto" w:fill="D4F1F5"/>
          </w:tcPr>
          <w:p>
            <w:pPr>
              <w:spacing w:after="0"/>
              <w:rPr>
                <w:sz w:val="17"/>
                <w:szCs w:val="17"/>
                <w:color w:val="auto"/>
              </w:rPr>
            </w:pPr>
          </w:p>
        </w:tc>
        <w:tc>
          <w:tcPr>
            <w:tcW w:w="1120" w:type="dxa"/>
            <w:vAlign w:val="bottom"/>
            <w:shd w:val="clear" w:color="auto" w:fill="D4F1F5"/>
          </w:tcPr>
          <w:p>
            <w:pPr>
              <w:spacing w:after="0"/>
              <w:rPr>
                <w:sz w:val="17"/>
                <w:szCs w:val="17"/>
                <w:color w:val="auto"/>
              </w:rPr>
            </w:pPr>
          </w:p>
        </w:tc>
        <w:tc>
          <w:tcPr>
            <w:tcW w:w="140" w:type="dxa"/>
            <w:vAlign w:val="bottom"/>
            <w:shd w:val="clear" w:color="auto" w:fill="D4F1F5"/>
          </w:tcPr>
          <w:p>
            <w:pPr>
              <w:spacing w:after="0"/>
              <w:rPr>
                <w:sz w:val="17"/>
                <w:szCs w:val="17"/>
                <w:color w:val="auto"/>
              </w:rPr>
            </w:pPr>
          </w:p>
        </w:tc>
        <w:tc>
          <w:tcPr>
            <w:tcW w:w="200" w:type="dxa"/>
            <w:vAlign w:val="bottom"/>
            <w:shd w:val="clear" w:color="auto" w:fill="D4F1F5"/>
          </w:tcPr>
          <w:p>
            <w:pPr>
              <w:spacing w:after="0"/>
              <w:rPr>
                <w:sz w:val="17"/>
                <w:szCs w:val="17"/>
                <w:color w:val="auto"/>
              </w:rPr>
            </w:pPr>
          </w:p>
        </w:tc>
        <w:tc>
          <w:tcPr>
            <w:tcW w:w="1260" w:type="dxa"/>
            <w:vAlign w:val="bottom"/>
            <w:shd w:val="clear" w:color="auto" w:fill="D4F1F5"/>
          </w:tcPr>
          <w:p>
            <w:pPr>
              <w:spacing w:after="0"/>
              <w:rPr>
                <w:sz w:val="17"/>
                <w:szCs w:val="17"/>
                <w:color w:val="auto"/>
              </w:rPr>
            </w:pPr>
          </w:p>
        </w:tc>
        <w:tc>
          <w:tcPr>
            <w:tcW w:w="200" w:type="dxa"/>
            <w:vAlign w:val="bottom"/>
            <w:shd w:val="clear" w:color="auto" w:fill="D4F1F5"/>
          </w:tcPr>
          <w:p>
            <w:pPr>
              <w:spacing w:after="0"/>
              <w:rPr>
                <w:sz w:val="17"/>
                <w:szCs w:val="17"/>
                <w:color w:val="auto"/>
              </w:rPr>
            </w:pPr>
          </w:p>
        </w:tc>
        <w:tc>
          <w:tcPr>
            <w:tcW w:w="1240" w:type="dxa"/>
            <w:vAlign w:val="bottom"/>
            <w:shd w:val="clear" w:color="auto" w:fill="D4F1F5"/>
          </w:tcPr>
          <w:p>
            <w:pPr>
              <w:spacing w:after="0"/>
              <w:rPr>
                <w:sz w:val="17"/>
                <w:szCs w:val="17"/>
                <w:color w:val="auto"/>
              </w:rPr>
            </w:pPr>
          </w:p>
        </w:tc>
        <w:tc>
          <w:tcPr>
            <w:tcW w:w="300" w:type="dxa"/>
            <w:vAlign w:val="bottom"/>
            <w:shd w:val="clear" w:color="auto" w:fill="D4F1F5"/>
          </w:tcPr>
          <w:p>
            <w:pPr>
              <w:spacing w:after="0"/>
              <w:rPr>
                <w:sz w:val="17"/>
                <w:szCs w:val="17"/>
                <w:color w:val="auto"/>
              </w:rPr>
            </w:pPr>
          </w:p>
        </w:tc>
        <w:tc>
          <w:tcPr>
            <w:tcW w:w="1020" w:type="dxa"/>
            <w:vAlign w:val="bottom"/>
            <w:shd w:val="clear" w:color="auto" w:fill="D4F1F5"/>
          </w:tcPr>
          <w:p>
            <w:pPr>
              <w:spacing w:after="0"/>
              <w:rPr>
                <w:sz w:val="17"/>
                <w:szCs w:val="17"/>
                <w:color w:val="auto"/>
              </w:rPr>
            </w:pPr>
          </w:p>
        </w:tc>
      </w:tr>
      <w:tr>
        <w:trPr>
          <w:trHeight w:val="196"/>
        </w:trPr>
        <w:tc>
          <w:tcPr>
            <w:tcW w:w="5560" w:type="dxa"/>
            <w:vAlign w:val="bottom"/>
          </w:tcPr>
          <w:p>
            <w:pPr>
              <w:ind w:left="20"/>
              <w:spacing w:after="0"/>
              <w:rPr>
                <w:sz w:val="20"/>
                <w:szCs w:val="20"/>
                <w:color w:val="auto"/>
              </w:rPr>
            </w:pPr>
            <w:r>
              <w:rPr>
                <w:rFonts w:ascii="Arial" w:cs="Arial" w:eastAsia="Arial" w:hAnsi="Arial"/>
                <w:sz w:val="15"/>
                <w:szCs w:val="15"/>
                <w:color w:val="auto"/>
              </w:rPr>
              <w:t>Balance at December 31, 2025 and March 31, 2026</w:t>
            </w:r>
          </w:p>
        </w:tc>
        <w:tc>
          <w:tcPr>
            <w:tcW w:w="1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40" w:type="dxa"/>
            <w:vAlign w:val="bottom"/>
            <w:gridSpan w:val="2"/>
          </w:tcPr>
          <w:p>
            <w:pPr>
              <w:jc w:val="right"/>
              <w:ind w:right="24"/>
              <w:spacing w:after="0"/>
              <w:rPr>
                <w:sz w:val="20"/>
                <w:szCs w:val="20"/>
                <w:color w:val="auto"/>
              </w:rPr>
            </w:pPr>
            <w:r>
              <w:rPr>
                <w:rFonts w:ascii="Arial" w:cs="Arial" w:eastAsia="Arial" w:hAnsi="Arial"/>
                <w:sz w:val="15"/>
                <w:szCs w:val="15"/>
                <w:color w:val="auto"/>
              </w:rPr>
              <w:t>$</w:t>
            </w:r>
          </w:p>
        </w:tc>
        <w:tc>
          <w:tcPr>
            <w:tcW w:w="1260" w:type="dxa"/>
            <w:vAlign w:val="bottom"/>
          </w:tcPr>
          <w:p>
            <w:pPr>
              <w:jc w:val="right"/>
              <w:ind w:right="104"/>
              <w:spacing w:after="0"/>
              <w:rPr>
                <w:sz w:val="20"/>
                <w:szCs w:val="20"/>
                <w:color w:val="auto"/>
              </w:rPr>
            </w:pPr>
            <w:r>
              <w:rPr>
                <w:rFonts w:ascii="Arial" w:cs="Arial" w:eastAsia="Arial" w:hAnsi="Arial"/>
                <w:sz w:val="15"/>
                <w:szCs w:val="15"/>
                <w:color w:val="auto"/>
              </w:rPr>
              <w:t>(9)</w:t>
            </w:r>
          </w:p>
        </w:tc>
        <w:tc>
          <w:tcPr>
            <w:tcW w:w="200" w:type="dxa"/>
            <w:vAlign w:val="bottom"/>
          </w:tcPr>
          <w:p>
            <w:pPr>
              <w:jc w:val="right"/>
              <w:ind w:right="24"/>
              <w:spacing w:after="0"/>
              <w:rPr>
                <w:sz w:val="20"/>
                <w:szCs w:val="20"/>
                <w:color w:val="auto"/>
              </w:rPr>
            </w:pPr>
            <w:r>
              <w:rPr>
                <w:rFonts w:ascii="Arial" w:cs="Arial" w:eastAsia="Arial" w:hAnsi="Arial"/>
                <w:sz w:val="15"/>
                <w:szCs w:val="15"/>
                <w:color w:val="auto"/>
                <w:w w:val="95"/>
              </w:rPr>
              <w:t>$</w:t>
            </w:r>
          </w:p>
        </w:tc>
        <w:tc>
          <w:tcPr>
            <w:tcW w:w="1240" w:type="dxa"/>
            <w:vAlign w:val="bottom"/>
          </w:tcPr>
          <w:p>
            <w:pPr>
              <w:jc w:val="right"/>
              <w:ind w:right="104"/>
              <w:spacing w:after="0"/>
              <w:rPr>
                <w:sz w:val="20"/>
                <w:szCs w:val="20"/>
                <w:color w:val="auto"/>
              </w:rPr>
            </w:pPr>
            <w:r>
              <w:rPr>
                <w:rFonts w:ascii="Arial" w:cs="Arial" w:eastAsia="Arial" w:hAnsi="Arial"/>
                <w:sz w:val="15"/>
                <w:szCs w:val="15"/>
                <w:color w:val="auto"/>
              </w:rPr>
              <w:t>(8)</w:t>
            </w:r>
          </w:p>
        </w:tc>
        <w:tc>
          <w:tcPr>
            <w:tcW w:w="300" w:type="dxa"/>
            <w:vAlign w:val="bottom"/>
          </w:tcPr>
          <w:p>
            <w:pPr>
              <w:jc w:val="right"/>
              <w:ind w:right="124"/>
              <w:spacing w:after="0"/>
              <w:rPr>
                <w:sz w:val="20"/>
                <w:szCs w:val="20"/>
                <w:color w:val="auto"/>
              </w:rPr>
            </w:pPr>
            <w:r>
              <w:rPr>
                <w:rFonts w:ascii="Arial" w:cs="Arial" w:eastAsia="Arial" w:hAnsi="Arial"/>
                <w:sz w:val="15"/>
                <w:szCs w:val="15"/>
                <w:color w:val="auto"/>
                <w:w w:val="95"/>
              </w:rPr>
              <w:t>$</w:t>
            </w:r>
          </w:p>
        </w:tc>
        <w:tc>
          <w:tcPr>
            <w:tcW w:w="1020" w:type="dxa"/>
            <w:vAlign w:val="bottom"/>
          </w:tcPr>
          <w:p>
            <w:pPr>
              <w:jc w:val="right"/>
              <w:spacing w:after="0"/>
              <w:rPr>
                <w:sz w:val="20"/>
                <w:szCs w:val="20"/>
                <w:color w:val="auto"/>
              </w:rPr>
            </w:pPr>
            <w:r>
              <w:rPr>
                <w:rFonts w:ascii="Arial" w:cs="Arial" w:eastAsia="Arial" w:hAnsi="Arial"/>
                <w:sz w:val="15"/>
                <w:szCs w:val="15"/>
                <w:color w:val="auto"/>
              </w:rPr>
              <w:t>(17)</w:t>
            </w:r>
          </w:p>
        </w:tc>
      </w:tr>
      <w:tr>
        <w:trPr>
          <w:trHeight w:val="203"/>
        </w:trPr>
        <w:tc>
          <w:tcPr>
            <w:tcW w:w="5560" w:type="dxa"/>
            <w:vAlign w:val="bottom"/>
            <w:tcBorders>
              <w:top w:val="single" w:sz="8" w:color="D4F1F5"/>
            </w:tcBorders>
            <w:shd w:val="clear" w:color="auto" w:fill="D4F1F5"/>
          </w:tcPr>
          <w:p>
            <w:pPr>
              <w:spacing w:after="0"/>
              <w:rPr>
                <w:sz w:val="17"/>
                <w:szCs w:val="17"/>
                <w:color w:val="auto"/>
              </w:rPr>
            </w:pPr>
          </w:p>
        </w:tc>
        <w:tc>
          <w:tcPr>
            <w:tcW w:w="180" w:type="dxa"/>
            <w:vAlign w:val="bottom"/>
            <w:tcBorders>
              <w:top w:val="single" w:sz="8" w:color="D4F1F5"/>
            </w:tcBorders>
            <w:shd w:val="clear" w:color="auto" w:fill="D4F1F5"/>
          </w:tcPr>
          <w:p>
            <w:pPr>
              <w:spacing w:after="0"/>
              <w:rPr>
                <w:sz w:val="17"/>
                <w:szCs w:val="17"/>
                <w:color w:val="auto"/>
              </w:rPr>
            </w:pPr>
          </w:p>
        </w:tc>
        <w:tc>
          <w:tcPr>
            <w:tcW w:w="1120" w:type="dxa"/>
            <w:vAlign w:val="bottom"/>
            <w:tcBorders>
              <w:top w:val="single" w:sz="8" w:color="D4F1F5"/>
            </w:tcBorders>
            <w:shd w:val="clear" w:color="auto" w:fill="D4F1F5"/>
          </w:tcPr>
          <w:p>
            <w:pPr>
              <w:spacing w:after="0"/>
              <w:rPr>
                <w:sz w:val="17"/>
                <w:szCs w:val="17"/>
                <w:color w:val="auto"/>
              </w:rPr>
            </w:pPr>
          </w:p>
        </w:tc>
        <w:tc>
          <w:tcPr>
            <w:tcW w:w="140" w:type="dxa"/>
            <w:vAlign w:val="bottom"/>
            <w:tcBorders>
              <w:top w:val="single" w:sz="8" w:color="D4F1F5"/>
            </w:tcBorders>
            <w:shd w:val="clear" w:color="auto" w:fill="D4F1F5"/>
          </w:tcPr>
          <w:p>
            <w:pPr>
              <w:spacing w:after="0"/>
              <w:rPr>
                <w:sz w:val="17"/>
                <w:szCs w:val="17"/>
                <w:color w:val="auto"/>
              </w:rPr>
            </w:pPr>
          </w:p>
        </w:tc>
        <w:tc>
          <w:tcPr>
            <w:tcW w:w="200" w:type="dxa"/>
            <w:vAlign w:val="bottom"/>
            <w:tcBorders>
              <w:top w:val="single" w:sz="8" w:color="auto"/>
            </w:tcBorders>
            <w:shd w:val="clear" w:color="auto" w:fill="D4F1F5"/>
          </w:tcPr>
          <w:p>
            <w:pPr>
              <w:spacing w:after="0"/>
              <w:rPr>
                <w:sz w:val="17"/>
                <w:szCs w:val="17"/>
                <w:color w:val="auto"/>
              </w:rPr>
            </w:pPr>
          </w:p>
        </w:tc>
        <w:tc>
          <w:tcPr>
            <w:tcW w:w="1260" w:type="dxa"/>
            <w:vAlign w:val="bottom"/>
            <w:tcBorders>
              <w:top w:val="single" w:sz="8" w:color="auto"/>
            </w:tcBorders>
            <w:shd w:val="clear" w:color="auto" w:fill="D4F1F5"/>
          </w:tcPr>
          <w:p>
            <w:pPr>
              <w:spacing w:after="0"/>
              <w:rPr>
                <w:sz w:val="17"/>
                <w:szCs w:val="17"/>
                <w:color w:val="auto"/>
              </w:rPr>
            </w:pPr>
          </w:p>
        </w:tc>
        <w:tc>
          <w:tcPr>
            <w:tcW w:w="200" w:type="dxa"/>
            <w:vAlign w:val="bottom"/>
            <w:tcBorders>
              <w:top w:val="single" w:sz="8" w:color="auto"/>
            </w:tcBorders>
            <w:shd w:val="clear" w:color="auto" w:fill="D4F1F5"/>
          </w:tcPr>
          <w:p>
            <w:pPr>
              <w:spacing w:after="0"/>
              <w:rPr>
                <w:sz w:val="17"/>
                <w:szCs w:val="17"/>
                <w:color w:val="auto"/>
              </w:rPr>
            </w:pPr>
          </w:p>
        </w:tc>
        <w:tc>
          <w:tcPr>
            <w:tcW w:w="1240" w:type="dxa"/>
            <w:vAlign w:val="bottom"/>
            <w:tcBorders>
              <w:top w:val="single" w:sz="8" w:color="auto"/>
            </w:tcBorders>
            <w:shd w:val="clear" w:color="auto" w:fill="D4F1F5"/>
          </w:tcPr>
          <w:p>
            <w:pPr>
              <w:spacing w:after="0"/>
              <w:rPr>
                <w:sz w:val="17"/>
                <w:szCs w:val="17"/>
                <w:color w:val="auto"/>
              </w:rPr>
            </w:pPr>
          </w:p>
        </w:tc>
        <w:tc>
          <w:tcPr>
            <w:tcW w:w="300" w:type="dxa"/>
            <w:vAlign w:val="bottom"/>
            <w:tcBorders>
              <w:top w:val="single" w:sz="8" w:color="auto"/>
            </w:tcBorders>
            <w:shd w:val="clear" w:color="auto" w:fill="D4F1F5"/>
          </w:tcPr>
          <w:p>
            <w:pPr>
              <w:spacing w:after="0"/>
              <w:rPr>
                <w:sz w:val="17"/>
                <w:szCs w:val="17"/>
                <w:color w:val="auto"/>
              </w:rPr>
            </w:pPr>
          </w:p>
        </w:tc>
        <w:tc>
          <w:tcPr>
            <w:tcW w:w="1020" w:type="dxa"/>
            <w:vAlign w:val="bottom"/>
            <w:tcBorders>
              <w:top w:val="single" w:sz="8" w:color="auto"/>
            </w:tcBorders>
            <w:shd w:val="clear" w:color="auto" w:fill="D4F1F5"/>
          </w:tcPr>
          <w:p>
            <w:pPr>
              <w:spacing w:after="0"/>
              <w:rPr>
                <w:sz w:val="17"/>
                <w:szCs w:val="17"/>
                <w:color w:val="auto"/>
              </w:rPr>
            </w:pPr>
          </w:p>
        </w:tc>
      </w:tr>
      <w:tr>
        <w:trPr>
          <w:trHeight w:val="201"/>
        </w:trPr>
        <w:tc>
          <w:tcPr>
            <w:tcW w:w="5560" w:type="dxa"/>
            <w:vAlign w:val="bottom"/>
          </w:tcPr>
          <w:p>
            <w:pPr>
              <w:ind w:left="20"/>
              <w:spacing w:after="0"/>
              <w:rPr>
                <w:sz w:val="20"/>
                <w:szCs w:val="20"/>
                <w:color w:val="auto"/>
              </w:rPr>
            </w:pPr>
            <w:r>
              <w:rPr>
                <w:rFonts w:ascii="Arial" w:cs="Arial" w:eastAsia="Arial" w:hAnsi="Arial"/>
                <w:sz w:val="15"/>
                <w:szCs w:val="15"/>
                <w:color w:val="auto"/>
              </w:rPr>
              <w:t>Balance at December 31, 2024</w:t>
            </w:r>
          </w:p>
        </w:tc>
        <w:tc>
          <w:tcPr>
            <w:tcW w:w="1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40" w:type="dxa"/>
            <w:vAlign w:val="bottom"/>
            <w:gridSpan w:val="2"/>
          </w:tcPr>
          <w:p>
            <w:pPr>
              <w:jc w:val="right"/>
              <w:ind w:right="24"/>
              <w:spacing w:after="0"/>
              <w:rPr>
                <w:sz w:val="20"/>
                <w:szCs w:val="20"/>
                <w:color w:val="auto"/>
              </w:rPr>
            </w:pPr>
            <w:r>
              <w:rPr>
                <w:rFonts w:ascii="Arial" w:cs="Arial" w:eastAsia="Arial" w:hAnsi="Arial"/>
                <w:sz w:val="15"/>
                <w:szCs w:val="15"/>
                <w:color w:val="auto"/>
              </w:rPr>
              <w:t>$</w:t>
            </w:r>
          </w:p>
        </w:tc>
        <w:tc>
          <w:tcPr>
            <w:tcW w:w="1260" w:type="dxa"/>
            <w:vAlign w:val="bottom"/>
          </w:tcPr>
          <w:p>
            <w:pPr>
              <w:jc w:val="right"/>
              <w:ind w:right="104"/>
              <w:spacing w:after="0"/>
              <w:rPr>
                <w:sz w:val="20"/>
                <w:szCs w:val="20"/>
                <w:color w:val="auto"/>
              </w:rPr>
            </w:pPr>
            <w:r>
              <w:rPr>
                <w:rFonts w:ascii="Arial" w:cs="Arial" w:eastAsia="Arial" w:hAnsi="Arial"/>
                <w:sz w:val="15"/>
                <w:szCs w:val="15"/>
                <w:color w:val="auto"/>
              </w:rPr>
              <w:t>(10)</w:t>
            </w:r>
          </w:p>
        </w:tc>
        <w:tc>
          <w:tcPr>
            <w:tcW w:w="200" w:type="dxa"/>
            <w:vAlign w:val="bottom"/>
          </w:tcPr>
          <w:p>
            <w:pPr>
              <w:jc w:val="right"/>
              <w:ind w:right="24"/>
              <w:spacing w:after="0"/>
              <w:rPr>
                <w:sz w:val="20"/>
                <w:szCs w:val="20"/>
                <w:color w:val="auto"/>
              </w:rPr>
            </w:pPr>
            <w:r>
              <w:rPr>
                <w:rFonts w:ascii="Arial" w:cs="Arial" w:eastAsia="Arial" w:hAnsi="Arial"/>
                <w:sz w:val="15"/>
                <w:szCs w:val="15"/>
                <w:color w:val="auto"/>
                <w:w w:val="95"/>
              </w:rPr>
              <w:t>$</w:t>
            </w:r>
          </w:p>
        </w:tc>
        <w:tc>
          <w:tcPr>
            <w:tcW w:w="1240" w:type="dxa"/>
            <w:vAlign w:val="bottom"/>
          </w:tcPr>
          <w:p>
            <w:pPr>
              <w:jc w:val="right"/>
              <w:ind w:right="104"/>
              <w:spacing w:after="0"/>
              <w:rPr>
                <w:sz w:val="20"/>
                <w:szCs w:val="20"/>
                <w:color w:val="auto"/>
              </w:rPr>
            </w:pPr>
            <w:r>
              <w:rPr>
                <w:rFonts w:ascii="Arial" w:cs="Arial" w:eastAsia="Arial" w:hAnsi="Arial"/>
                <w:sz w:val="15"/>
                <w:szCs w:val="15"/>
                <w:color w:val="auto"/>
              </w:rPr>
              <w:t>(17)</w:t>
            </w:r>
          </w:p>
        </w:tc>
        <w:tc>
          <w:tcPr>
            <w:tcW w:w="300" w:type="dxa"/>
            <w:vAlign w:val="bottom"/>
          </w:tcPr>
          <w:p>
            <w:pPr>
              <w:jc w:val="right"/>
              <w:ind w:right="124"/>
              <w:spacing w:after="0"/>
              <w:rPr>
                <w:sz w:val="20"/>
                <w:szCs w:val="20"/>
                <w:color w:val="auto"/>
              </w:rPr>
            </w:pPr>
            <w:r>
              <w:rPr>
                <w:rFonts w:ascii="Arial" w:cs="Arial" w:eastAsia="Arial" w:hAnsi="Arial"/>
                <w:sz w:val="15"/>
                <w:szCs w:val="15"/>
                <w:color w:val="auto"/>
                <w:w w:val="95"/>
              </w:rPr>
              <w:t>$</w:t>
            </w:r>
          </w:p>
        </w:tc>
        <w:tc>
          <w:tcPr>
            <w:tcW w:w="1020" w:type="dxa"/>
            <w:vAlign w:val="bottom"/>
          </w:tcPr>
          <w:p>
            <w:pPr>
              <w:jc w:val="right"/>
              <w:spacing w:after="0"/>
              <w:rPr>
                <w:sz w:val="20"/>
                <w:szCs w:val="20"/>
                <w:color w:val="auto"/>
              </w:rPr>
            </w:pPr>
            <w:r>
              <w:rPr>
                <w:rFonts w:ascii="Arial" w:cs="Arial" w:eastAsia="Arial" w:hAnsi="Arial"/>
                <w:sz w:val="15"/>
                <w:szCs w:val="15"/>
                <w:color w:val="auto"/>
              </w:rPr>
              <w:t>(27)</w:t>
            </w:r>
          </w:p>
        </w:tc>
      </w:tr>
      <w:tr>
        <w:trPr>
          <w:trHeight w:val="197"/>
        </w:trPr>
        <w:tc>
          <w:tcPr>
            <w:tcW w:w="5560" w:type="dxa"/>
            <w:vAlign w:val="bottom"/>
            <w:tcBorders>
              <w:top w:val="single" w:sz="8" w:color="D4F1F5"/>
            </w:tcBorders>
            <w:shd w:val="clear" w:color="auto" w:fill="D4F1F5"/>
          </w:tcPr>
          <w:p>
            <w:pPr>
              <w:ind w:left="20"/>
              <w:spacing w:after="0"/>
              <w:rPr>
                <w:sz w:val="20"/>
                <w:szCs w:val="20"/>
                <w:color w:val="auto"/>
              </w:rPr>
            </w:pPr>
            <w:r>
              <w:rPr>
                <w:rFonts w:ascii="Arial" w:cs="Arial" w:eastAsia="Arial" w:hAnsi="Arial"/>
                <w:sz w:val="15"/>
                <w:szCs w:val="15"/>
                <w:color w:val="auto"/>
              </w:rPr>
              <w:t>OCI before reclassifications</w:t>
            </w:r>
          </w:p>
        </w:tc>
        <w:tc>
          <w:tcPr>
            <w:tcW w:w="180" w:type="dxa"/>
            <w:vAlign w:val="bottom"/>
            <w:tcBorders>
              <w:top w:val="single" w:sz="8" w:color="D4F1F5"/>
            </w:tcBorders>
            <w:shd w:val="clear" w:color="auto" w:fill="D4F1F5"/>
          </w:tcPr>
          <w:p>
            <w:pPr>
              <w:spacing w:after="0"/>
              <w:rPr>
                <w:sz w:val="17"/>
                <w:szCs w:val="17"/>
                <w:color w:val="auto"/>
              </w:rPr>
            </w:pPr>
          </w:p>
        </w:tc>
        <w:tc>
          <w:tcPr>
            <w:tcW w:w="1120" w:type="dxa"/>
            <w:vAlign w:val="bottom"/>
            <w:tcBorders>
              <w:top w:val="single" w:sz="8" w:color="D4F1F5"/>
            </w:tcBorders>
            <w:shd w:val="clear" w:color="auto" w:fill="D4F1F5"/>
          </w:tcPr>
          <w:p>
            <w:pPr>
              <w:spacing w:after="0"/>
              <w:rPr>
                <w:sz w:val="17"/>
                <w:szCs w:val="17"/>
                <w:color w:val="auto"/>
              </w:rPr>
            </w:pPr>
          </w:p>
        </w:tc>
        <w:tc>
          <w:tcPr>
            <w:tcW w:w="140" w:type="dxa"/>
            <w:vAlign w:val="bottom"/>
            <w:tcBorders>
              <w:top w:val="single" w:sz="8" w:color="D4F1F5"/>
            </w:tcBorders>
            <w:shd w:val="clear" w:color="auto" w:fill="D4F1F5"/>
          </w:tcPr>
          <w:p>
            <w:pPr>
              <w:spacing w:after="0"/>
              <w:rPr>
                <w:sz w:val="17"/>
                <w:szCs w:val="17"/>
                <w:color w:val="auto"/>
              </w:rPr>
            </w:pPr>
          </w:p>
        </w:tc>
        <w:tc>
          <w:tcPr>
            <w:tcW w:w="200" w:type="dxa"/>
            <w:vAlign w:val="bottom"/>
            <w:tcBorders>
              <w:top w:val="single" w:sz="8" w:color="auto"/>
            </w:tcBorders>
            <w:shd w:val="clear" w:color="auto" w:fill="D4F1F5"/>
          </w:tcPr>
          <w:p>
            <w:pPr>
              <w:spacing w:after="0"/>
              <w:rPr>
                <w:sz w:val="17"/>
                <w:szCs w:val="17"/>
                <w:color w:val="auto"/>
              </w:rPr>
            </w:pPr>
          </w:p>
        </w:tc>
        <w:tc>
          <w:tcPr>
            <w:tcW w:w="1260" w:type="dxa"/>
            <w:vAlign w:val="bottom"/>
            <w:tcBorders>
              <w:top w:val="single" w:sz="8" w:color="auto"/>
            </w:tcBorders>
            <w:shd w:val="clear" w:color="auto" w:fill="D4F1F5"/>
          </w:tcPr>
          <w:p>
            <w:pPr>
              <w:jc w:val="right"/>
              <w:ind w:right="144"/>
              <w:spacing w:after="0"/>
              <w:rPr>
                <w:sz w:val="20"/>
                <w:szCs w:val="20"/>
                <w:color w:val="auto"/>
              </w:rPr>
            </w:pPr>
            <w:r>
              <w:rPr>
                <w:rFonts w:ascii="Arial" w:cs="Arial" w:eastAsia="Arial" w:hAnsi="Arial"/>
                <w:sz w:val="15"/>
                <w:szCs w:val="15"/>
                <w:color w:val="auto"/>
              </w:rPr>
              <w:t>—</w:t>
            </w:r>
          </w:p>
        </w:tc>
        <w:tc>
          <w:tcPr>
            <w:tcW w:w="200" w:type="dxa"/>
            <w:vAlign w:val="bottom"/>
            <w:tcBorders>
              <w:top w:val="single" w:sz="8" w:color="auto"/>
            </w:tcBorders>
            <w:shd w:val="clear" w:color="auto" w:fill="D4F1F5"/>
          </w:tcPr>
          <w:p>
            <w:pPr>
              <w:spacing w:after="0"/>
              <w:rPr>
                <w:sz w:val="17"/>
                <w:szCs w:val="17"/>
                <w:color w:val="auto"/>
              </w:rPr>
            </w:pPr>
          </w:p>
        </w:tc>
        <w:tc>
          <w:tcPr>
            <w:tcW w:w="1240" w:type="dxa"/>
            <w:vAlign w:val="bottom"/>
            <w:tcBorders>
              <w:top w:val="single" w:sz="8" w:color="auto"/>
            </w:tcBorders>
            <w:shd w:val="clear" w:color="auto" w:fill="D4F1F5"/>
          </w:tcPr>
          <w:p>
            <w:pPr>
              <w:jc w:val="right"/>
              <w:ind w:right="104"/>
              <w:spacing w:after="0"/>
              <w:rPr>
                <w:sz w:val="20"/>
                <w:szCs w:val="20"/>
                <w:color w:val="auto"/>
              </w:rPr>
            </w:pPr>
            <w:r>
              <w:rPr>
                <w:rFonts w:ascii="Arial" w:cs="Arial" w:eastAsia="Arial" w:hAnsi="Arial"/>
                <w:sz w:val="15"/>
                <w:szCs w:val="15"/>
                <w:color w:val="auto"/>
              </w:rPr>
              <w:t>(2)</w:t>
            </w:r>
          </w:p>
        </w:tc>
        <w:tc>
          <w:tcPr>
            <w:tcW w:w="300" w:type="dxa"/>
            <w:vAlign w:val="bottom"/>
            <w:tcBorders>
              <w:top w:val="single" w:sz="8" w:color="auto"/>
            </w:tcBorders>
            <w:shd w:val="clear" w:color="auto" w:fill="D4F1F5"/>
          </w:tcPr>
          <w:p>
            <w:pPr>
              <w:spacing w:after="0"/>
              <w:rPr>
                <w:sz w:val="17"/>
                <w:szCs w:val="17"/>
                <w:color w:val="auto"/>
              </w:rPr>
            </w:pPr>
          </w:p>
        </w:tc>
        <w:tc>
          <w:tcPr>
            <w:tcW w:w="1020" w:type="dxa"/>
            <w:vAlign w:val="bottom"/>
            <w:tcBorders>
              <w:top w:val="single" w:sz="8" w:color="auto"/>
            </w:tcBorders>
            <w:shd w:val="clear" w:color="auto" w:fill="D4F1F5"/>
          </w:tcPr>
          <w:p>
            <w:pPr>
              <w:jc w:val="right"/>
              <w:spacing w:after="0"/>
              <w:rPr>
                <w:sz w:val="20"/>
                <w:szCs w:val="20"/>
                <w:color w:val="auto"/>
              </w:rPr>
            </w:pPr>
            <w:r>
              <w:rPr>
                <w:rFonts w:ascii="Arial" w:cs="Arial" w:eastAsia="Arial" w:hAnsi="Arial"/>
                <w:sz w:val="15"/>
                <w:szCs w:val="15"/>
                <w:color w:val="auto"/>
              </w:rPr>
              <w:t>(2)</w:t>
            </w:r>
          </w:p>
        </w:tc>
      </w:tr>
      <w:tr>
        <w:trPr>
          <w:trHeight w:val="201"/>
        </w:trPr>
        <w:tc>
          <w:tcPr>
            <w:tcW w:w="5560" w:type="dxa"/>
            <w:vAlign w:val="bottom"/>
            <w:tcBorders>
              <w:bottom w:val="single" w:sz="8" w:color="D4F1F5"/>
            </w:tcBorders>
          </w:tcPr>
          <w:p>
            <w:pPr>
              <w:ind w:left="20"/>
              <w:spacing w:after="0"/>
              <w:rPr>
                <w:sz w:val="20"/>
                <w:szCs w:val="20"/>
                <w:color w:val="auto"/>
              </w:rPr>
            </w:pPr>
            <w:r>
              <w:rPr>
                <w:rFonts w:ascii="Arial" w:cs="Arial" w:eastAsia="Arial" w:hAnsi="Arial"/>
                <w:sz w:val="15"/>
                <w:szCs w:val="15"/>
                <w:color w:val="auto"/>
              </w:rPr>
              <w:t>Amounts reclassified from AOCI</w:t>
            </w:r>
          </w:p>
        </w:tc>
        <w:tc>
          <w:tcPr>
            <w:tcW w:w="180" w:type="dxa"/>
            <w:vAlign w:val="bottom"/>
            <w:tcBorders>
              <w:bottom w:val="single" w:sz="8" w:color="D4F1F5"/>
            </w:tcBorders>
          </w:tcPr>
          <w:p>
            <w:pPr>
              <w:spacing w:after="0"/>
              <w:rPr>
                <w:sz w:val="17"/>
                <w:szCs w:val="17"/>
                <w:color w:val="auto"/>
              </w:rPr>
            </w:pPr>
          </w:p>
        </w:tc>
        <w:tc>
          <w:tcPr>
            <w:tcW w:w="1120" w:type="dxa"/>
            <w:vAlign w:val="bottom"/>
            <w:tcBorders>
              <w:bottom w:val="single" w:sz="8" w:color="D4F1F5"/>
            </w:tcBorders>
          </w:tcPr>
          <w:p>
            <w:pPr>
              <w:spacing w:after="0"/>
              <w:rPr>
                <w:sz w:val="17"/>
                <w:szCs w:val="17"/>
                <w:color w:val="auto"/>
              </w:rPr>
            </w:pPr>
          </w:p>
        </w:tc>
        <w:tc>
          <w:tcPr>
            <w:tcW w:w="140" w:type="dxa"/>
            <w:vAlign w:val="bottom"/>
            <w:tcBorders>
              <w:bottom w:val="single" w:sz="8" w:color="D4F1F5"/>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144"/>
              <w:spacing w:after="0"/>
              <w:rPr>
                <w:sz w:val="20"/>
                <w:szCs w:val="20"/>
                <w:color w:val="auto"/>
              </w:rPr>
            </w:pPr>
            <w:r>
              <w:rPr>
                <w:rFonts w:ascii="Arial" w:cs="Arial" w:eastAsia="Arial" w:hAnsi="Arial"/>
                <w:sz w:val="15"/>
                <w:szCs w:val="15"/>
                <w:color w:val="auto"/>
              </w:rPr>
              <w:t>—</w:t>
            </w:r>
          </w:p>
        </w:tc>
        <w:tc>
          <w:tcPr>
            <w:tcW w:w="2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144"/>
              <w:spacing w:after="0"/>
              <w:rPr>
                <w:sz w:val="20"/>
                <w:szCs w:val="20"/>
                <w:color w:val="auto"/>
              </w:rPr>
            </w:pPr>
            <w:r>
              <w:rPr>
                <w:rFonts w:ascii="Arial" w:cs="Arial" w:eastAsia="Arial" w:hAnsi="Arial"/>
                <w:sz w:val="15"/>
                <w:szCs w:val="15"/>
                <w:color w:val="auto"/>
              </w:rPr>
              <w:t>4</w:t>
            </w: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4</w:t>
            </w:r>
          </w:p>
        </w:tc>
      </w:tr>
      <w:tr>
        <w:trPr>
          <w:trHeight w:val="197"/>
        </w:trPr>
        <w:tc>
          <w:tcPr>
            <w:tcW w:w="5560" w:type="dxa"/>
            <w:vAlign w:val="bottom"/>
            <w:shd w:val="clear" w:color="auto" w:fill="D4F1F5"/>
          </w:tcPr>
          <w:p>
            <w:pPr>
              <w:ind w:left="20"/>
              <w:spacing w:after="0"/>
              <w:rPr>
                <w:sz w:val="20"/>
                <w:szCs w:val="20"/>
                <w:color w:val="auto"/>
              </w:rPr>
            </w:pPr>
            <w:r>
              <w:rPr>
                <w:rFonts w:ascii="Arial" w:cs="Arial" w:eastAsia="Arial" w:hAnsi="Arial"/>
                <w:sz w:val="15"/>
                <w:szCs w:val="15"/>
                <w:color w:val="auto"/>
              </w:rPr>
              <w:t>Net OCI</w:t>
            </w:r>
          </w:p>
        </w:tc>
        <w:tc>
          <w:tcPr>
            <w:tcW w:w="180" w:type="dxa"/>
            <w:vAlign w:val="bottom"/>
            <w:shd w:val="clear" w:color="auto" w:fill="D4F1F5"/>
          </w:tcPr>
          <w:p>
            <w:pPr>
              <w:spacing w:after="0"/>
              <w:rPr>
                <w:sz w:val="17"/>
                <w:szCs w:val="17"/>
                <w:color w:val="auto"/>
              </w:rPr>
            </w:pPr>
          </w:p>
        </w:tc>
        <w:tc>
          <w:tcPr>
            <w:tcW w:w="1120" w:type="dxa"/>
            <w:vAlign w:val="bottom"/>
            <w:shd w:val="clear" w:color="auto" w:fill="D4F1F5"/>
          </w:tcPr>
          <w:p>
            <w:pPr>
              <w:spacing w:after="0"/>
              <w:rPr>
                <w:sz w:val="17"/>
                <w:szCs w:val="17"/>
                <w:color w:val="auto"/>
              </w:rPr>
            </w:pPr>
          </w:p>
        </w:tc>
        <w:tc>
          <w:tcPr>
            <w:tcW w:w="140" w:type="dxa"/>
            <w:vAlign w:val="bottom"/>
            <w:shd w:val="clear" w:color="auto" w:fill="D4F1F5"/>
          </w:tcPr>
          <w:p>
            <w:pPr>
              <w:spacing w:after="0"/>
              <w:rPr>
                <w:sz w:val="17"/>
                <w:szCs w:val="17"/>
                <w:color w:val="auto"/>
              </w:rPr>
            </w:pPr>
          </w:p>
        </w:tc>
        <w:tc>
          <w:tcPr>
            <w:tcW w:w="200" w:type="dxa"/>
            <w:vAlign w:val="bottom"/>
            <w:tcBorders>
              <w:bottom w:val="single" w:sz="8" w:color="auto"/>
            </w:tcBorders>
            <w:shd w:val="clear" w:color="auto" w:fill="D4F1F5"/>
          </w:tcPr>
          <w:p>
            <w:pPr>
              <w:spacing w:after="0"/>
              <w:rPr>
                <w:sz w:val="17"/>
                <w:szCs w:val="17"/>
                <w:color w:val="auto"/>
              </w:rPr>
            </w:pPr>
          </w:p>
        </w:tc>
        <w:tc>
          <w:tcPr>
            <w:tcW w:w="1260" w:type="dxa"/>
            <w:vAlign w:val="bottom"/>
            <w:tcBorders>
              <w:bottom w:val="single" w:sz="8" w:color="auto"/>
            </w:tcBorders>
            <w:shd w:val="clear" w:color="auto" w:fill="D4F1F5"/>
          </w:tcPr>
          <w:p>
            <w:pPr>
              <w:jc w:val="right"/>
              <w:ind w:right="144"/>
              <w:spacing w:after="0"/>
              <w:rPr>
                <w:sz w:val="20"/>
                <w:szCs w:val="20"/>
                <w:color w:val="auto"/>
              </w:rPr>
            </w:pPr>
            <w:r>
              <w:rPr>
                <w:rFonts w:ascii="Arial" w:cs="Arial" w:eastAsia="Arial" w:hAnsi="Arial"/>
                <w:sz w:val="15"/>
                <w:szCs w:val="15"/>
                <w:color w:val="auto"/>
              </w:rPr>
              <w:t>—</w:t>
            </w:r>
          </w:p>
        </w:tc>
        <w:tc>
          <w:tcPr>
            <w:tcW w:w="200" w:type="dxa"/>
            <w:vAlign w:val="bottom"/>
            <w:tcBorders>
              <w:bottom w:val="single" w:sz="8" w:color="auto"/>
            </w:tcBorders>
            <w:shd w:val="clear" w:color="auto" w:fill="D4F1F5"/>
          </w:tcPr>
          <w:p>
            <w:pPr>
              <w:spacing w:after="0"/>
              <w:rPr>
                <w:sz w:val="17"/>
                <w:szCs w:val="17"/>
                <w:color w:val="auto"/>
              </w:rPr>
            </w:pPr>
          </w:p>
        </w:tc>
        <w:tc>
          <w:tcPr>
            <w:tcW w:w="1240" w:type="dxa"/>
            <w:vAlign w:val="bottom"/>
            <w:tcBorders>
              <w:bottom w:val="single" w:sz="8" w:color="auto"/>
            </w:tcBorders>
            <w:shd w:val="clear" w:color="auto" w:fill="D4F1F5"/>
          </w:tcPr>
          <w:p>
            <w:pPr>
              <w:jc w:val="right"/>
              <w:ind w:right="144"/>
              <w:spacing w:after="0"/>
              <w:rPr>
                <w:sz w:val="20"/>
                <w:szCs w:val="20"/>
                <w:color w:val="auto"/>
              </w:rPr>
            </w:pPr>
            <w:r>
              <w:rPr>
                <w:rFonts w:ascii="Arial" w:cs="Arial" w:eastAsia="Arial" w:hAnsi="Arial"/>
                <w:sz w:val="15"/>
                <w:szCs w:val="15"/>
                <w:color w:val="auto"/>
              </w:rPr>
              <w:t>2</w:t>
            </w:r>
          </w:p>
        </w:tc>
        <w:tc>
          <w:tcPr>
            <w:tcW w:w="300" w:type="dxa"/>
            <w:vAlign w:val="bottom"/>
            <w:tcBorders>
              <w:bottom w:val="single" w:sz="8" w:color="auto"/>
            </w:tcBorders>
            <w:shd w:val="clear" w:color="auto" w:fill="D4F1F5"/>
          </w:tcPr>
          <w:p>
            <w:pPr>
              <w:spacing w:after="0"/>
              <w:rPr>
                <w:sz w:val="17"/>
                <w:szCs w:val="17"/>
                <w:color w:val="auto"/>
              </w:rPr>
            </w:pPr>
          </w:p>
        </w:tc>
        <w:tc>
          <w:tcPr>
            <w:tcW w:w="1020" w:type="dxa"/>
            <w:vAlign w:val="bottom"/>
            <w:tcBorders>
              <w:bottom w:val="single" w:sz="8" w:color="auto"/>
            </w:tcBorders>
            <w:shd w:val="clear" w:color="auto" w:fill="D4F1F5"/>
          </w:tcPr>
          <w:p>
            <w:pPr>
              <w:jc w:val="right"/>
              <w:ind w:right="4"/>
              <w:spacing w:after="0"/>
              <w:rPr>
                <w:sz w:val="20"/>
                <w:szCs w:val="20"/>
                <w:color w:val="auto"/>
              </w:rPr>
            </w:pPr>
            <w:r>
              <w:rPr>
                <w:rFonts w:ascii="Arial" w:cs="Arial" w:eastAsia="Arial" w:hAnsi="Arial"/>
                <w:sz w:val="15"/>
                <w:szCs w:val="15"/>
                <w:color w:val="auto"/>
              </w:rPr>
              <w:t>2</w:t>
            </w:r>
          </w:p>
        </w:tc>
      </w:tr>
      <w:tr>
        <w:trPr>
          <w:trHeight w:val="203"/>
        </w:trPr>
        <w:tc>
          <w:tcPr>
            <w:tcW w:w="5560" w:type="dxa"/>
            <w:vAlign w:val="bottom"/>
            <w:tcBorders>
              <w:bottom w:val="single" w:sz="8" w:color="auto"/>
            </w:tcBorders>
          </w:tcPr>
          <w:p>
            <w:pPr>
              <w:ind w:left="20"/>
              <w:spacing w:after="0"/>
              <w:rPr>
                <w:sz w:val="20"/>
                <w:szCs w:val="20"/>
                <w:color w:val="auto"/>
              </w:rPr>
            </w:pPr>
            <w:r>
              <w:rPr>
                <w:rFonts w:ascii="Arial" w:cs="Arial" w:eastAsia="Arial" w:hAnsi="Arial"/>
                <w:sz w:val="15"/>
                <w:szCs w:val="15"/>
                <w:color w:val="auto"/>
              </w:rPr>
              <w:t>Balance at March 31, 2025</w:t>
            </w:r>
          </w:p>
        </w:tc>
        <w:tc>
          <w:tcPr>
            <w:tcW w:w="18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w w:val="95"/>
              </w:rPr>
              <w:t>$</w:t>
            </w:r>
          </w:p>
        </w:tc>
        <w:tc>
          <w:tcPr>
            <w:tcW w:w="1260" w:type="dxa"/>
            <w:vAlign w:val="bottom"/>
            <w:tcBorders>
              <w:bottom w:val="single" w:sz="8" w:color="auto"/>
            </w:tcBorders>
          </w:tcPr>
          <w:p>
            <w:pPr>
              <w:jc w:val="right"/>
              <w:ind w:right="104"/>
              <w:spacing w:after="0"/>
              <w:rPr>
                <w:sz w:val="20"/>
                <w:szCs w:val="20"/>
                <w:color w:val="auto"/>
              </w:rPr>
            </w:pPr>
            <w:r>
              <w:rPr>
                <w:rFonts w:ascii="Arial" w:cs="Arial" w:eastAsia="Arial" w:hAnsi="Arial"/>
                <w:sz w:val="15"/>
                <w:szCs w:val="15"/>
                <w:color w:val="auto"/>
              </w:rPr>
              <w:t>(10)</w:t>
            </w:r>
          </w:p>
        </w:tc>
        <w:tc>
          <w:tcPr>
            <w:tcW w:w="20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w w:val="95"/>
              </w:rPr>
              <w:t>$</w:t>
            </w:r>
          </w:p>
        </w:tc>
        <w:tc>
          <w:tcPr>
            <w:tcW w:w="1240" w:type="dxa"/>
            <w:vAlign w:val="bottom"/>
            <w:tcBorders>
              <w:bottom w:val="single" w:sz="8" w:color="auto"/>
            </w:tcBorders>
          </w:tcPr>
          <w:p>
            <w:pPr>
              <w:jc w:val="right"/>
              <w:ind w:right="104"/>
              <w:spacing w:after="0"/>
              <w:rPr>
                <w:sz w:val="20"/>
                <w:szCs w:val="20"/>
                <w:color w:val="auto"/>
              </w:rPr>
            </w:pPr>
            <w:r>
              <w:rPr>
                <w:rFonts w:ascii="Arial" w:cs="Arial" w:eastAsia="Arial" w:hAnsi="Arial"/>
                <w:sz w:val="15"/>
                <w:szCs w:val="15"/>
                <w:color w:val="auto"/>
              </w:rPr>
              <w:t>(15)</w:t>
            </w:r>
          </w:p>
        </w:tc>
        <w:tc>
          <w:tcPr>
            <w:tcW w:w="300" w:type="dxa"/>
            <w:vAlign w:val="bottom"/>
            <w:tcBorders>
              <w:bottom w:val="single" w:sz="8" w:color="auto"/>
            </w:tcBorders>
          </w:tcPr>
          <w:p>
            <w:pPr>
              <w:jc w:val="right"/>
              <w:ind w:right="124"/>
              <w:spacing w:after="0"/>
              <w:rPr>
                <w:sz w:val="20"/>
                <w:szCs w:val="20"/>
                <w:color w:val="auto"/>
              </w:rPr>
            </w:pPr>
            <w:r>
              <w:rPr>
                <w:rFonts w:ascii="Arial" w:cs="Arial" w:eastAsia="Arial" w:hAnsi="Arial"/>
                <w:sz w:val="15"/>
                <w:szCs w:val="15"/>
                <w:color w:val="auto"/>
                <w:w w:val="95"/>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(25)</w:t>
            </w:r>
          </w:p>
        </w:tc>
      </w:tr>
    </w:tbl>
    <w:p>
      <w:pPr>
        <w:spacing w:after="0" w:line="61" w:lineRule="exact"/>
        <w:rPr>
          <w:sz w:val="20"/>
          <w:szCs w:val="20"/>
          <w:color w:val="auto"/>
        </w:rPr>
      </w:pPr>
    </w:p>
    <w:p>
      <w:pPr>
        <w:ind w:left="260" w:hanging="252"/>
        <w:spacing w:after="0"/>
        <w:tabs>
          <w:tab w:leader="none" w:pos="260" w:val="left"/>
        </w:tabs>
        <w:numPr>
          <w:ilvl w:val="0"/>
          <w:numId w:val="10"/>
        </w:numPr>
        <w:rPr>
          <w:rFonts w:ascii="Arial" w:cs="Arial" w:eastAsia="Arial" w:hAnsi="Arial"/>
          <w:sz w:val="21"/>
          <w:szCs w:val="21"/>
          <w:i w:val="1"/>
          <w:iCs w:val="1"/>
          <w:color w:val="auto"/>
          <w:vertAlign w:val="superscript"/>
        </w:rPr>
      </w:pPr>
      <w:r>
        <w:rPr>
          <w:rFonts w:ascii="Arial" w:cs="Arial" w:eastAsia="Arial" w:hAnsi="Arial"/>
          <w:sz w:val="14"/>
          <w:szCs w:val="14"/>
          <w:i w:val="1"/>
          <w:iCs w:val="1"/>
          <w:color w:val="auto"/>
        </w:rPr>
        <w:t>All amounts are net of income tax, if subject to tax, and after NCI.</w:t>
      </w:r>
    </w:p>
    <w:p>
      <w:pPr>
        <w:spacing w:after="0" w:line="200" w:lineRule="exact"/>
        <w:rPr>
          <w:sz w:val="20"/>
          <w:szCs w:val="20"/>
          <w:color w:val="auto"/>
        </w:rPr>
      </w:pPr>
    </w:p>
    <w:p>
      <w:pPr>
        <w:spacing w:after="0" w:line="2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150495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480060</wp:posOffset>
            </wp:positionV>
            <wp:extent cx="6926580" cy="3003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926580" cy="3003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FFFFFF"/>
        </w:rPr>
        <w:t>RECLASSIFICATIONS OUT OF ACCUMULATED OTHER COMPREHENSIVE INCOME (LOSS)</w:t>
      </w:r>
    </w:p>
    <w:p>
      <w:pPr>
        <w:spacing w:after="0" w:line="66" w:lineRule="exact"/>
        <w:rPr>
          <w:sz w:val="20"/>
          <w:szCs w:val="20"/>
          <w:color w:val="auto"/>
        </w:rPr>
      </w:pPr>
    </w:p>
    <w:p>
      <w:pPr>
        <w:ind w:left="20"/>
        <w:spacing w:after="0"/>
        <w:rPr>
          <w:sz w:val="20"/>
          <w:szCs w:val="20"/>
          <w:color w:val="auto"/>
        </w:rPr>
      </w:pPr>
      <w:r>
        <w:rPr>
          <w:rFonts w:ascii="Arial" w:cs="Arial" w:eastAsia="Arial" w:hAnsi="Arial"/>
          <w:sz w:val="14"/>
          <w:szCs w:val="14"/>
          <w:i w:val="1"/>
          <w:iCs w:val="1"/>
          <w:color w:val="FFFFFF"/>
        </w:rPr>
        <w:t>(Dollars in millions)</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060" w:type="dxa"/>
            <w:vAlign w:val="bottom"/>
          </w:tcPr>
          <w:p>
            <w:pPr>
              <w:spacing w:after="0"/>
              <w:rPr>
                <w:sz w:val="14"/>
                <w:szCs w:val="14"/>
                <w:color w:val="auto"/>
              </w:rPr>
            </w:pPr>
          </w:p>
        </w:tc>
        <w:tc>
          <w:tcPr>
            <w:tcW w:w="2520" w:type="dxa"/>
            <w:vAlign w:val="bottom"/>
            <w:gridSpan w:val="3"/>
          </w:tcPr>
          <w:p>
            <w:pPr>
              <w:jc w:val="center"/>
              <w:ind w:left="245"/>
              <w:spacing w:after="0"/>
              <w:rPr>
                <w:sz w:val="20"/>
                <w:szCs w:val="20"/>
                <w:color w:val="auto"/>
              </w:rPr>
            </w:pPr>
            <w:r>
              <w:rPr>
                <w:rFonts w:ascii="Arial" w:cs="Arial" w:eastAsia="Arial" w:hAnsi="Arial"/>
                <w:sz w:val="14"/>
                <w:szCs w:val="14"/>
                <w:color w:val="auto"/>
              </w:rPr>
              <w:t>Amounts reclassified</w:t>
            </w:r>
          </w:p>
        </w:tc>
        <w:tc>
          <w:tcPr>
            <w:tcW w:w="320" w:type="dxa"/>
            <w:vAlign w:val="bottom"/>
          </w:tcPr>
          <w:p>
            <w:pPr>
              <w:spacing w:after="0"/>
              <w:rPr>
                <w:sz w:val="14"/>
                <w:szCs w:val="14"/>
                <w:color w:val="auto"/>
              </w:rPr>
            </w:pPr>
          </w:p>
        </w:tc>
        <w:tc>
          <w:tcPr>
            <w:tcW w:w="4020" w:type="dxa"/>
            <w:vAlign w:val="bottom"/>
          </w:tcPr>
          <w:p>
            <w:pPr>
              <w:ind w:left="1020"/>
              <w:spacing w:after="0"/>
              <w:rPr>
                <w:sz w:val="20"/>
                <w:szCs w:val="20"/>
                <w:color w:val="auto"/>
              </w:rPr>
            </w:pPr>
            <w:r>
              <w:rPr>
                <w:rFonts w:ascii="Arial" w:cs="Arial" w:eastAsia="Arial" w:hAnsi="Arial"/>
                <w:sz w:val="14"/>
                <w:szCs w:val="14"/>
                <w:color w:val="auto"/>
              </w:rPr>
              <w:t>Affected line item on Condensed</w:t>
            </w:r>
          </w:p>
        </w:tc>
      </w:tr>
      <w:tr>
        <w:trPr>
          <w:trHeight w:val="208"/>
        </w:trPr>
        <w:tc>
          <w:tcPr>
            <w:tcW w:w="4060" w:type="dxa"/>
            <w:vAlign w:val="bottom"/>
            <w:tcBorders>
              <w:bottom w:val="single" w:sz="8" w:color="auto"/>
            </w:tcBorders>
          </w:tcPr>
          <w:p>
            <w:pPr>
              <w:ind w:left="1000"/>
              <w:spacing w:after="0"/>
              <w:rPr>
                <w:sz w:val="20"/>
                <w:szCs w:val="20"/>
                <w:color w:val="auto"/>
              </w:rPr>
            </w:pPr>
            <w:r>
              <w:rPr>
                <w:rFonts w:ascii="Arial" w:cs="Arial" w:eastAsia="Arial" w:hAnsi="Arial"/>
                <w:sz w:val="14"/>
                <w:szCs w:val="14"/>
                <w:color w:val="auto"/>
              </w:rPr>
              <w:t>Details about AOCI components</w:t>
            </w:r>
          </w:p>
        </w:tc>
        <w:tc>
          <w:tcPr>
            <w:tcW w:w="96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gridSpan w:val="2"/>
          </w:tcPr>
          <w:p>
            <w:pPr>
              <w:jc w:val="center"/>
              <w:ind w:right="564"/>
              <w:spacing w:after="0"/>
              <w:rPr>
                <w:sz w:val="20"/>
                <w:szCs w:val="20"/>
                <w:color w:val="auto"/>
              </w:rPr>
            </w:pPr>
            <w:r>
              <w:rPr>
                <w:rFonts w:ascii="Arial" w:cs="Arial" w:eastAsia="Arial" w:hAnsi="Arial"/>
                <w:sz w:val="14"/>
                <w:szCs w:val="14"/>
                <w:color w:val="auto"/>
              </w:rPr>
              <w:t>from AOCI</w:t>
            </w:r>
          </w:p>
        </w:tc>
        <w:tc>
          <w:tcPr>
            <w:tcW w:w="320" w:type="dxa"/>
            <w:vAlign w:val="bottom"/>
            <w:tcBorders>
              <w:bottom w:val="single" w:sz="8" w:color="auto"/>
            </w:tcBorders>
          </w:tcPr>
          <w:p>
            <w:pPr>
              <w:spacing w:after="0"/>
              <w:rPr>
                <w:sz w:val="18"/>
                <w:szCs w:val="18"/>
                <w:color w:val="auto"/>
              </w:rPr>
            </w:pPr>
          </w:p>
        </w:tc>
        <w:tc>
          <w:tcPr>
            <w:tcW w:w="4020" w:type="dxa"/>
            <w:vAlign w:val="bottom"/>
            <w:tcBorders>
              <w:bottom w:val="single" w:sz="8" w:color="auto"/>
            </w:tcBorders>
          </w:tcPr>
          <w:p>
            <w:pPr>
              <w:ind w:left="800"/>
              <w:spacing w:after="0"/>
              <w:rPr>
                <w:sz w:val="20"/>
                <w:szCs w:val="20"/>
                <w:color w:val="auto"/>
              </w:rPr>
            </w:pPr>
            <w:r>
              <w:rPr>
                <w:rFonts w:ascii="Arial" w:cs="Arial" w:eastAsia="Arial" w:hAnsi="Arial"/>
                <w:sz w:val="14"/>
                <w:szCs w:val="14"/>
                <w:color w:val="auto"/>
              </w:rPr>
              <w:t>Consolidated Statements of Operations</w:t>
            </w:r>
          </w:p>
        </w:tc>
      </w:tr>
      <w:tr>
        <w:trPr>
          <w:trHeight w:val="209"/>
        </w:trPr>
        <w:tc>
          <w:tcPr>
            <w:tcW w:w="4060" w:type="dxa"/>
            <w:vAlign w:val="bottom"/>
          </w:tcPr>
          <w:p>
            <w:pPr>
              <w:spacing w:after="0"/>
              <w:rPr>
                <w:sz w:val="18"/>
                <w:szCs w:val="18"/>
                <w:color w:val="auto"/>
              </w:rPr>
            </w:pPr>
          </w:p>
        </w:tc>
        <w:tc>
          <w:tcPr>
            <w:tcW w:w="2520" w:type="dxa"/>
            <w:vAlign w:val="bottom"/>
            <w:tcBorders>
              <w:bottom w:val="single" w:sz="8" w:color="auto"/>
            </w:tcBorders>
            <w:gridSpan w:val="3"/>
          </w:tcPr>
          <w:p>
            <w:pPr>
              <w:jc w:val="center"/>
              <w:ind w:left="245"/>
              <w:spacing w:after="0"/>
              <w:rPr>
                <w:sz w:val="20"/>
                <w:szCs w:val="20"/>
                <w:color w:val="auto"/>
              </w:rPr>
            </w:pPr>
            <w:r>
              <w:rPr>
                <w:rFonts w:ascii="Arial" w:cs="Arial" w:eastAsia="Arial" w:hAnsi="Arial"/>
                <w:sz w:val="14"/>
                <w:szCs w:val="14"/>
                <w:color w:val="auto"/>
              </w:rPr>
              <w:t>Three months ended March 31,</w:t>
            </w:r>
          </w:p>
        </w:tc>
        <w:tc>
          <w:tcPr>
            <w:tcW w:w="320" w:type="dxa"/>
            <w:vAlign w:val="bottom"/>
            <w:tcBorders>
              <w:bottom w:val="single" w:sz="8" w:color="auto"/>
            </w:tcBorders>
          </w:tcPr>
          <w:p>
            <w:pPr>
              <w:spacing w:after="0"/>
              <w:rPr>
                <w:sz w:val="18"/>
                <w:szCs w:val="18"/>
                <w:color w:val="auto"/>
              </w:rPr>
            </w:pPr>
          </w:p>
        </w:tc>
        <w:tc>
          <w:tcPr>
            <w:tcW w:w="4020" w:type="dxa"/>
            <w:vAlign w:val="bottom"/>
          </w:tcPr>
          <w:p>
            <w:pPr>
              <w:spacing w:after="0"/>
              <w:rPr>
                <w:sz w:val="18"/>
                <w:szCs w:val="18"/>
                <w:color w:val="auto"/>
              </w:rPr>
            </w:pPr>
          </w:p>
        </w:tc>
      </w:tr>
      <w:tr>
        <w:trPr>
          <w:trHeight w:val="210"/>
        </w:trPr>
        <w:tc>
          <w:tcPr>
            <w:tcW w:w="40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65"/>
              <w:spacing w:after="0"/>
              <w:rPr>
                <w:sz w:val="20"/>
                <w:szCs w:val="20"/>
                <w:color w:val="auto"/>
              </w:rPr>
            </w:pPr>
            <w:r>
              <w:rPr>
                <w:rFonts w:ascii="Arial" w:cs="Arial" w:eastAsia="Arial" w:hAnsi="Arial"/>
                <w:sz w:val="14"/>
                <w:szCs w:val="14"/>
                <w:color w:val="auto"/>
              </w:rPr>
              <w:t>2026</w:t>
            </w:r>
          </w:p>
        </w:tc>
        <w:tc>
          <w:tcPr>
            <w:tcW w:w="4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104"/>
              <w:spacing w:after="0"/>
              <w:rPr>
                <w:sz w:val="20"/>
                <w:szCs w:val="20"/>
                <w:color w:val="auto"/>
              </w:rPr>
            </w:pPr>
            <w:r>
              <w:rPr>
                <w:rFonts w:ascii="Arial" w:cs="Arial" w:eastAsia="Arial" w:hAnsi="Arial"/>
                <w:sz w:val="14"/>
                <w:szCs w:val="14"/>
                <w:color w:val="auto"/>
              </w:rPr>
              <w:t>2025</w:t>
            </w:r>
          </w:p>
        </w:tc>
        <w:tc>
          <w:tcPr>
            <w:tcW w:w="320" w:type="dxa"/>
            <w:vAlign w:val="bottom"/>
            <w:tcBorders>
              <w:bottom w:val="single" w:sz="8" w:color="auto"/>
            </w:tcBorders>
          </w:tcPr>
          <w:p>
            <w:pPr>
              <w:spacing w:after="0"/>
              <w:rPr>
                <w:sz w:val="18"/>
                <w:szCs w:val="18"/>
                <w:color w:val="auto"/>
              </w:rPr>
            </w:pPr>
          </w:p>
        </w:tc>
        <w:tc>
          <w:tcPr>
            <w:tcW w:w="4020" w:type="dxa"/>
            <w:vAlign w:val="bottom"/>
            <w:tcBorders>
              <w:bottom w:val="single" w:sz="8" w:color="auto"/>
            </w:tcBorders>
          </w:tcPr>
          <w:p>
            <w:pPr>
              <w:spacing w:after="0"/>
              <w:rPr>
                <w:sz w:val="18"/>
                <w:szCs w:val="18"/>
                <w:color w:val="auto"/>
              </w:rPr>
            </w:pPr>
          </w:p>
        </w:tc>
      </w:tr>
      <w:tr>
        <w:trPr>
          <w:trHeight w:val="200"/>
        </w:trPr>
        <w:tc>
          <w:tcPr>
            <w:tcW w:w="4060" w:type="dxa"/>
            <w:vAlign w:val="bottom"/>
            <w:shd w:val="clear" w:color="auto" w:fill="D4F1F5"/>
          </w:tcPr>
          <w:p>
            <w:pPr>
              <w:ind w:left="20"/>
              <w:spacing w:after="0"/>
              <w:rPr>
                <w:sz w:val="20"/>
                <w:szCs w:val="20"/>
                <w:color w:val="auto"/>
              </w:rPr>
            </w:pPr>
            <w:r>
              <w:rPr>
                <w:rFonts w:ascii="Arial" w:cs="Arial" w:eastAsia="Arial" w:hAnsi="Arial"/>
                <w:sz w:val="15"/>
                <w:szCs w:val="15"/>
                <w:b w:val="1"/>
                <w:bCs w:val="1"/>
                <w:color w:val="auto"/>
              </w:rPr>
              <w:t>Sempra:</w:t>
            </w:r>
          </w:p>
        </w:tc>
        <w:tc>
          <w:tcPr>
            <w:tcW w:w="960" w:type="dxa"/>
            <w:vAlign w:val="bottom"/>
            <w:shd w:val="clear" w:color="auto" w:fill="D4F1F5"/>
          </w:tcPr>
          <w:p>
            <w:pPr>
              <w:spacing w:after="0"/>
              <w:rPr>
                <w:sz w:val="17"/>
                <w:szCs w:val="17"/>
                <w:color w:val="auto"/>
              </w:rPr>
            </w:pPr>
          </w:p>
        </w:tc>
        <w:tc>
          <w:tcPr>
            <w:tcW w:w="460" w:type="dxa"/>
            <w:vAlign w:val="bottom"/>
            <w:shd w:val="clear" w:color="auto" w:fill="D4F1F5"/>
          </w:tcPr>
          <w:p>
            <w:pPr>
              <w:spacing w:after="0"/>
              <w:rPr>
                <w:sz w:val="17"/>
                <w:szCs w:val="17"/>
                <w:color w:val="auto"/>
              </w:rPr>
            </w:pPr>
          </w:p>
        </w:tc>
        <w:tc>
          <w:tcPr>
            <w:tcW w:w="1100" w:type="dxa"/>
            <w:vAlign w:val="bottom"/>
            <w:shd w:val="clear" w:color="auto" w:fill="D4F1F5"/>
          </w:tcPr>
          <w:p>
            <w:pPr>
              <w:spacing w:after="0"/>
              <w:rPr>
                <w:sz w:val="17"/>
                <w:szCs w:val="17"/>
                <w:color w:val="auto"/>
              </w:rPr>
            </w:pPr>
          </w:p>
        </w:tc>
        <w:tc>
          <w:tcPr>
            <w:tcW w:w="320" w:type="dxa"/>
            <w:vAlign w:val="bottom"/>
            <w:shd w:val="clear" w:color="auto" w:fill="D4F1F5"/>
          </w:tcPr>
          <w:p>
            <w:pPr>
              <w:spacing w:after="0"/>
              <w:rPr>
                <w:sz w:val="17"/>
                <w:szCs w:val="17"/>
                <w:color w:val="auto"/>
              </w:rPr>
            </w:pPr>
          </w:p>
        </w:tc>
        <w:tc>
          <w:tcPr>
            <w:tcW w:w="4020" w:type="dxa"/>
            <w:vAlign w:val="bottom"/>
            <w:shd w:val="clear" w:color="auto" w:fill="D4F1F5"/>
          </w:tcPr>
          <w:p>
            <w:pPr>
              <w:spacing w:after="0"/>
              <w:rPr>
                <w:sz w:val="17"/>
                <w:szCs w:val="17"/>
                <w:color w:val="auto"/>
              </w:rPr>
            </w:pPr>
          </w:p>
        </w:tc>
      </w:tr>
      <w:tr>
        <w:trPr>
          <w:trHeight w:val="201"/>
        </w:trPr>
        <w:tc>
          <w:tcPr>
            <w:tcW w:w="4060" w:type="dxa"/>
            <w:vAlign w:val="bottom"/>
          </w:tcPr>
          <w:p>
            <w:pPr>
              <w:ind w:left="20"/>
              <w:spacing w:after="0"/>
              <w:rPr>
                <w:sz w:val="20"/>
                <w:szCs w:val="20"/>
                <w:color w:val="auto"/>
              </w:rPr>
            </w:pPr>
            <w:r>
              <w:rPr>
                <w:rFonts w:ascii="Arial" w:cs="Arial" w:eastAsia="Arial" w:hAnsi="Arial"/>
                <w:sz w:val="15"/>
                <w:szCs w:val="15"/>
                <w:color w:val="auto"/>
              </w:rPr>
              <w:t>Financial instruments:</w:t>
            </w:r>
          </w:p>
        </w:tc>
        <w:tc>
          <w:tcPr>
            <w:tcW w:w="9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020" w:type="dxa"/>
            <w:vAlign w:val="bottom"/>
          </w:tcPr>
          <w:p>
            <w:pPr>
              <w:spacing w:after="0"/>
              <w:rPr>
                <w:sz w:val="17"/>
                <w:szCs w:val="17"/>
                <w:color w:val="auto"/>
              </w:rPr>
            </w:pPr>
          </w:p>
        </w:tc>
      </w:tr>
      <w:tr>
        <w:trPr>
          <w:trHeight w:val="204"/>
        </w:trPr>
        <w:tc>
          <w:tcPr>
            <w:tcW w:w="4060" w:type="dxa"/>
            <w:vAlign w:val="bottom"/>
            <w:shd w:val="clear" w:color="auto" w:fill="D4F1F5"/>
          </w:tcPr>
          <w:p>
            <w:pPr>
              <w:ind w:left="140"/>
              <w:spacing w:after="0"/>
              <w:rPr>
                <w:sz w:val="20"/>
                <w:szCs w:val="20"/>
                <w:color w:val="auto"/>
              </w:rPr>
            </w:pPr>
            <w:r>
              <w:rPr>
                <w:rFonts w:ascii="Arial" w:cs="Arial" w:eastAsia="Arial" w:hAnsi="Arial"/>
                <w:sz w:val="15"/>
                <w:szCs w:val="15"/>
                <w:color w:val="auto"/>
              </w:rPr>
              <w:t>Interest rate instruments</w:t>
            </w:r>
          </w:p>
        </w:tc>
        <w:tc>
          <w:tcPr>
            <w:tcW w:w="960" w:type="dxa"/>
            <w:vAlign w:val="bottom"/>
            <w:shd w:val="clear" w:color="auto" w:fill="D4F1F5"/>
          </w:tcPr>
          <w:p>
            <w:pPr>
              <w:jc w:val="right"/>
              <w:ind w:right="785"/>
              <w:spacing w:after="0"/>
              <w:rPr>
                <w:sz w:val="20"/>
                <w:szCs w:val="20"/>
                <w:color w:val="auto"/>
              </w:rPr>
            </w:pPr>
            <w:r>
              <w:rPr>
                <w:rFonts w:ascii="Arial" w:cs="Arial" w:eastAsia="Arial" w:hAnsi="Arial"/>
                <w:sz w:val="15"/>
                <w:szCs w:val="15"/>
                <w:color w:val="auto"/>
                <w:w w:val="95"/>
              </w:rPr>
              <w:t>$</w:t>
            </w:r>
          </w:p>
        </w:tc>
        <w:tc>
          <w:tcPr>
            <w:tcW w:w="460" w:type="dxa"/>
            <w:vAlign w:val="bottom"/>
            <w:shd w:val="clear" w:color="auto" w:fill="D4F1F5"/>
          </w:tcPr>
          <w:p>
            <w:pPr>
              <w:jc w:val="right"/>
              <w:ind w:right="44"/>
              <w:spacing w:after="0"/>
              <w:rPr>
                <w:sz w:val="20"/>
                <w:szCs w:val="20"/>
                <w:color w:val="auto"/>
              </w:rPr>
            </w:pPr>
            <w:r>
              <w:rPr>
                <w:rFonts w:ascii="Arial" w:cs="Arial" w:eastAsia="Arial" w:hAnsi="Arial"/>
                <w:sz w:val="15"/>
                <w:szCs w:val="15"/>
                <w:color w:val="auto"/>
              </w:rPr>
              <w:t>(1)</w:t>
            </w:r>
          </w:p>
        </w:tc>
        <w:tc>
          <w:tcPr>
            <w:tcW w:w="1100" w:type="dxa"/>
            <w:vAlign w:val="bottom"/>
            <w:shd w:val="clear" w:color="auto" w:fill="D4F1F5"/>
          </w:tcPr>
          <w:p>
            <w:pPr>
              <w:jc w:val="right"/>
              <w:ind w:right="824"/>
              <w:spacing w:after="0"/>
              <w:rPr>
                <w:sz w:val="20"/>
                <w:szCs w:val="20"/>
                <w:color w:val="auto"/>
              </w:rPr>
            </w:pPr>
            <w:r>
              <w:rPr>
                <w:rFonts w:ascii="Arial" w:cs="Arial" w:eastAsia="Arial" w:hAnsi="Arial"/>
                <w:sz w:val="15"/>
                <w:szCs w:val="15"/>
                <w:color w:val="auto"/>
              </w:rPr>
              <w:t>$</w:t>
            </w:r>
          </w:p>
        </w:tc>
        <w:tc>
          <w:tcPr>
            <w:tcW w:w="320" w:type="dxa"/>
            <w:vAlign w:val="bottom"/>
            <w:shd w:val="clear" w:color="auto" w:fill="D4F1F5"/>
          </w:tcPr>
          <w:p>
            <w:pPr>
              <w:jc w:val="center"/>
              <w:ind w:left="24"/>
              <w:spacing w:after="0"/>
              <w:rPr>
                <w:sz w:val="20"/>
                <w:szCs w:val="20"/>
                <w:color w:val="auto"/>
              </w:rPr>
            </w:pPr>
            <w:r>
              <w:rPr>
                <w:rFonts w:ascii="Arial" w:cs="Arial" w:eastAsia="Arial" w:hAnsi="Arial"/>
                <w:sz w:val="15"/>
                <w:szCs w:val="15"/>
                <w:color w:val="auto"/>
                <w:w w:val="97"/>
              </w:rPr>
              <w:t>(2)</w:t>
            </w:r>
          </w:p>
        </w:tc>
        <w:tc>
          <w:tcPr>
            <w:tcW w:w="4020" w:type="dxa"/>
            <w:vAlign w:val="bottom"/>
            <w:shd w:val="clear" w:color="auto" w:fill="D4F1F5"/>
          </w:tcPr>
          <w:p>
            <w:pPr>
              <w:ind w:left="140"/>
              <w:spacing w:after="0"/>
              <w:rPr>
                <w:sz w:val="20"/>
                <w:szCs w:val="20"/>
                <w:color w:val="auto"/>
              </w:rPr>
            </w:pPr>
            <w:r>
              <w:rPr>
                <w:rFonts w:ascii="Arial" w:cs="Arial" w:eastAsia="Arial" w:hAnsi="Arial"/>
                <w:sz w:val="15"/>
                <w:szCs w:val="15"/>
                <w:color w:val="auto"/>
              </w:rPr>
              <w:t>Interest expense</w:t>
            </w:r>
          </w:p>
        </w:tc>
      </w:tr>
      <w:tr>
        <w:trPr>
          <w:trHeight w:val="203"/>
        </w:trPr>
        <w:tc>
          <w:tcPr>
            <w:tcW w:w="4060" w:type="dxa"/>
            <w:vAlign w:val="bottom"/>
          </w:tcPr>
          <w:p>
            <w:pPr>
              <w:ind w:left="140"/>
              <w:spacing w:after="0"/>
              <w:rPr>
                <w:sz w:val="20"/>
                <w:szCs w:val="20"/>
                <w:color w:val="auto"/>
              </w:rPr>
            </w:pPr>
            <w:r>
              <w:rPr>
                <w:rFonts w:ascii="Arial" w:cs="Arial" w:eastAsia="Arial" w:hAnsi="Arial"/>
                <w:sz w:val="15"/>
                <w:szCs w:val="15"/>
                <w:color w:val="auto"/>
              </w:rPr>
              <w:t>Interest rate instruments</w:t>
            </w:r>
          </w:p>
        </w:tc>
        <w:tc>
          <w:tcPr>
            <w:tcW w:w="960" w:type="dxa"/>
            <w:vAlign w:val="bottom"/>
          </w:tcPr>
          <w:p>
            <w:pPr>
              <w:spacing w:after="0"/>
              <w:rPr>
                <w:sz w:val="17"/>
                <w:szCs w:val="17"/>
                <w:color w:val="auto"/>
              </w:rPr>
            </w:pPr>
          </w:p>
        </w:tc>
        <w:tc>
          <w:tcPr>
            <w:tcW w:w="460" w:type="dxa"/>
            <w:vAlign w:val="bottom"/>
          </w:tcPr>
          <w:p>
            <w:pPr>
              <w:jc w:val="right"/>
              <w:ind w:right="44"/>
              <w:spacing w:after="0"/>
              <w:rPr>
                <w:sz w:val="20"/>
                <w:szCs w:val="20"/>
                <w:color w:val="auto"/>
              </w:rPr>
            </w:pPr>
            <w:r>
              <w:rPr>
                <w:rFonts w:ascii="Arial" w:cs="Arial" w:eastAsia="Arial" w:hAnsi="Arial"/>
                <w:sz w:val="15"/>
                <w:szCs w:val="15"/>
                <w:color w:val="auto"/>
              </w:rPr>
              <w:t>(1)</w:t>
            </w:r>
          </w:p>
        </w:tc>
        <w:tc>
          <w:tcPr>
            <w:tcW w:w="1100" w:type="dxa"/>
            <w:vAlign w:val="bottom"/>
          </w:tcPr>
          <w:p>
            <w:pPr>
              <w:spacing w:after="0"/>
              <w:rPr>
                <w:sz w:val="17"/>
                <w:szCs w:val="17"/>
                <w:color w:val="auto"/>
              </w:rPr>
            </w:pPr>
          </w:p>
        </w:tc>
        <w:tc>
          <w:tcPr>
            <w:tcW w:w="320" w:type="dxa"/>
            <w:vAlign w:val="bottom"/>
          </w:tcPr>
          <w:p>
            <w:pPr>
              <w:jc w:val="center"/>
              <w:ind w:left="24"/>
              <w:spacing w:after="0"/>
              <w:rPr>
                <w:sz w:val="20"/>
                <w:szCs w:val="20"/>
                <w:color w:val="auto"/>
              </w:rPr>
            </w:pPr>
            <w:r>
              <w:rPr>
                <w:rFonts w:ascii="Arial" w:cs="Arial" w:eastAsia="Arial" w:hAnsi="Arial"/>
                <w:sz w:val="15"/>
                <w:szCs w:val="15"/>
                <w:color w:val="auto"/>
                <w:w w:val="97"/>
              </w:rPr>
              <w:t>(5)</w:t>
            </w:r>
          </w:p>
        </w:tc>
        <w:tc>
          <w:tcPr>
            <w:tcW w:w="4020" w:type="dxa"/>
            <w:vAlign w:val="bottom"/>
          </w:tcPr>
          <w:p>
            <w:pPr>
              <w:ind w:left="140"/>
              <w:spacing w:after="0" w:line="203" w:lineRule="exact"/>
              <w:rPr>
                <w:sz w:val="20"/>
                <w:szCs w:val="20"/>
                <w:color w:val="auto"/>
              </w:rPr>
            </w:pPr>
            <w:r>
              <w:rPr>
                <w:rFonts w:ascii="Arial" w:cs="Arial" w:eastAsia="Arial" w:hAnsi="Arial"/>
                <w:sz w:val="15"/>
                <w:szCs w:val="15"/>
                <w:color w:val="auto"/>
              </w:rPr>
              <w:t>Equity earnings</w:t>
            </w:r>
            <w:r>
              <w:rPr>
                <w:rFonts w:ascii="Arial" w:cs="Arial" w:eastAsia="Arial" w:hAnsi="Arial"/>
                <w:sz w:val="19"/>
                <w:szCs w:val="19"/>
                <w:color w:val="auto"/>
                <w:vertAlign w:val="superscript"/>
              </w:rPr>
              <w:t>(1)</w:t>
            </w:r>
          </w:p>
        </w:tc>
      </w:tr>
      <w:tr>
        <w:trPr>
          <w:trHeight w:val="203"/>
        </w:trPr>
        <w:tc>
          <w:tcPr>
            <w:tcW w:w="4060" w:type="dxa"/>
            <w:vAlign w:val="bottom"/>
            <w:shd w:val="clear" w:color="auto" w:fill="D4F1F5"/>
          </w:tcPr>
          <w:p>
            <w:pPr>
              <w:ind w:left="140"/>
              <w:spacing w:after="0"/>
              <w:rPr>
                <w:sz w:val="20"/>
                <w:szCs w:val="20"/>
                <w:color w:val="auto"/>
              </w:rPr>
            </w:pPr>
            <w:r>
              <w:rPr>
                <w:rFonts w:ascii="Arial" w:cs="Arial" w:eastAsia="Arial" w:hAnsi="Arial"/>
                <w:sz w:val="15"/>
                <w:szCs w:val="15"/>
                <w:color w:val="auto"/>
              </w:rPr>
              <w:t>Foreign exchange instruments</w:t>
            </w:r>
          </w:p>
        </w:tc>
        <w:tc>
          <w:tcPr>
            <w:tcW w:w="960" w:type="dxa"/>
            <w:vAlign w:val="bottom"/>
            <w:shd w:val="clear" w:color="auto" w:fill="D4F1F5"/>
          </w:tcPr>
          <w:p>
            <w:pPr>
              <w:spacing w:after="0"/>
              <w:rPr>
                <w:sz w:val="17"/>
                <w:szCs w:val="17"/>
                <w:color w:val="auto"/>
              </w:rPr>
            </w:pPr>
          </w:p>
        </w:tc>
        <w:tc>
          <w:tcPr>
            <w:tcW w:w="460" w:type="dxa"/>
            <w:vAlign w:val="bottom"/>
            <w:shd w:val="clear" w:color="auto" w:fill="D4F1F5"/>
          </w:tcPr>
          <w:p>
            <w:pPr>
              <w:jc w:val="right"/>
              <w:ind w:right="44"/>
              <w:spacing w:after="0"/>
              <w:rPr>
                <w:sz w:val="20"/>
                <w:szCs w:val="20"/>
                <w:color w:val="auto"/>
              </w:rPr>
            </w:pPr>
            <w:r>
              <w:rPr>
                <w:rFonts w:ascii="Arial" w:cs="Arial" w:eastAsia="Arial" w:hAnsi="Arial"/>
                <w:sz w:val="15"/>
                <w:szCs w:val="15"/>
                <w:color w:val="auto"/>
              </w:rPr>
              <w:t>(2)</w:t>
            </w:r>
          </w:p>
        </w:tc>
        <w:tc>
          <w:tcPr>
            <w:tcW w:w="1100" w:type="dxa"/>
            <w:vAlign w:val="bottom"/>
            <w:shd w:val="clear" w:color="auto" w:fill="D4F1F5"/>
          </w:tcPr>
          <w:p>
            <w:pPr>
              <w:spacing w:after="0"/>
              <w:rPr>
                <w:sz w:val="17"/>
                <w:szCs w:val="17"/>
                <w:color w:val="auto"/>
              </w:rPr>
            </w:pPr>
          </w:p>
        </w:tc>
        <w:tc>
          <w:tcPr>
            <w:tcW w:w="320" w:type="dxa"/>
            <w:vAlign w:val="bottom"/>
            <w:shd w:val="clear" w:color="auto" w:fill="D4F1F5"/>
          </w:tcPr>
          <w:p>
            <w:pPr>
              <w:jc w:val="center"/>
              <w:ind w:left="44"/>
              <w:spacing w:after="0"/>
              <w:rPr>
                <w:sz w:val="20"/>
                <w:szCs w:val="20"/>
                <w:color w:val="auto"/>
              </w:rPr>
            </w:pPr>
            <w:r>
              <w:rPr>
                <w:rFonts w:ascii="Arial" w:cs="Arial" w:eastAsia="Arial" w:hAnsi="Arial"/>
                <w:sz w:val="15"/>
                <w:szCs w:val="15"/>
                <w:color w:val="auto"/>
                <w:w w:val="95"/>
              </w:rPr>
              <w:t>2</w:t>
            </w:r>
          </w:p>
        </w:tc>
        <w:tc>
          <w:tcPr>
            <w:tcW w:w="4020" w:type="dxa"/>
            <w:vAlign w:val="bottom"/>
            <w:shd w:val="clear" w:color="auto" w:fill="D4F1F5"/>
          </w:tcPr>
          <w:p>
            <w:pPr>
              <w:ind w:left="140"/>
              <w:spacing w:after="0"/>
              <w:rPr>
                <w:sz w:val="20"/>
                <w:szCs w:val="20"/>
                <w:color w:val="auto"/>
              </w:rPr>
            </w:pPr>
            <w:r>
              <w:rPr>
                <w:rFonts w:ascii="Arial" w:cs="Arial" w:eastAsia="Arial" w:hAnsi="Arial"/>
                <w:sz w:val="15"/>
                <w:szCs w:val="15"/>
                <w:color w:val="auto"/>
              </w:rPr>
              <w:t>Revenues: Energy-related businesses</w:t>
            </w:r>
          </w:p>
        </w:tc>
      </w:tr>
      <w:tr>
        <w:trPr>
          <w:trHeight w:val="203"/>
        </w:trPr>
        <w:tc>
          <w:tcPr>
            <w:tcW w:w="4060" w:type="dxa"/>
            <w:vAlign w:val="bottom"/>
            <w:tcBorders>
              <w:bottom w:val="single" w:sz="8" w:color="D4F1F5"/>
            </w:tcBorders>
          </w:tcPr>
          <w:p>
            <w:pPr>
              <w:ind w:left="140"/>
              <w:spacing w:after="0"/>
              <w:rPr>
                <w:sz w:val="20"/>
                <w:szCs w:val="20"/>
                <w:color w:val="auto"/>
              </w:rPr>
            </w:pPr>
            <w:r>
              <w:rPr>
                <w:rFonts w:ascii="Arial" w:cs="Arial" w:eastAsia="Arial" w:hAnsi="Arial"/>
                <w:sz w:val="15"/>
                <w:szCs w:val="15"/>
                <w:color w:val="auto"/>
              </w:rPr>
              <w:t>Foreign exchange instruments</w:t>
            </w:r>
          </w:p>
        </w:tc>
        <w:tc>
          <w:tcPr>
            <w:tcW w:w="96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color w:val="auto"/>
              </w:rPr>
              <w:t>(2)</w:t>
            </w:r>
          </w:p>
        </w:tc>
        <w:tc>
          <w:tcPr>
            <w:tcW w:w="110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jc w:val="center"/>
              <w:ind w:left="44"/>
              <w:spacing w:after="0"/>
              <w:rPr>
                <w:sz w:val="20"/>
                <w:szCs w:val="20"/>
                <w:color w:val="auto"/>
              </w:rPr>
            </w:pPr>
            <w:r>
              <w:rPr>
                <w:rFonts w:ascii="Arial" w:cs="Arial" w:eastAsia="Arial" w:hAnsi="Arial"/>
                <w:sz w:val="15"/>
                <w:szCs w:val="15"/>
                <w:color w:val="auto"/>
                <w:w w:val="95"/>
              </w:rPr>
              <w:t>2</w:t>
            </w:r>
          </w:p>
        </w:tc>
        <w:tc>
          <w:tcPr>
            <w:tcW w:w="4020" w:type="dxa"/>
            <w:vAlign w:val="bottom"/>
            <w:tcBorders>
              <w:bottom w:val="single" w:sz="8" w:color="D4F1F5"/>
            </w:tcBorders>
          </w:tcPr>
          <w:p>
            <w:pPr>
              <w:ind w:left="140"/>
              <w:spacing w:after="0" w:line="203" w:lineRule="exact"/>
              <w:rPr>
                <w:sz w:val="20"/>
                <w:szCs w:val="20"/>
                <w:color w:val="auto"/>
              </w:rPr>
            </w:pPr>
            <w:r>
              <w:rPr>
                <w:rFonts w:ascii="Arial" w:cs="Arial" w:eastAsia="Arial" w:hAnsi="Arial"/>
                <w:sz w:val="15"/>
                <w:szCs w:val="15"/>
                <w:color w:val="auto"/>
              </w:rPr>
              <w:t>Equity earnings</w:t>
            </w:r>
            <w:r>
              <w:rPr>
                <w:rFonts w:ascii="Arial" w:cs="Arial" w:eastAsia="Arial" w:hAnsi="Arial"/>
                <w:sz w:val="19"/>
                <w:szCs w:val="19"/>
                <w:color w:val="auto"/>
                <w:vertAlign w:val="superscript"/>
              </w:rPr>
              <w:t>(1)</w:t>
            </w:r>
          </w:p>
        </w:tc>
      </w:tr>
      <w:tr>
        <w:trPr>
          <w:trHeight w:val="196"/>
        </w:trPr>
        <w:tc>
          <w:tcPr>
            <w:tcW w:w="4060" w:type="dxa"/>
            <w:vAlign w:val="bottom"/>
            <w:shd w:val="clear" w:color="auto" w:fill="D4F1F5"/>
          </w:tcPr>
          <w:p>
            <w:pPr>
              <w:ind w:left="20"/>
              <w:spacing w:after="0"/>
              <w:rPr>
                <w:sz w:val="20"/>
                <w:szCs w:val="20"/>
                <w:color w:val="auto"/>
              </w:rPr>
            </w:pPr>
            <w:r>
              <w:rPr>
                <w:rFonts w:ascii="Arial" w:cs="Arial" w:eastAsia="Arial" w:hAnsi="Arial"/>
                <w:sz w:val="15"/>
                <w:szCs w:val="15"/>
                <w:color w:val="auto"/>
              </w:rPr>
              <w:t>Total, before income tax</w:t>
            </w:r>
          </w:p>
        </w:tc>
        <w:tc>
          <w:tcPr>
            <w:tcW w:w="960" w:type="dxa"/>
            <w:vAlign w:val="bottom"/>
            <w:shd w:val="clear" w:color="auto" w:fill="D4F1F5"/>
          </w:tcPr>
          <w:p>
            <w:pPr>
              <w:spacing w:after="0"/>
              <w:rPr>
                <w:sz w:val="17"/>
                <w:szCs w:val="17"/>
                <w:color w:val="auto"/>
              </w:rPr>
            </w:pPr>
          </w:p>
        </w:tc>
        <w:tc>
          <w:tcPr>
            <w:tcW w:w="460" w:type="dxa"/>
            <w:vAlign w:val="bottom"/>
            <w:shd w:val="clear" w:color="auto" w:fill="D4F1F5"/>
          </w:tcPr>
          <w:p>
            <w:pPr>
              <w:jc w:val="right"/>
              <w:ind w:right="44"/>
              <w:spacing w:after="0"/>
              <w:rPr>
                <w:sz w:val="20"/>
                <w:szCs w:val="20"/>
                <w:color w:val="auto"/>
              </w:rPr>
            </w:pPr>
            <w:r>
              <w:rPr>
                <w:rFonts w:ascii="Arial" w:cs="Arial" w:eastAsia="Arial" w:hAnsi="Arial"/>
                <w:sz w:val="15"/>
                <w:szCs w:val="15"/>
                <w:color w:val="auto"/>
              </w:rPr>
              <w:t>(6)</w:t>
            </w:r>
          </w:p>
        </w:tc>
        <w:tc>
          <w:tcPr>
            <w:tcW w:w="1100" w:type="dxa"/>
            <w:vAlign w:val="bottom"/>
            <w:shd w:val="clear" w:color="auto" w:fill="D4F1F5"/>
          </w:tcPr>
          <w:p>
            <w:pPr>
              <w:spacing w:after="0"/>
              <w:rPr>
                <w:sz w:val="17"/>
                <w:szCs w:val="17"/>
                <w:color w:val="auto"/>
              </w:rPr>
            </w:pPr>
          </w:p>
        </w:tc>
        <w:tc>
          <w:tcPr>
            <w:tcW w:w="320" w:type="dxa"/>
            <w:vAlign w:val="bottom"/>
            <w:shd w:val="clear" w:color="auto" w:fill="D4F1F5"/>
          </w:tcPr>
          <w:p>
            <w:pPr>
              <w:jc w:val="center"/>
              <w:ind w:left="24"/>
              <w:spacing w:after="0"/>
              <w:rPr>
                <w:sz w:val="20"/>
                <w:szCs w:val="20"/>
                <w:color w:val="auto"/>
              </w:rPr>
            </w:pPr>
            <w:r>
              <w:rPr>
                <w:rFonts w:ascii="Arial" w:cs="Arial" w:eastAsia="Arial" w:hAnsi="Arial"/>
                <w:sz w:val="15"/>
                <w:szCs w:val="15"/>
                <w:color w:val="auto"/>
                <w:w w:val="97"/>
              </w:rPr>
              <w:t>(3)</w:t>
            </w:r>
          </w:p>
        </w:tc>
        <w:tc>
          <w:tcPr>
            <w:tcW w:w="4020" w:type="dxa"/>
            <w:vAlign w:val="bottom"/>
            <w:shd w:val="clear" w:color="auto" w:fill="D4F1F5"/>
          </w:tcPr>
          <w:p>
            <w:pPr>
              <w:spacing w:after="0"/>
              <w:rPr>
                <w:sz w:val="17"/>
                <w:szCs w:val="17"/>
                <w:color w:val="auto"/>
              </w:rPr>
            </w:pPr>
          </w:p>
        </w:tc>
      </w:tr>
      <w:tr>
        <w:trPr>
          <w:trHeight w:val="201"/>
        </w:trPr>
        <w:tc>
          <w:tcPr>
            <w:tcW w:w="4060" w:type="dxa"/>
            <w:vAlign w:val="bottom"/>
            <w:tcBorders>
              <w:bottom w:val="single" w:sz="8" w:color="D4F1F5"/>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jc w:val="right"/>
              <w:ind w:right="84"/>
              <w:spacing w:after="0"/>
              <w:rPr>
                <w:sz w:val="20"/>
                <w:szCs w:val="20"/>
                <w:color w:val="auto"/>
              </w:rPr>
            </w:pPr>
            <w:r>
              <w:rPr>
                <w:rFonts w:ascii="Arial" w:cs="Arial" w:eastAsia="Arial" w:hAnsi="Arial"/>
                <w:sz w:val="15"/>
                <w:szCs w:val="15"/>
                <w:color w:val="auto"/>
              </w:rPr>
              <w:t>1</w:t>
            </w:r>
          </w:p>
        </w:tc>
        <w:tc>
          <w:tcPr>
            <w:tcW w:w="110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jc w:val="center"/>
              <w:ind w:left="44"/>
              <w:spacing w:after="0"/>
              <w:rPr>
                <w:sz w:val="20"/>
                <w:szCs w:val="20"/>
                <w:color w:val="auto"/>
              </w:rPr>
            </w:pPr>
            <w:r>
              <w:rPr>
                <w:rFonts w:ascii="Arial" w:cs="Arial" w:eastAsia="Arial" w:hAnsi="Arial"/>
                <w:sz w:val="15"/>
                <w:szCs w:val="15"/>
                <w:color w:val="auto"/>
                <w:w w:val="95"/>
              </w:rPr>
              <w:t>1</w:t>
            </w:r>
          </w:p>
        </w:tc>
        <w:tc>
          <w:tcPr>
            <w:tcW w:w="4020" w:type="dxa"/>
            <w:vAlign w:val="bottom"/>
            <w:tcBorders>
              <w:bottom w:val="single" w:sz="8" w:color="D4F1F5"/>
            </w:tcBorders>
          </w:tcPr>
          <w:p>
            <w:pPr>
              <w:ind w:left="140"/>
              <w:spacing w:after="0"/>
              <w:rPr>
                <w:sz w:val="20"/>
                <w:szCs w:val="20"/>
                <w:color w:val="auto"/>
              </w:rPr>
            </w:pPr>
            <w:r>
              <w:rPr>
                <w:rFonts w:ascii="Arial" w:cs="Arial" w:eastAsia="Arial" w:hAnsi="Arial"/>
                <w:sz w:val="15"/>
                <w:szCs w:val="15"/>
                <w:color w:val="auto"/>
              </w:rPr>
              <w:t>Income tax expense</w:t>
            </w:r>
          </w:p>
        </w:tc>
      </w:tr>
      <w:tr>
        <w:trPr>
          <w:trHeight w:val="197"/>
        </w:trPr>
        <w:tc>
          <w:tcPr>
            <w:tcW w:w="4060" w:type="dxa"/>
            <w:vAlign w:val="bottom"/>
            <w:shd w:val="clear" w:color="auto" w:fill="D4F1F5"/>
          </w:tcPr>
          <w:p>
            <w:pPr>
              <w:ind w:left="20"/>
              <w:spacing w:after="0"/>
              <w:rPr>
                <w:sz w:val="20"/>
                <w:szCs w:val="20"/>
                <w:color w:val="auto"/>
              </w:rPr>
            </w:pPr>
            <w:r>
              <w:rPr>
                <w:rFonts w:ascii="Arial" w:cs="Arial" w:eastAsia="Arial" w:hAnsi="Arial"/>
                <w:sz w:val="15"/>
                <w:szCs w:val="15"/>
                <w:color w:val="auto"/>
              </w:rPr>
              <w:t>Total, net of income tax</w:t>
            </w:r>
          </w:p>
        </w:tc>
        <w:tc>
          <w:tcPr>
            <w:tcW w:w="960" w:type="dxa"/>
            <w:vAlign w:val="bottom"/>
            <w:shd w:val="clear" w:color="auto" w:fill="D4F1F5"/>
          </w:tcPr>
          <w:p>
            <w:pPr>
              <w:spacing w:after="0"/>
              <w:rPr>
                <w:sz w:val="17"/>
                <w:szCs w:val="17"/>
                <w:color w:val="auto"/>
              </w:rPr>
            </w:pPr>
          </w:p>
        </w:tc>
        <w:tc>
          <w:tcPr>
            <w:tcW w:w="460" w:type="dxa"/>
            <w:vAlign w:val="bottom"/>
            <w:shd w:val="clear" w:color="auto" w:fill="D4F1F5"/>
          </w:tcPr>
          <w:p>
            <w:pPr>
              <w:jc w:val="right"/>
              <w:ind w:right="44"/>
              <w:spacing w:after="0"/>
              <w:rPr>
                <w:sz w:val="20"/>
                <w:szCs w:val="20"/>
                <w:color w:val="auto"/>
              </w:rPr>
            </w:pPr>
            <w:r>
              <w:rPr>
                <w:rFonts w:ascii="Arial" w:cs="Arial" w:eastAsia="Arial" w:hAnsi="Arial"/>
                <w:sz w:val="15"/>
                <w:szCs w:val="15"/>
                <w:color w:val="auto"/>
              </w:rPr>
              <w:t>(5)</w:t>
            </w:r>
          </w:p>
        </w:tc>
        <w:tc>
          <w:tcPr>
            <w:tcW w:w="1100" w:type="dxa"/>
            <w:vAlign w:val="bottom"/>
            <w:shd w:val="clear" w:color="auto" w:fill="D4F1F5"/>
          </w:tcPr>
          <w:p>
            <w:pPr>
              <w:spacing w:after="0"/>
              <w:rPr>
                <w:sz w:val="17"/>
                <w:szCs w:val="17"/>
                <w:color w:val="auto"/>
              </w:rPr>
            </w:pPr>
          </w:p>
        </w:tc>
        <w:tc>
          <w:tcPr>
            <w:tcW w:w="320" w:type="dxa"/>
            <w:vAlign w:val="bottom"/>
            <w:shd w:val="clear" w:color="auto" w:fill="D4F1F5"/>
          </w:tcPr>
          <w:p>
            <w:pPr>
              <w:jc w:val="center"/>
              <w:ind w:left="24"/>
              <w:spacing w:after="0"/>
              <w:rPr>
                <w:sz w:val="20"/>
                <w:szCs w:val="20"/>
                <w:color w:val="auto"/>
              </w:rPr>
            </w:pPr>
            <w:r>
              <w:rPr>
                <w:rFonts w:ascii="Arial" w:cs="Arial" w:eastAsia="Arial" w:hAnsi="Arial"/>
                <w:sz w:val="15"/>
                <w:szCs w:val="15"/>
                <w:color w:val="auto"/>
                <w:w w:val="97"/>
              </w:rPr>
              <w:t>(2)</w:t>
            </w:r>
          </w:p>
        </w:tc>
        <w:tc>
          <w:tcPr>
            <w:tcW w:w="4020" w:type="dxa"/>
            <w:vAlign w:val="bottom"/>
            <w:shd w:val="clear" w:color="auto" w:fill="D4F1F5"/>
          </w:tcPr>
          <w:p>
            <w:pPr>
              <w:spacing w:after="0"/>
              <w:rPr>
                <w:sz w:val="17"/>
                <w:szCs w:val="17"/>
                <w:color w:val="auto"/>
              </w:rPr>
            </w:pPr>
          </w:p>
        </w:tc>
      </w:tr>
      <w:tr>
        <w:trPr>
          <w:trHeight w:val="201"/>
        </w:trPr>
        <w:tc>
          <w:tcPr>
            <w:tcW w:w="4060" w:type="dxa"/>
            <w:vAlign w:val="bottom"/>
            <w:tcBorders>
              <w:bottom w:val="single" w:sz="8" w:color="D4F1F5"/>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jc w:val="right"/>
              <w:ind w:right="84"/>
              <w:spacing w:after="0"/>
              <w:rPr>
                <w:sz w:val="20"/>
                <w:szCs w:val="20"/>
                <w:color w:val="auto"/>
              </w:rPr>
            </w:pPr>
            <w:r>
              <w:rPr>
                <w:rFonts w:ascii="Arial" w:cs="Arial" w:eastAsia="Arial" w:hAnsi="Arial"/>
                <w:sz w:val="15"/>
                <w:szCs w:val="15"/>
                <w:color w:val="auto"/>
              </w:rPr>
              <w:t>2</w:t>
            </w:r>
          </w:p>
        </w:tc>
        <w:tc>
          <w:tcPr>
            <w:tcW w:w="110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jc w:val="center"/>
              <w:ind w:left="44"/>
              <w:spacing w:after="0"/>
              <w:rPr>
                <w:sz w:val="20"/>
                <w:szCs w:val="20"/>
                <w:color w:val="auto"/>
              </w:rPr>
            </w:pPr>
            <w:r>
              <w:rPr>
                <w:rFonts w:ascii="Arial" w:cs="Arial" w:eastAsia="Arial" w:hAnsi="Arial"/>
                <w:sz w:val="15"/>
                <w:szCs w:val="15"/>
                <w:color w:val="auto"/>
                <w:w w:val="95"/>
              </w:rPr>
              <w:t>1</w:t>
            </w:r>
          </w:p>
        </w:tc>
        <w:tc>
          <w:tcPr>
            <w:tcW w:w="4020" w:type="dxa"/>
            <w:vAlign w:val="bottom"/>
            <w:tcBorders>
              <w:bottom w:val="single" w:sz="8" w:color="D4F1F5"/>
            </w:tcBorders>
          </w:tcPr>
          <w:p>
            <w:pPr>
              <w:ind w:left="140"/>
              <w:spacing w:after="0"/>
              <w:rPr>
                <w:sz w:val="20"/>
                <w:szCs w:val="20"/>
                <w:color w:val="auto"/>
              </w:rPr>
            </w:pPr>
            <w:r>
              <w:rPr>
                <w:rFonts w:ascii="Arial" w:cs="Arial" w:eastAsia="Arial" w:hAnsi="Arial"/>
                <w:sz w:val="15"/>
                <w:szCs w:val="15"/>
                <w:color w:val="auto"/>
              </w:rPr>
              <w:t>Earnings attributable to noncontrolling interests</w:t>
            </w:r>
          </w:p>
        </w:tc>
      </w:tr>
      <w:tr>
        <w:trPr>
          <w:trHeight w:val="204"/>
        </w:trPr>
        <w:tc>
          <w:tcPr>
            <w:tcW w:w="4060" w:type="dxa"/>
            <w:vAlign w:val="bottom"/>
            <w:tcBorders>
              <w:bottom w:val="single" w:sz="8" w:color="D4F1F5"/>
            </w:tcBorders>
            <w:shd w:val="clear" w:color="auto" w:fill="D4F1F5"/>
          </w:tcPr>
          <w:p>
            <w:pPr>
              <w:ind w:left="20"/>
              <w:spacing w:after="0"/>
              <w:rPr>
                <w:sz w:val="20"/>
                <w:szCs w:val="20"/>
                <w:color w:val="auto"/>
              </w:rPr>
            </w:pPr>
            <w:r>
              <w:rPr>
                <w:rFonts w:ascii="Arial" w:cs="Arial" w:eastAsia="Arial" w:hAnsi="Arial"/>
                <w:sz w:val="15"/>
                <w:szCs w:val="15"/>
                <w:color w:val="auto"/>
              </w:rPr>
              <w:t>Total, net of income tax and after NCI</w:t>
            </w:r>
          </w:p>
        </w:tc>
        <w:tc>
          <w:tcPr>
            <w:tcW w:w="960" w:type="dxa"/>
            <w:vAlign w:val="bottom"/>
            <w:tcBorders>
              <w:bottom w:val="single" w:sz="8" w:color="auto"/>
            </w:tcBorders>
            <w:shd w:val="clear" w:color="auto" w:fill="D4F1F5"/>
          </w:tcPr>
          <w:p>
            <w:pPr>
              <w:jc w:val="right"/>
              <w:ind w:right="785"/>
              <w:spacing w:after="0"/>
              <w:rPr>
                <w:sz w:val="20"/>
                <w:szCs w:val="20"/>
                <w:color w:val="auto"/>
              </w:rPr>
            </w:pPr>
            <w:r>
              <w:rPr>
                <w:rFonts w:ascii="Arial" w:cs="Arial" w:eastAsia="Arial" w:hAnsi="Arial"/>
                <w:sz w:val="15"/>
                <w:szCs w:val="15"/>
                <w:color w:val="auto"/>
                <w:w w:val="95"/>
              </w:rPr>
              <w:t>$</w:t>
            </w:r>
          </w:p>
        </w:tc>
        <w:tc>
          <w:tcPr>
            <w:tcW w:w="460" w:type="dxa"/>
            <w:vAlign w:val="bottom"/>
            <w:tcBorders>
              <w:bottom w:val="single" w:sz="8" w:color="auto"/>
            </w:tcBorders>
            <w:shd w:val="clear" w:color="auto" w:fill="D4F1F5"/>
          </w:tcPr>
          <w:p>
            <w:pPr>
              <w:jc w:val="right"/>
              <w:ind w:right="44"/>
              <w:spacing w:after="0"/>
              <w:rPr>
                <w:sz w:val="20"/>
                <w:szCs w:val="20"/>
                <w:color w:val="auto"/>
              </w:rPr>
            </w:pPr>
            <w:r>
              <w:rPr>
                <w:rFonts w:ascii="Arial" w:cs="Arial" w:eastAsia="Arial" w:hAnsi="Arial"/>
                <w:sz w:val="15"/>
                <w:szCs w:val="15"/>
                <w:color w:val="auto"/>
              </w:rPr>
              <w:t>(3)</w:t>
            </w:r>
          </w:p>
        </w:tc>
        <w:tc>
          <w:tcPr>
            <w:tcW w:w="1100" w:type="dxa"/>
            <w:vAlign w:val="bottom"/>
            <w:tcBorders>
              <w:bottom w:val="single" w:sz="8" w:color="auto"/>
            </w:tcBorders>
            <w:shd w:val="clear" w:color="auto" w:fill="D4F1F5"/>
          </w:tcPr>
          <w:p>
            <w:pPr>
              <w:jc w:val="right"/>
              <w:ind w:right="824"/>
              <w:spacing w:after="0"/>
              <w:rPr>
                <w:sz w:val="20"/>
                <w:szCs w:val="20"/>
                <w:color w:val="auto"/>
              </w:rPr>
            </w:pPr>
            <w:r>
              <w:rPr>
                <w:rFonts w:ascii="Arial" w:cs="Arial" w:eastAsia="Arial" w:hAnsi="Arial"/>
                <w:sz w:val="15"/>
                <w:szCs w:val="15"/>
                <w:color w:val="auto"/>
              </w:rPr>
              <w:t>$</w:t>
            </w:r>
          </w:p>
        </w:tc>
        <w:tc>
          <w:tcPr>
            <w:tcW w:w="320" w:type="dxa"/>
            <w:vAlign w:val="bottom"/>
            <w:tcBorders>
              <w:bottom w:val="single" w:sz="8" w:color="auto"/>
            </w:tcBorders>
            <w:shd w:val="clear" w:color="auto" w:fill="D4F1F5"/>
          </w:tcPr>
          <w:p>
            <w:pPr>
              <w:jc w:val="center"/>
              <w:ind w:left="24"/>
              <w:spacing w:after="0"/>
              <w:rPr>
                <w:sz w:val="20"/>
                <w:szCs w:val="20"/>
                <w:color w:val="auto"/>
              </w:rPr>
            </w:pPr>
            <w:r>
              <w:rPr>
                <w:rFonts w:ascii="Arial" w:cs="Arial" w:eastAsia="Arial" w:hAnsi="Arial"/>
                <w:sz w:val="15"/>
                <w:szCs w:val="15"/>
                <w:color w:val="auto"/>
                <w:w w:val="97"/>
              </w:rPr>
              <w:t>(1)</w:t>
            </w:r>
          </w:p>
        </w:tc>
        <w:tc>
          <w:tcPr>
            <w:tcW w:w="4020" w:type="dxa"/>
            <w:vAlign w:val="bottom"/>
            <w:tcBorders>
              <w:bottom w:val="single" w:sz="8" w:color="D4F1F5"/>
            </w:tcBorders>
            <w:shd w:val="clear" w:color="auto" w:fill="D4F1F5"/>
          </w:tcPr>
          <w:p>
            <w:pPr>
              <w:spacing w:after="0"/>
              <w:rPr>
                <w:sz w:val="17"/>
                <w:szCs w:val="17"/>
                <w:color w:val="auto"/>
              </w:rPr>
            </w:pPr>
          </w:p>
        </w:tc>
      </w:tr>
      <w:tr>
        <w:trPr>
          <w:trHeight w:val="203"/>
        </w:trPr>
        <w:tc>
          <w:tcPr>
            <w:tcW w:w="40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020" w:type="dxa"/>
            <w:vAlign w:val="bottom"/>
          </w:tcPr>
          <w:p>
            <w:pPr>
              <w:spacing w:after="0"/>
              <w:rPr>
                <w:sz w:val="17"/>
                <w:szCs w:val="17"/>
                <w:color w:val="auto"/>
              </w:rPr>
            </w:pPr>
          </w:p>
        </w:tc>
      </w:tr>
      <w:tr>
        <w:trPr>
          <w:trHeight w:val="203"/>
        </w:trPr>
        <w:tc>
          <w:tcPr>
            <w:tcW w:w="4060" w:type="dxa"/>
            <w:vAlign w:val="bottom"/>
            <w:shd w:val="clear" w:color="auto" w:fill="D4F1F5"/>
          </w:tcPr>
          <w:p>
            <w:pPr>
              <w:ind w:left="20"/>
              <w:spacing w:after="0" w:line="203" w:lineRule="exact"/>
              <w:rPr>
                <w:sz w:val="20"/>
                <w:szCs w:val="20"/>
                <w:color w:val="auto"/>
              </w:rPr>
            </w:pPr>
            <w:r>
              <w:rPr>
                <w:rFonts w:ascii="Arial" w:cs="Arial" w:eastAsia="Arial" w:hAnsi="Arial"/>
                <w:sz w:val="15"/>
                <w:szCs w:val="15"/>
                <w:color w:val="auto"/>
              </w:rPr>
              <w:t>Pension and PBOP</w:t>
            </w:r>
            <w:r>
              <w:rPr>
                <w:rFonts w:ascii="Arial" w:cs="Arial" w:eastAsia="Arial" w:hAnsi="Arial"/>
                <w:sz w:val="19"/>
                <w:szCs w:val="19"/>
                <w:color w:val="auto"/>
                <w:vertAlign w:val="superscript"/>
              </w:rPr>
              <w:t>(2)</w:t>
            </w:r>
            <w:r>
              <w:rPr>
                <w:rFonts w:ascii="Arial" w:cs="Arial" w:eastAsia="Arial" w:hAnsi="Arial"/>
                <w:sz w:val="15"/>
                <w:szCs w:val="15"/>
                <w:color w:val="auto"/>
              </w:rPr>
              <w:t>:</w:t>
            </w:r>
          </w:p>
        </w:tc>
        <w:tc>
          <w:tcPr>
            <w:tcW w:w="960" w:type="dxa"/>
            <w:vAlign w:val="bottom"/>
            <w:shd w:val="clear" w:color="auto" w:fill="D4F1F5"/>
          </w:tcPr>
          <w:p>
            <w:pPr>
              <w:spacing w:after="0"/>
              <w:rPr>
                <w:sz w:val="17"/>
                <w:szCs w:val="17"/>
                <w:color w:val="auto"/>
              </w:rPr>
            </w:pPr>
          </w:p>
        </w:tc>
        <w:tc>
          <w:tcPr>
            <w:tcW w:w="460" w:type="dxa"/>
            <w:vAlign w:val="bottom"/>
            <w:shd w:val="clear" w:color="auto" w:fill="D4F1F5"/>
          </w:tcPr>
          <w:p>
            <w:pPr>
              <w:spacing w:after="0"/>
              <w:rPr>
                <w:sz w:val="17"/>
                <w:szCs w:val="17"/>
                <w:color w:val="auto"/>
              </w:rPr>
            </w:pPr>
          </w:p>
        </w:tc>
        <w:tc>
          <w:tcPr>
            <w:tcW w:w="1100" w:type="dxa"/>
            <w:vAlign w:val="bottom"/>
            <w:shd w:val="clear" w:color="auto" w:fill="D4F1F5"/>
          </w:tcPr>
          <w:p>
            <w:pPr>
              <w:spacing w:after="0"/>
              <w:rPr>
                <w:sz w:val="17"/>
                <w:szCs w:val="17"/>
                <w:color w:val="auto"/>
              </w:rPr>
            </w:pPr>
          </w:p>
        </w:tc>
        <w:tc>
          <w:tcPr>
            <w:tcW w:w="320" w:type="dxa"/>
            <w:vAlign w:val="bottom"/>
            <w:shd w:val="clear" w:color="auto" w:fill="D4F1F5"/>
          </w:tcPr>
          <w:p>
            <w:pPr>
              <w:spacing w:after="0"/>
              <w:rPr>
                <w:sz w:val="17"/>
                <w:szCs w:val="17"/>
                <w:color w:val="auto"/>
              </w:rPr>
            </w:pPr>
          </w:p>
        </w:tc>
        <w:tc>
          <w:tcPr>
            <w:tcW w:w="4020" w:type="dxa"/>
            <w:vAlign w:val="bottom"/>
            <w:shd w:val="clear" w:color="auto" w:fill="D4F1F5"/>
          </w:tcPr>
          <w:p>
            <w:pPr>
              <w:spacing w:after="0"/>
              <w:rPr>
                <w:sz w:val="17"/>
                <w:szCs w:val="17"/>
                <w:color w:val="auto"/>
              </w:rPr>
            </w:pPr>
          </w:p>
        </w:tc>
      </w:tr>
      <w:tr>
        <w:trPr>
          <w:trHeight w:val="201"/>
        </w:trPr>
        <w:tc>
          <w:tcPr>
            <w:tcW w:w="4060" w:type="dxa"/>
            <w:vAlign w:val="bottom"/>
          </w:tcPr>
          <w:p>
            <w:pPr>
              <w:ind w:left="140"/>
              <w:spacing w:after="0"/>
              <w:rPr>
                <w:sz w:val="20"/>
                <w:szCs w:val="20"/>
                <w:color w:val="auto"/>
              </w:rPr>
            </w:pPr>
            <w:r>
              <w:rPr>
                <w:rFonts w:ascii="Arial" w:cs="Arial" w:eastAsia="Arial" w:hAnsi="Arial"/>
                <w:sz w:val="15"/>
                <w:szCs w:val="15"/>
                <w:color w:val="auto"/>
              </w:rPr>
              <w:t>Amortization of actuarial loss</w:t>
            </w:r>
          </w:p>
        </w:tc>
        <w:tc>
          <w:tcPr>
            <w:tcW w:w="960" w:type="dxa"/>
            <w:vAlign w:val="bottom"/>
          </w:tcPr>
          <w:p>
            <w:pPr>
              <w:jc w:val="right"/>
              <w:ind w:right="785"/>
              <w:spacing w:after="0"/>
              <w:rPr>
                <w:sz w:val="20"/>
                <w:szCs w:val="20"/>
                <w:color w:val="auto"/>
              </w:rPr>
            </w:pPr>
            <w:r>
              <w:rPr>
                <w:rFonts w:ascii="Arial" w:cs="Arial" w:eastAsia="Arial" w:hAnsi="Arial"/>
                <w:sz w:val="15"/>
                <w:szCs w:val="15"/>
                <w:color w:val="auto"/>
                <w:w w:val="95"/>
              </w:rPr>
              <w:t>$</w:t>
            </w:r>
          </w:p>
        </w:tc>
        <w:tc>
          <w:tcPr>
            <w:tcW w:w="460" w:type="dxa"/>
            <w:vAlign w:val="bottom"/>
          </w:tcPr>
          <w:p>
            <w:pPr>
              <w:jc w:val="right"/>
              <w:ind w:right="84"/>
              <w:spacing w:after="0"/>
              <w:rPr>
                <w:sz w:val="20"/>
                <w:szCs w:val="20"/>
                <w:color w:val="auto"/>
              </w:rPr>
            </w:pPr>
            <w:r>
              <w:rPr>
                <w:rFonts w:ascii="Arial" w:cs="Arial" w:eastAsia="Arial" w:hAnsi="Arial"/>
                <w:sz w:val="15"/>
                <w:szCs w:val="15"/>
                <w:color w:val="auto"/>
              </w:rPr>
              <w:t>1</w:t>
            </w:r>
          </w:p>
        </w:tc>
        <w:tc>
          <w:tcPr>
            <w:tcW w:w="1100" w:type="dxa"/>
            <w:vAlign w:val="bottom"/>
          </w:tcPr>
          <w:p>
            <w:pPr>
              <w:jc w:val="right"/>
              <w:ind w:right="824"/>
              <w:spacing w:after="0"/>
              <w:rPr>
                <w:sz w:val="20"/>
                <w:szCs w:val="20"/>
                <w:color w:val="auto"/>
              </w:rPr>
            </w:pPr>
            <w:r>
              <w:rPr>
                <w:rFonts w:ascii="Arial" w:cs="Arial" w:eastAsia="Arial" w:hAnsi="Arial"/>
                <w:sz w:val="15"/>
                <w:szCs w:val="15"/>
                <w:color w:val="auto"/>
              </w:rPr>
              <w:t>$</w:t>
            </w:r>
          </w:p>
        </w:tc>
        <w:tc>
          <w:tcPr>
            <w:tcW w:w="320" w:type="dxa"/>
            <w:vAlign w:val="bottom"/>
          </w:tcPr>
          <w:p>
            <w:pPr>
              <w:jc w:val="center"/>
              <w:ind w:left="44"/>
              <w:spacing w:after="0"/>
              <w:rPr>
                <w:sz w:val="20"/>
                <w:szCs w:val="20"/>
                <w:color w:val="auto"/>
              </w:rPr>
            </w:pPr>
            <w:r>
              <w:rPr>
                <w:rFonts w:ascii="Arial" w:cs="Arial" w:eastAsia="Arial" w:hAnsi="Arial"/>
                <w:sz w:val="15"/>
                <w:szCs w:val="15"/>
                <w:color w:val="auto"/>
                <w:w w:val="95"/>
              </w:rPr>
              <w:t>2</w:t>
            </w:r>
          </w:p>
        </w:tc>
        <w:tc>
          <w:tcPr>
            <w:tcW w:w="4020" w:type="dxa"/>
            <w:vAlign w:val="bottom"/>
          </w:tcPr>
          <w:p>
            <w:pPr>
              <w:ind w:left="140"/>
              <w:spacing w:after="0"/>
              <w:rPr>
                <w:sz w:val="20"/>
                <w:szCs w:val="20"/>
                <w:color w:val="auto"/>
              </w:rPr>
            </w:pPr>
            <w:r>
              <w:rPr>
                <w:rFonts w:ascii="Arial" w:cs="Arial" w:eastAsia="Arial" w:hAnsi="Arial"/>
                <w:sz w:val="15"/>
                <w:szCs w:val="15"/>
                <w:color w:val="auto"/>
              </w:rPr>
              <w:t>Other income, net</w:t>
            </w:r>
          </w:p>
        </w:tc>
      </w:tr>
      <w:tr>
        <w:trPr>
          <w:trHeight w:val="204"/>
        </w:trPr>
        <w:tc>
          <w:tcPr>
            <w:tcW w:w="4060" w:type="dxa"/>
            <w:vAlign w:val="bottom"/>
            <w:shd w:val="clear" w:color="auto" w:fill="D4F1F5"/>
          </w:tcPr>
          <w:p>
            <w:pPr>
              <w:ind w:left="140"/>
              <w:spacing w:after="0"/>
              <w:rPr>
                <w:sz w:val="20"/>
                <w:szCs w:val="20"/>
                <w:color w:val="auto"/>
              </w:rPr>
            </w:pPr>
            <w:r>
              <w:rPr>
                <w:rFonts w:ascii="Arial" w:cs="Arial" w:eastAsia="Arial" w:hAnsi="Arial"/>
                <w:sz w:val="15"/>
                <w:szCs w:val="15"/>
                <w:color w:val="auto"/>
              </w:rPr>
              <w:t>Settlement charges</w:t>
            </w:r>
          </w:p>
        </w:tc>
        <w:tc>
          <w:tcPr>
            <w:tcW w:w="960" w:type="dxa"/>
            <w:vAlign w:val="bottom"/>
            <w:tcBorders>
              <w:bottom w:val="single" w:sz="8" w:color="auto"/>
            </w:tcBorders>
            <w:shd w:val="clear" w:color="auto" w:fill="D4F1F5"/>
          </w:tcPr>
          <w:p>
            <w:pPr>
              <w:spacing w:after="0"/>
              <w:rPr>
                <w:sz w:val="17"/>
                <w:szCs w:val="17"/>
                <w:color w:val="auto"/>
              </w:rPr>
            </w:pPr>
          </w:p>
        </w:tc>
        <w:tc>
          <w:tcPr>
            <w:tcW w:w="460" w:type="dxa"/>
            <w:vAlign w:val="bottom"/>
            <w:tcBorders>
              <w:bottom w:val="single" w:sz="8" w:color="auto"/>
            </w:tcBorders>
            <w:shd w:val="clear" w:color="auto" w:fill="D4F1F5"/>
          </w:tcPr>
          <w:p>
            <w:pPr>
              <w:jc w:val="right"/>
              <w:ind w:right="84"/>
              <w:spacing w:after="0"/>
              <w:rPr>
                <w:sz w:val="20"/>
                <w:szCs w:val="20"/>
                <w:color w:val="auto"/>
              </w:rPr>
            </w:pPr>
            <w:r>
              <w:rPr>
                <w:rFonts w:ascii="Arial" w:cs="Arial" w:eastAsia="Arial" w:hAnsi="Arial"/>
                <w:sz w:val="15"/>
                <w:szCs w:val="15"/>
                <w:color w:val="auto"/>
              </w:rPr>
              <w:t>—</w:t>
            </w:r>
          </w:p>
        </w:tc>
        <w:tc>
          <w:tcPr>
            <w:tcW w:w="1100" w:type="dxa"/>
            <w:vAlign w:val="bottom"/>
            <w:tcBorders>
              <w:bottom w:val="single" w:sz="8" w:color="auto"/>
            </w:tcBorders>
            <w:shd w:val="clear" w:color="auto" w:fill="D4F1F5"/>
          </w:tcPr>
          <w:p>
            <w:pPr>
              <w:spacing w:after="0"/>
              <w:rPr>
                <w:sz w:val="17"/>
                <w:szCs w:val="17"/>
                <w:color w:val="auto"/>
              </w:rPr>
            </w:pPr>
          </w:p>
        </w:tc>
        <w:tc>
          <w:tcPr>
            <w:tcW w:w="320" w:type="dxa"/>
            <w:vAlign w:val="bottom"/>
            <w:tcBorders>
              <w:bottom w:val="single" w:sz="8" w:color="auto"/>
            </w:tcBorders>
            <w:shd w:val="clear" w:color="auto" w:fill="D4F1F5"/>
          </w:tcPr>
          <w:p>
            <w:pPr>
              <w:jc w:val="center"/>
              <w:ind w:left="44"/>
              <w:spacing w:after="0"/>
              <w:rPr>
                <w:sz w:val="20"/>
                <w:szCs w:val="20"/>
                <w:color w:val="auto"/>
              </w:rPr>
            </w:pPr>
            <w:r>
              <w:rPr>
                <w:rFonts w:ascii="Arial" w:cs="Arial" w:eastAsia="Arial" w:hAnsi="Arial"/>
                <w:sz w:val="15"/>
                <w:szCs w:val="15"/>
                <w:color w:val="auto"/>
                <w:w w:val="95"/>
              </w:rPr>
              <w:t>4</w:t>
            </w:r>
          </w:p>
        </w:tc>
        <w:tc>
          <w:tcPr>
            <w:tcW w:w="4020" w:type="dxa"/>
            <w:vAlign w:val="bottom"/>
            <w:shd w:val="clear" w:color="auto" w:fill="D4F1F5"/>
          </w:tcPr>
          <w:p>
            <w:pPr>
              <w:ind w:left="140"/>
              <w:spacing w:after="0"/>
              <w:rPr>
                <w:sz w:val="20"/>
                <w:szCs w:val="20"/>
                <w:color w:val="auto"/>
              </w:rPr>
            </w:pPr>
            <w:r>
              <w:rPr>
                <w:rFonts w:ascii="Arial" w:cs="Arial" w:eastAsia="Arial" w:hAnsi="Arial"/>
                <w:sz w:val="15"/>
                <w:szCs w:val="15"/>
                <w:color w:val="auto"/>
              </w:rPr>
              <w:t>Other income, net</w:t>
            </w:r>
          </w:p>
        </w:tc>
      </w:tr>
      <w:tr>
        <w:trPr>
          <w:trHeight w:val="195"/>
        </w:trPr>
        <w:tc>
          <w:tcPr>
            <w:tcW w:w="4060" w:type="dxa"/>
            <w:vAlign w:val="bottom"/>
          </w:tcPr>
          <w:p>
            <w:pPr>
              <w:ind w:left="20"/>
              <w:spacing w:after="0"/>
              <w:rPr>
                <w:sz w:val="20"/>
                <w:szCs w:val="20"/>
                <w:color w:val="auto"/>
              </w:rPr>
            </w:pPr>
            <w:r>
              <w:rPr>
                <w:rFonts w:ascii="Arial" w:cs="Arial" w:eastAsia="Arial" w:hAnsi="Arial"/>
                <w:sz w:val="15"/>
                <w:szCs w:val="15"/>
                <w:color w:val="auto"/>
              </w:rPr>
              <w:t>Total, before income tax</w:t>
            </w:r>
          </w:p>
        </w:tc>
        <w:tc>
          <w:tcPr>
            <w:tcW w:w="960" w:type="dxa"/>
            <w:vAlign w:val="bottom"/>
          </w:tcPr>
          <w:p>
            <w:pPr>
              <w:spacing w:after="0"/>
              <w:rPr>
                <w:sz w:val="16"/>
                <w:szCs w:val="16"/>
                <w:color w:val="auto"/>
              </w:rPr>
            </w:pPr>
          </w:p>
        </w:tc>
        <w:tc>
          <w:tcPr>
            <w:tcW w:w="460" w:type="dxa"/>
            <w:vAlign w:val="bottom"/>
          </w:tcPr>
          <w:p>
            <w:pPr>
              <w:jc w:val="right"/>
              <w:ind w:right="84"/>
              <w:spacing w:after="0"/>
              <w:rPr>
                <w:sz w:val="20"/>
                <w:szCs w:val="20"/>
                <w:color w:val="auto"/>
              </w:rPr>
            </w:pPr>
            <w:r>
              <w:rPr>
                <w:rFonts w:ascii="Arial" w:cs="Arial" w:eastAsia="Arial" w:hAnsi="Arial"/>
                <w:sz w:val="15"/>
                <w:szCs w:val="15"/>
                <w:color w:val="auto"/>
              </w:rPr>
              <w:t>1</w:t>
            </w:r>
          </w:p>
        </w:tc>
        <w:tc>
          <w:tcPr>
            <w:tcW w:w="1100" w:type="dxa"/>
            <w:vAlign w:val="bottom"/>
          </w:tcPr>
          <w:p>
            <w:pPr>
              <w:spacing w:after="0"/>
              <w:rPr>
                <w:sz w:val="16"/>
                <w:szCs w:val="16"/>
                <w:color w:val="auto"/>
              </w:rPr>
            </w:pPr>
          </w:p>
        </w:tc>
        <w:tc>
          <w:tcPr>
            <w:tcW w:w="320" w:type="dxa"/>
            <w:vAlign w:val="bottom"/>
          </w:tcPr>
          <w:p>
            <w:pPr>
              <w:jc w:val="center"/>
              <w:ind w:left="44"/>
              <w:spacing w:after="0"/>
              <w:rPr>
                <w:sz w:val="20"/>
                <w:szCs w:val="20"/>
                <w:color w:val="auto"/>
              </w:rPr>
            </w:pPr>
            <w:r>
              <w:rPr>
                <w:rFonts w:ascii="Arial" w:cs="Arial" w:eastAsia="Arial" w:hAnsi="Arial"/>
                <w:sz w:val="15"/>
                <w:szCs w:val="15"/>
                <w:color w:val="auto"/>
                <w:w w:val="95"/>
              </w:rPr>
              <w:t>6</w:t>
            </w:r>
          </w:p>
        </w:tc>
        <w:tc>
          <w:tcPr>
            <w:tcW w:w="4020" w:type="dxa"/>
            <w:vAlign w:val="bottom"/>
          </w:tcPr>
          <w:p>
            <w:pPr>
              <w:spacing w:after="0"/>
              <w:rPr>
                <w:sz w:val="16"/>
                <w:szCs w:val="16"/>
                <w:color w:val="auto"/>
              </w:rPr>
            </w:pPr>
          </w:p>
        </w:tc>
      </w:tr>
      <w:tr>
        <w:trPr>
          <w:trHeight w:val="203"/>
        </w:trPr>
        <w:tc>
          <w:tcPr>
            <w:tcW w:w="4060" w:type="dxa"/>
            <w:vAlign w:val="bottom"/>
            <w:shd w:val="clear" w:color="auto" w:fill="D4F1F5"/>
          </w:tcPr>
          <w:p>
            <w:pPr>
              <w:spacing w:after="0"/>
              <w:rPr>
                <w:sz w:val="17"/>
                <w:szCs w:val="17"/>
                <w:color w:val="auto"/>
              </w:rPr>
            </w:pPr>
          </w:p>
        </w:tc>
        <w:tc>
          <w:tcPr>
            <w:tcW w:w="960" w:type="dxa"/>
            <w:vAlign w:val="bottom"/>
            <w:tcBorders>
              <w:bottom w:val="single" w:sz="8" w:color="auto"/>
            </w:tcBorders>
            <w:shd w:val="clear" w:color="auto" w:fill="D4F1F5"/>
          </w:tcPr>
          <w:p>
            <w:pPr>
              <w:spacing w:after="0"/>
              <w:rPr>
                <w:sz w:val="17"/>
                <w:szCs w:val="17"/>
                <w:color w:val="auto"/>
              </w:rPr>
            </w:pPr>
          </w:p>
        </w:tc>
        <w:tc>
          <w:tcPr>
            <w:tcW w:w="460" w:type="dxa"/>
            <w:vAlign w:val="bottom"/>
            <w:tcBorders>
              <w:bottom w:val="single" w:sz="8" w:color="auto"/>
            </w:tcBorders>
            <w:shd w:val="clear" w:color="auto" w:fill="D4F1F5"/>
          </w:tcPr>
          <w:p>
            <w:pPr>
              <w:jc w:val="right"/>
              <w:ind w:right="84"/>
              <w:spacing w:after="0"/>
              <w:rPr>
                <w:sz w:val="20"/>
                <w:szCs w:val="20"/>
                <w:color w:val="auto"/>
              </w:rPr>
            </w:pPr>
            <w:r>
              <w:rPr>
                <w:rFonts w:ascii="Arial" w:cs="Arial" w:eastAsia="Arial" w:hAnsi="Arial"/>
                <w:sz w:val="15"/>
                <w:szCs w:val="15"/>
                <w:color w:val="auto"/>
              </w:rPr>
              <w:t>—</w:t>
            </w:r>
          </w:p>
        </w:tc>
        <w:tc>
          <w:tcPr>
            <w:tcW w:w="1100" w:type="dxa"/>
            <w:vAlign w:val="bottom"/>
            <w:tcBorders>
              <w:bottom w:val="single" w:sz="8" w:color="auto"/>
            </w:tcBorders>
            <w:shd w:val="clear" w:color="auto" w:fill="D4F1F5"/>
          </w:tcPr>
          <w:p>
            <w:pPr>
              <w:spacing w:after="0"/>
              <w:rPr>
                <w:sz w:val="17"/>
                <w:szCs w:val="17"/>
                <w:color w:val="auto"/>
              </w:rPr>
            </w:pPr>
          </w:p>
        </w:tc>
        <w:tc>
          <w:tcPr>
            <w:tcW w:w="320" w:type="dxa"/>
            <w:vAlign w:val="bottom"/>
            <w:tcBorders>
              <w:bottom w:val="single" w:sz="8" w:color="auto"/>
            </w:tcBorders>
            <w:shd w:val="clear" w:color="auto" w:fill="D4F1F5"/>
          </w:tcPr>
          <w:p>
            <w:pPr>
              <w:jc w:val="center"/>
              <w:ind w:left="24"/>
              <w:spacing w:after="0"/>
              <w:rPr>
                <w:sz w:val="20"/>
                <w:szCs w:val="20"/>
                <w:color w:val="auto"/>
              </w:rPr>
            </w:pPr>
            <w:r>
              <w:rPr>
                <w:rFonts w:ascii="Arial" w:cs="Arial" w:eastAsia="Arial" w:hAnsi="Arial"/>
                <w:sz w:val="15"/>
                <w:szCs w:val="15"/>
                <w:color w:val="auto"/>
                <w:w w:val="97"/>
              </w:rPr>
              <w:t>(1)</w:t>
            </w:r>
          </w:p>
        </w:tc>
        <w:tc>
          <w:tcPr>
            <w:tcW w:w="4020" w:type="dxa"/>
            <w:vAlign w:val="bottom"/>
            <w:shd w:val="clear" w:color="auto" w:fill="D4F1F5"/>
          </w:tcPr>
          <w:p>
            <w:pPr>
              <w:ind w:left="140"/>
              <w:spacing w:after="0"/>
              <w:rPr>
                <w:sz w:val="20"/>
                <w:szCs w:val="20"/>
                <w:color w:val="auto"/>
              </w:rPr>
            </w:pPr>
            <w:r>
              <w:rPr>
                <w:rFonts w:ascii="Arial" w:cs="Arial" w:eastAsia="Arial" w:hAnsi="Arial"/>
                <w:sz w:val="15"/>
                <w:szCs w:val="15"/>
                <w:color w:val="auto"/>
              </w:rPr>
              <w:t>Income tax expense</w:t>
            </w:r>
          </w:p>
        </w:tc>
      </w:tr>
      <w:tr>
        <w:trPr>
          <w:trHeight w:val="204"/>
        </w:trPr>
        <w:tc>
          <w:tcPr>
            <w:tcW w:w="4060" w:type="dxa"/>
            <w:vAlign w:val="bottom"/>
            <w:tcBorders>
              <w:bottom w:val="single" w:sz="8" w:color="D4F1F5"/>
            </w:tcBorders>
          </w:tcPr>
          <w:p>
            <w:pPr>
              <w:ind w:left="20"/>
              <w:spacing w:after="0"/>
              <w:rPr>
                <w:sz w:val="20"/>
                <w:szCs w:val="20"/>
                <w:color w:val="auto"/>
              </w:rPr>
            </w:pPr>
            <w:r>
              <w:rPr>
                <w:rFonts w:ascii="Arial" w:cs="Arial" w:eastAsia="Arial" w:hAnsi="Arial"/>
                <w:sz w:val="15"/>
                <w:szCs w:val="15"/>
                <w:color w:val="auto"/>
              </w:rPr>
              <w:t>Total, net of income tax</w:t>
            </w:r>
          </w:p>
        </w:tc>
        <w:tc>
          <w:tcPr>
            <w:tcW w:w="960" w:type="dxa"/>
            <w:vAlign w:val="bottom"/>
            <w:tcBorders>
              <w:bottom w:val="single" w:sz="8" w:color="auto"/>
            </w:tcBorders>
          </w:tcPr>
          <w:p>
            <w:pPr>
              <w:jc w:val="right"/>
              <w:ind w:right="785"/>
              <w:spacing w:after="0"/>
              <w:rPr>
                <w:sz w:val="20"/>
                <w:szCs w:val="20"/>
                <w:color w:val="auto"/>
              </w:rPr>
            </w:pPr>
            <w:r>
              <w:rPr>
                <w:rFonts w:ascii="Arial" w:cs="Arial" w:eastAsia="Arial" w:hAnsi="Arial"/>
                <w:sz w:val="15"/>
                <w:szCs w:val="15"/>
                <w:color w:val="auto"/>
                <w:w w:val="95"/>
              </w:rPr>
              <w:t>$</w:t>
            </w:r>
          </w:p>
        </w:tc>
        <w:tc>
          <w:tcPr>
            <w:tcW w:w="460" w:type="dxa"/>
            <w:vAlign w:val="bottom"/>
            <w:tcBorders>
              <w:bottom w:val="single" w:sz="8" w:color="auto"/>
            </w:tcBorders>
          </w:tcPr>
          <w:p>
            <w:pPr>
              <w:jc w:val="right"/>
              <w:ind w:right="84"/>
              <w:spacing w:after="0"/>
              <w:rPr>
                <w:sz w:val="20"/>
                <w:szCs w:val="20"/>
                <w:color w:val="auto"/>
              </w:rPr>
            </w:pPr>
            <w:r>
              <w:rPr>
                <w:rFonts w:ascii="Arial" w:cs="Arial" w:eastAsia="Arial" w:hAnsi="Arial"/>
                <w:sz w:val="15"/>
                <w:szCs w:val="15"/>
                <w:color w:val="auto"/>
              </w:rPr>
              <w:t>1</w:t>
            </w:r>
          </w:p>
        </w:tc>
        <w:tc>
          <w:tcPr>
            <w:tcW w:w="1100" w:type="dxa"/>
            <w:vAlign w:val="bottom"/>
            <w:tcBorders>
              <w:bottom w:val="single" w:sz="8" w:color="auto"/>
            </w:tcBorders>
          </w:tcPr>
          <w:p>
            <w:pPr>
              <w:jc w:val="right"/>
              <w:ind w:right="824"/>
              <w:spacing w:after="0"/>
              <w:rPr>
                <w:sz w:val="20"/>
                <w:szCs w:val="20"/>
                <w:color w:val="auto"/>
              </w:rPr>
            </w:pPr>
            <w:r>
              <w:rPr>
                <w:rFonts w:ascii="Arial" w:cs="Arial" w:eastAsia="Arial" w:hAnsi="Arial"/>
                <w:sz w:val="15"/>
                <w:szCs w:val="15"/>
                <w:color w:val="auto"/>
              </w:rPr>
              <w:t>$</w:t>
            </w:r>
          </w:p>
        </w:tc>
        <w:tc>
          <w:tcPr>
            <w:tcW w:w="320" w:type="dxa"/>
            <w:vAlign w:val="bottom"/>
            <w:tcBorders>
              <w:bottom w:val="single" w:sz="8" w:color="auto"/>
            </w:tcBorders>
          </w:tcPr>
          <w:p>
            <w:pPr>
              <w:jc w:val="center"/>
              <w:ind w:left="44"/>
              <w:spacing w:after="0"/>
              <w:rPr>
                <w:sz w:val="20"/>
                <w:szCs w:val="20"/>
                <w:color w:val="auto"/>
              </w:rPr>
            </w:pPr>
            <w:r>
              <w:rPr>
                <w:rFonts w:ascii="Arial" w:cs="Arial" w:eastAsia="Arial" w:hAnsi="Arial"/>
                <w:sz w:val="15"/>
                <w:szCs w:val="15"/>
                <w:color w:val="auto"/>
                <w:w w:val="95"/>
              </w:rPr>
              <w:t>5</w:t>
            </w:r>
          </w:p>
        </w:tc>
        <w:tc>
          <w:tcPr>
            <w:tcW w:w="4020" w:type="dxa"/>
            <w:vAlign w:val="bottom"/>
            <w:tcBorders>
              <w:bottom w:val="single" w:sz="8" w:color="D4F1F5"/>
            </w:tcBorders>
          </w:tcPr>
          <w:p>
            <w:pPr>
              <w:spacing w:after="0"/>
              <w:rPr>
                <w:sz w:val="17"/>
                <w:szCs w:val="17"/>
                <w:color w:val="auto"/>
              </w:rPr>
            </w:pPr>
          </w:p>
        </w:tc>
      </w:tr>
      <w:tr>
        <w:trPr>
          <w:trHeight w:val="203"/>
        </w:trPr>
        <w:tc>
          <w:tcPr>
            <w:tcW w:w="4060" w:type="dxa"/>
            <w:vAlign w:val="bottom"/>
            <w:shd w:val="clear" w:color="auto" w:fill="D4F1F5"/>
          </w:tcPr>
          <w:p>
            <w:pPr>
              <w:spacing w:after="0"/>
              <w:rPr>
                <w:sz w:val="17"/>
                <w:szCs w:val="17"/>
                <w:color w:val="auto"/>
              </w:rPr>
            </w:pPr>
          </w:p>
        </w:tc>
        <w:tc>
          <w:tcPr>
            <w:tcW w:w="960" w:type="dxa"/>
            <w:vAlign w:val="bottom"/>
            <w:shd w:val="clear" w:color="auto" w:fill="D4F1F5"/>
          </w:tcPr>
          <w:p>
            <w:pPr>
              <w:spacing w:after="0"/>
              <w:rPr>
                <w:sz w:val="17"/>
                <w:szCs w:val="17"/>
                <w:color w:val="auto"/>
              </w:rPr>
            </w:pPr>
          </w:p>
        </w:tc>
        <w:tc>
          <w:tcPr>
            <w:tcW w:w="460" w:type="dxa"/>
            <w:vAlign w:val="bottom"/>
            <w:shd w:val="clear" w:color="auto" w:fill="D4F1F5"/>
          </w:tcPr>
          <w:p>
            <w:pPr>
              <w:spacing w:after="0"/>
              <w:rPr>
                <w:sz w:val="17"/>
                <w:szCs w:val="17"/>
                <w:color w:val="auto"/>
              </w:rPr>
            </w:pPr>
          </w:p>
        </w:tc>
        <w:tc>
          <w:tcPr>
            <w:tcW w:w="1100" w:type="dxa"/>
            <w:vAlign w:val="bottom"/>
            <w:shd w:val="clear" w:color="auto" w:fill="D4F1F5"/>
          </w:tcPr>
          <w:p>
            <w:pPr>
              <w:spacing w:after="0"/>
              <w:rPr>
                <w:sz w:val="17"/>
                <w:szCs w:val="17"/>
                <w:color w:val="auto"/>
              </w:rPr>
            </w:pPr>
          </w:p>
        </w:tc>
        <w:tc>
          <w:tcPr>
            <w:tcW w:w="320" w:type="dxa"/>
            <w:vAlign w:val="bottom"/>
            <w:shd w:val="clear" w:color="auto" w:fill="D4F1F5"/>
          </w:tcPr>
          <w:p>
            <w:pPr>
              <w:spacing w:after="0"/>
              <w:rPr>
                <w:sz w:val="17"/>
                <w:szCs w:val="17"/>
                <w:color w:val="auto"/>
              </w:rPr>
            </w:pPr>
          </w:p>
        </w:tc>
        <w:tc>
          <w:tcPr>
            <w:tcW w:w="4020" w:type="dxa"/>
            <w:vAlign w:val="bottom"/>
            <w:shd w:val="clear" w:color="auto" w:fill="D4F1F5"/>
          </w:tcPr>
          <w:p>
            <w:pPr>
              <w:spacing w:after="0"/>
              <w:rPr>
                <w:sz w:val="17"/>
                <w:szCs w:val="17"/>
                <w:color w:val="auto"/>
              </w:rPr>
            </w:pPr>
          </w:p>
        </w:tc>
      </w:tr>
      <w:tr>
        <w:trPr>
          <w:trHeight w:val="148"/>
        </w:trPr>
        <w:tc>
          <w:tcPr>
            <w:tcW w:w="4060" w:type="dxa"/>
            <w:vAlign w:val="bottom"/>
          </w:tcPr>
          <w:p>
            <w:pPr>
              <w:ind w:left="20"/>
              <w:spacing w:after="0" w:line="149" w:lineRule="exact"/>
              <w:rPr>
                <w:sz w:val="20"/>
                <w:szCs w:val="20"/>
                <w:color w:val="auto"/>
              </w:rPr>
            </w:pPr>
            <w:r>
              <w:rPr>
                <w:rFonts w:ascii="Arial" w:cs="Arial" w:eastAsia="Arial" w:hAnsi="Arial"/>
                <w:sz w:val="15"/>
                <w:szCs w:val="15"/>
                <w:color w:val="auto"/>
              </w:rPr>
              <w:t>Total reclassifications for the period, net of income</w:t>
            </w:r>
          </w:p>
        </w:tc>
        <w:tc>
          <w:tcPr>
            <w:tcW w:w="9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020" w:type="dxa"/>
            <w:vAlign w:val="bottom"/>
          </w:tcPr>
          <w:p>
            <w:pPr>
              <w:spacing w:after="0"/>
              <w:rPr>
                <w:sz w:val="12"/>
                <w:szCs w:val="12"/>
                <w:color w:val="auto"/>
              </w:rPr>
            </w:pPr>
          </w:p>
        </w:tc>
      </w:tr>
      <w:tr>
        <w:trPr>
          <w:trHeight w:val="210"/>
        </w:trPr>
        <w:tc>
          <w:tcPr>
            <w:tcW w:w="4060" w:type="dxa"/>
            <w:vAlign w:val="bottom"/>
            <w:tcBorders>
              <w:bottom w:val="single" w:sz="8" w:color="auto"/>
            </w:tcBorders>
          </w:tcPr>
          <w:p>
            <w:pPr>
              <w:ind w:left="180"/>
              <w:spacing w:after="0"/>
              <w:rPr>
                <w:sz w:val="20"/>
                <w:szCs w:val="20"/>
                <w:color w:val="auto"/>
              </w:rPr>
            </w:pPr>
            <w:r>
              <w:rPr>
                <w:rFonts w:ascii="Arial" w:cs="Arial" w:eastAsia="Arial" w:hAnsi="Arial"/>
                <w:sz w:val="15"/>
                <w:szCs w:val="15"/>
                <w:color w:val="auto"/>
              </w:rPr>
              <w:t>tax and after NCI</w:t>
            </w:r>
          </w:p>
        </w:tc>
        <w:tc>
          <w:tcPr>
            <w:tcW w:w="960" w:type="dxa"/>
            <w:vAlign w:val="bottom"/>
            <w:tcBorders>
              <w:bottom w:val="single" w:sz="8" w:color="auto"/>
            </w:tcBorders>
          </w:tcPr>
          <w:p>
            <w:pPr>
              <w:jc w:val="right"/>
              <w:ind w:right="785"/>
              <w:spacing w:after="0"/>
              <w:rPr>
                <w:sz w:val="20"/>
                <w:szCs w:val="20"/>
                <w:color w:val="auto"/>
              </w:rPr>
            </w:pPr>
            <w:r>
              <w:rPr>
                <w:rFonts w:ascii="Arial" w:cs="Arial" w:eastAsia="Arial" w:hAnsi="Arial"/>
                <w:sz w:val="15"/>
                <w:szCs w:val="15"/>
                <w:color w:val="auto"/>
                <w:w w:val="95"/>
              </w:rPr>
              <w:t>$</w:t>
            </w:r>
          </w:p>
        </w:tc>
        <w:tc>
          <w:tcPr>
            <w:tcW w:w="46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color w:val="auto"/>
              </w:rPr>
              <w:t>(2)</w:t>
            </w:r>
          </w:p>
        </w:tc>
        <w:tc>
          <w:tcPr>
            <w:tcW w:w="1100" w:type="dxa"/>
            <w:vAlign w:val="bottom"/>
            <w:tcBorders>
              <w:bottom w:val="single" w:sz="8" w:color="auto"/>
            </w:tcBorders>
          </w:tcPr>
          <w:p>
            <w:pPr>
              <w:jc w:val="right"/>
              <w:ind w:right="824"/>
              <w:spacing w:after="0"/>
              <w:rPr>
                <w:sz w:val="20"/>
                <w:szCs w:val="20"/>
                <w:color w:val="auto"/>
              </w:rPr>
            </w:pPr>
            <w:r>
              <w:rPr>
                <w:rFonts w:ascii="Arial" w:cs="Arial" w:eastAsia="Arial" w:hAnsi="Arial"/>
                <w:sz w:val="15"/>
                <w:szCs w:val="15"/>
                <w:color w:val="auto"/>
              </w:rPr>
              <w:t>$</w:t>
            </w:r>
          </w:p>
        </w:tc>
        <w:tc>
          <w:tcPr>
            <w:tcW w:w="320" w:type="dxa"/>
            <w:vAlign w:val="bottom"/>
            <w:tcBorders>
              <w:bottom w:val="single" w:sz="8" w:color="auto"/>
            </w:tcBorders>
          </w:tcPr>
          <w:p>
            <w:pPr>
              <w:jc w:val="center"/>
              <w:ind w:left="44"/>
              <w:spacing w:after="0"/>
              <w:rPr>
                <w:sz w:val="20"/>
                <w:szCs w:val="20"/>
                <w:color w:val="auto"/>
              </w:rPr>
            </w:pPr>
            <w:r>
              <w:rPr>
                <w:rFonts w:ascii="Arial" w:cs="Arial" w:eastAsia="Arial" w:hAnsi="Arial"/>
                <w:sz w:val="15"/>
                <w:szCs w:val="15"/>
                <w:color w:val="auto"/>
                <w:w w:val="95"/>
              </w:rPr>
              <w:t>4</w:t>
            </w:r>
          </w:p>
        </w:tc>
        <w:tc>
          <w:tcPr>
            <w:tcW w:w="4020" w:type="dxa"/>
            <w:vAlign w:val="bottom"/>
            <w:tcBorders>
              <w:bottom w:val="single" w:sz="8" w:color="auto"/>
            </w:tcBorders>
          </w:tcPr>
          <w:p>
            <w:pPr>
              <w:spacing w:after="0"/>
              <w:rPr>
                <w:sz w:val="18"/>
                <w:szCs w:val="18"/>
                <w:color w:val="auto"/>
              </w:rPr>
            </w:pPr>
          </w:p>
        </w:tc>
      </w:tr>
      <w:tr>
        <w:trPr>
          <w:trHeight w:val="203"/>
        </w:trPr>
        <w:tc>
          <w:tcPr>
            <w:tcW w:w="4060" w:type="dxa"/>
            <w:vAlign w:val="bottom"/>
            <w:shd w:val="clear" w:color="auto" w:fill="D4F1F5"/>
          </w:tcPr>
          <w:p>
            <w:pPr>
              <w:ind w:left="20"/>
              <w:spacing w:after="0"/>
              <w:rPr>
                <w:sz w:val="20"/>
                <w:szCs w:val="20"/>
                <w:color w:val="auto"/>
              </w:rPr>
            </w:pPr>
            <w:r>
              <w:rPr>
                <w:rFonts w:ascii="Arial" w:cs="Arial" w:eastAsia="Arial" w:hAnsi="Arial"/>
                <w:sz w:val="15"/>
                <w:szCs w:val="15"/>
                <w:b w:val="1"/>
                <w:bCs w:val="1"/>
                <w:color w:val="auto"/>
              </w:rPr>
              <w:t>SoCalGas:</w:t>
            </w:r>
          </w:p>
        </w:tc>
        <w:tc>
          <w:tcPr>
            <w:tcW w:w="960" w:type="dxa"/>
            <w:vAlign w:val="bottom"/>
            <w:shd w:val="clear" w:color="auto" w:fill="D4F1F5"/>
          </w:tcPr>
          <w:p>
            <w:pPr>
              <w:spacing w:after="0"/>
              <w:rPr>
                <w:sz w:val="17"/>
                <w:szCs w:val="17"/>
                <w:color w:val="auto"/>
              </w:rPr>
            </w:pPr>
          </w:p>
        </w:tc>
        <w:tc>
          <w:tcPr>
            <w:tcW w:w="460" w:type="dxa"/>
            <w:vAlign w:val="bottom"/>
            <w:shd w:val="clear" w:color="auto" w:fill="D4F1F5"/>
          </w:tcPr>
          <w:p>
            <w:pPr>
              <w:spacing w:after="0"/>
              <w:rPr>
                <w:sz w:val="17"/>
                <w:szCs w:val="17"/>
                <w:color w:val="auto"/>
              </w:rPr>
            </w:pPr>
          </w:p>
        </w:tc>
        <w:tc>
          <w:tcPr>
            <w:tcW w:w="1100" w:type="dxa"/>
            <w:vAlign w:val="bottom"/>
            <w:shd w:val="clear" w:color="auto" w:fill="D4F1F5"/>
          </w:tcPr>
          <w:p>
            <w:pPr>
              <w:spacing w:after="0"/>
              <w:rPr>
                <w:sz w:val="17"/>
                <w:szCs w:val="17"/>
                <w:color w:val="auto"/>
              </w:rPr>
            </w:pPr>
          </w:p>
        </w:tc>
        <w:tc>
          <w:tcPr>
            <w:tcW w:w="320" w:type="dxa"/>
            <w:vAlign w:val="bottom"/>
            <w:shd w:val="clear" w:color="auto" w:fill="D4F1F5"/>
          </w:tcPr>
          <w:p>
            <w:pPr>
              <w:spacing w:after="0"/>
              <w:rPr>
                <w:sz w:val="17"/>
                <w:szCs w:val="17"/>
                <w:color w:val="auto"/>
              </w:rPr>
            </w:pPr>
          </w:p>
        </w:tc>
        <w:tc>
          <w:tcPr>
            <w:tcW w:w="4020" w:type="dxa"/>
            <w:vAlign w:val="bottom"/>
            <w:shd w:val="clear" w:color="auto" w:fill="D4F1F5"/>
          </w:tcPr>
          <w:p>
            <w:pPr>
              <w:spacing w:after="0"/>
              <w:rPr>
                <w:sz w:val="17"/>
                <w:szCs w:val="17"/>
                <w:color w:val="auto"/>
              </w:rPr>
            </w:pPr>
          </w:p>
        </w:tc>
      </w:tr>
      <w:tr>
        <w:trPr>
          <w:trHeight w:val="203"/>
        </w:trPr>
        <w:tc>
          <w:tcPr>
            <w:tcW w:w="4060" w:type="dxa"/>
            <w:vAlign w:val="bottom"/>
          </w:tcPr>
          <w:p>
            <w:pPr>
              <w:ind w:left="20"/>
              <w:spacing w:after="0" w:line="203" w:lineRule="exact"/>
              <w:rPr>
                <w:sz w:val="20"/>
                <w:szCs w:val="20"/>
                <w:color w:val="auto"/>
              </w:rPr>
            </w:pPr>
            <w:r>
              <w:rPr>
                <w:rFonts w:ascii="Arial" w:cs="Arial" w:eastAsia="Arial" w:hAnsi="Arial"/>
                <w:sz w:val="15"/>
                <w:szCs w:val="15"/>
                <w:color w:val="auto"/>
              </w:rPr>
              <w:t>Pension and PBOP</w:t>
            </w:r>
            <w:r>
              <w:rPr>
                <w:rFonts w:ascii="Arial" w:cs="Arial" w:eastAsia="Arial" w:hAnsi="Arial"/>
                <w:sz w:val="19"/>
                <w:szCs w:val="19"/>
                <w:color w:val="auto"/>
                <w:vertAlign w:val="superscript"/>
              </w:rPr>
              <w:t>(2)</w:t>
            </w:r>
            <w:r>
              <w:rPr>
                <w:rFonts w:ascii="Arial" w:cs="Arial" w:eastAsia="Arial" w:hAnsi="Arial"/>
                <w:sz w:val="15"/>
                <w:szCs w:val="15"/>
                <w:color w:val="auto"/>
              </w:rPr>
              <w:t>:</w:t>
            </w:r>
          </w:p>
        </w:tc>
        <w:tc>
          <w:tcPr>
            <w:tcW w:w="9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020" w:type="dxa"/>
            <w:vAlign w:val="bottom"/>
          </w:tcPr>
          <w:p>
            <w:pPr>
              <w:spacing w:after="0"/>
              <w:rPr>
                <w:sz w:val="17"/>
                <w:szCs w:val="17"/>
                <w:color w:val="auto"/>
              </w:rPr>
            </w:pPr>
          </w:p>
        </w:tc>
      </w:tr>
      <w:tr>
        <w:trPr>
          <w:trHeight w:val="203"/>
        </w:trPr>
        <w:tc>
          <w:tcPr>
            <w:tcW w:w="4060" w:type="dxa"/>
            <w:vAlign w:val="bottom"/>
            <w:shd w:val="clear" w:color="auto" w:fill="D4F1F5"/>
          </w:tcPr>
          <w:p>
            <w:pPr>
              <w:ind w:left="140"/>
              <w:spacing w:after="0"/>
              <w:rPr>
                <w:sz w:val="20"/>
                <w:szCs w:val="20"/>
                <w:color w:val="auto"/>
              </w:rPr>
            </w:pPr>
            <w:r>
              <w:rPr>
                <w:rFonts w:ascii="Arial" w:cs="Arial" w:eastAsia="Arial" w:hAnsi="Arial"/>
                <w:sz w:val="15"/>
                <w:szCs w:val="15"/>
                <w:color w:val="auto"/>
              </w:rPr>
              <w:t>Amortization of actuarial loss</w:t>
            </w:r>
          </w:p>
        </w:tc>
        <w:tc>
          <w:tcPr>
            <w:tcW w:w="960" w:type="dxa"/>
            <w:vAlign w:val="bottom"/>
            <w:shd w:val="clear" w:color="auto" w:fill="D4F1F5"/>
          </w:tcPr>
          <w:p>
            <w:pPr>
              <w:jc w:val="right"/>
              <w:ind w:right="785"/>
              <w:spacing w:after="0"/>
              <w:rPr>
                <w:sz w:val="20"/>
                <w:szCs w:val="20"/>
                <w:color w:val="auto"/>
              </w:rPr>
            </w:pPr>
            <w:r>
              <w:rPr>
                <w:rFonts w:ascii="Arial" w:cs="Arial" w:eastAsia="Arial" w:hAnsi="Arial"/>
                <w:sz w:val="15"/>
                <w:szCs w:val="15"/>
                <w:color w:val="auto"/>
                <w:w w:val="95"/>
              </w:rPr>
              <w:t>$</w:t>
            </w:r>
          </w:p>
        </w:tc>
        <w:tc>
          <w:tcPr>
            <w:tcW w:w="460" w:type="dxa"/>
            <w:vAlign w:val="bottom"/>
            <w:shd w:val="clear" w:color="auto" w:fill="D4F1F5"/>
          </w:tcPr>
          <w:p>
            <w:pPr>
              <w:jc w:val="right"/>
              <w:ind w:right="84"/>
              <w:spacing w:after="0"/>
              <w:rPr>
                <w:sz w:val="20"/>
                <w:szCs w:val="20"/>
                <w:color w:val="auto"/>
              </w:rPr>
            </w:pPr>
            <w:r>
              <w:rPr>
                <w:rFonts w:ascii="Arial" w:cs="Arial" w:eastAsia="Arial" w:hAnsi="Arial"/>
                <w:sz w:val="15"/>
                <w:szCs w:val="15"/>
                <w:color w:val="auto"/>
              </w:rPr>
              <w:t>—</w:t>
            </w:r>
          </w:p>
        </w:tc>
        <w:tc>
          <w:tcPr>
            <w:tcW w:w="1100" w:type="dxa"/>
            <w:vAlign w:val="bottom"/>
            <w:shd w:val="clear" w:color="auto" w:fill="D4F1F5"/>
          </w:tcPr>
          <w:p>
            <w:pPr>
              <w:jc w:val="right"/>
              <w:ind w:right="824"/>
              <w:spacing w:after="0"/>
              <w:rPr>
                <w:sz w:val="20"/>
                <w:szCs w:val="20"/>
                <w:color w:val="auto"/>
              </w:rPr>
            </w:pPr>
            <w:r>
              <w:rPr>
                <w:rFonts w:ascii="Arial" w:cs="Arial" w:eastAsia="Arial" w:hAnsi="Arial"/>
                <w:sz w:val="15"/>
                <w:szCs w:val="15"/>
                <w:color w:val="auto"/>
              </w:rPr>
              <w:t>$</w:t>
            </w:r>
          </w:p>
        </w:tc>
        <w:tc>
          <w:tcPr>
            <w:tcW w:w="320" w:type="dxa"/>
            <w:vAlign w:val="bottom"/>
            <w:shd w:val="clear" w:color="auto" w:fill="D4F1F5"/>
          </w:tcPr>
          <w:p>
            <w:pPr>
              <w:jc w:val="center"/>
              <w:ind w:left="44"/>
              <w:spacing w:after="0"/>
              <w:rPr>
                <w:sz w:val="20"/>
                <w:szCs w:val="20"/>
                <w:color w:val="auto"/>
              </w:rPr>
            </w:pPr>
            <w:r>
              <w:rPr>
                <w:rFonts w:ascii="Arial" w:cs="Arial" w:eastAsia="Arial" w:hAnsi="Arial"/>
                <w:sz w:val="15"/>
                <w:szCs w:val="15"/>
                <w:color w:val="auto"/>
                <w:w w:val="95"/>
              </w:rPr>
              <w:t>1</w:t>
            </w:r>
          </w:p>
        </w:tc>
        <w:tc>
          <w:tcPr>
            <w:tcW w:w="4020" w:type="dxa"/>
            <w:vAlign w:val="bottom"/>
            <w:shd w:val="clear" w:color="auto" w:fill="D4F1F5"/>
          </w:tcPr>
          <w:p>
            <w:pPr>
              <w:ind w:left="140"/>
              <w:spacing w:after="0"/>
              <w:rPr>
                <w:sz w:val="20"/>
                <w:szCs w:val="20"/>
                <w:color w:val="auto"/>
              </w:rPr>
            </w:pPr>
            <w:r>
              <w:rPr>
                <w:rFonts w:ascii="Arial" w:cs="Arial" w:eastAsia="Arial" w:hAnsi="Arial"/>
                <w:sz w:val="15"/>
                <w:szCs w:val="15"/>
                <w:color w:val="auto"/>
              </w:rPr>
              <w:t>Other income, net</w:t>
            </w:r>
          </w:p>
        </w:tc>
      </w:tr>
      <w:tr>
        <w:trPr>
          <w:trHeight w:val="201"/>
        </w:trPr>
        <w:tc>
          <w:tcPr>
            <w:tcW w:w="4060" w:type="dxa"/>
            <w:vAlign w:val="bottom"/>
            <w:tcBorders>
              <w:bottom w:val="single" w:sz="8" w:color="D4F1F5"/>
            </w:tcBorders>
          </w:tcPr>
          <w:p>
            <w:pPr>
              <w:ind w:left="140"/>
              <w:spacing w:after="0"/>
              <w:rPr>
                <w:sz w:val="20"/>
                <w:szCs w:val="20"/>
                <w:color w:val="auto"/>
              </w:rPr>
            </w:pPr>
            <w:r>
              <w:rPr>
                <w:rFonts w:ascii="Arial" w:cs="Arial" w:eastAsia="Arial" w:hAnsi="Arial"/>
                <w:sz w:val="15"/>
                <w:szCs w:val="15"/>
                <w:color w:val="auto"/>
              </w:rPr>
              <w:t>Settlement charges</w:t>
            </w:r>
          </w:p>
        </w:tc>
        <w:tc>
          <w:tcPr>
            <w:tcW w:w="96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jc w:val="right"/>
              <w:ind w:right="84"/>
              <w:spacing w:after="0"/>
              <w:rPr>
                <w:sz w:val="20"/>
                <w:szCs w:val="20"/>
                <w:color w:val="auto"/>
              </w:rPr>
            </w:pPr>
            <w:r>
              <w:rPr>
                <w:rFonts w:ascii="Arial" w:cs="Arial" w:eastAsia="Arial" w:hAnsi="Arial"/>
                <w:sz w:val="15"/>
                <w:szCs w:val="15"/>
                <w:color w:val="auto"/>
              </w:rPr>
              <w:t>—</w:t>
            </w:r>
          </w:p>
        </w:tc>
        <w:tc>
          <w:tcPr>
            <w:tcW w:w="110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jc w:val="center"/>
              <w:ind w:left="44"/>
              <w:spacing w:after="0"/>
              <w:rPr>
                <w:sz w:val="20"/>
                <w:szCs w:val="20"/>
                <w:color w:val="auto"/>
              </w:rPr>
            </w:pPr>
            <w:r>
              <w:rPr>
                <w:rFonts w:ascii="Arial" w:cs="Arial" w:eastAsia="Arial" w:hAnsi="Arial"/>
                <w:sz w:val="15"/>
                <w:szCs w:val="15"/>
                <w:color w:val="auto"/>
                <w:w w:val="95"/>
              </w:rPr>
              <w:t>4</w:t>
            </w:r>
          </w:p>
        </w:tc>
        <w:tc>
          <w:tcPr>
            <w:tcW w:w="4020" w:type="dxa"/>
            <w:vAlign w:val="bottom"/>
            <w:tcBorders>
              <w:bottom w:val="single" w:sz="8" w:color="D4F1F5"/>
            </w:tcBorders>
          </w:tcPr>
          <w:p>
            <w:pPr>
              <w:ind w:left="140"/>
              <w:spacing w:after="0"/>
              <w:rPr>
                <w:sz w:val="20"/>
                <w:szCs w:val="20"/>
                <w:color w:val="auto"/>
              </w:rPr>
            </w:pPr>
            <w:r>
              <w:rPr>
                <w:rFonts w:ascii="Arial" w:cs="Arial" w:eastAsia="Arial" w:hAnsi="Arial"/>
                <w:sz w:val="15"/>
                <w:szCs w:val="15"/>
                <w:color w:val="auto"/>
              </w:rPr>
              <w:t>Other income, net</w:t>
            </w:r>
          </w:p>
        </w:tc>
      </w:tr>
      <w:tr>
        <w:trPr>
          <w:trHeight w:val="197"/>
        </w:trPr>
        <w:tc>
          <w:tcPr>
            <w:tcW w:w="4060" w:type="dxa"/>
            <w:vAlign w:val="bottom"/>
            <w:shd w:val="clear" w:color="auto" w:fill="D4F1F5"/>
          </w:tcPr>
          <w:p>
            <w:pPr>
              <w:ind w:left="20"/>
              <w:spacing w:after="0"/>
              <w:rPr>
                <w:sz w:val="20"/>
                <w:szCs w:val="20"/>
                <w:color w:val="auto"/>
              </w:rPr>
            </w:pPr>
            <w:r>
              <w:rPr>
                <w:rFonts w:ascii="Arial" w:cs="Arial" w:eastAsia="Arial" w:hAnsi="Arial"/>
                <w:sz w:val="15"/>
                <w:szCs w:val="15"/>
                <w:color w:val="auto"/>
              </w:rPr>
              <w:t>Total, before income tax</w:t>
            </w:r>
          </w:p>
        </w:tc>
        <w:tc>
          <w:tcPr>
            <w:tcW w:w="960" w:type="dxa"/>
            <w:vAlign w:val="bottom"/>
            <w:shd w:val="clear" w:color="auto" w:fill="D4F1F5"/>
          </w:tcPr>
          <w:p>
            <w:pPr>
              <w:spacing w:after="0"/>
              <w:rPr>
                <w:sz w:val="17"/>
                <w:szCs w:val="17"/>
                <w:color w:val="auto"/>
              </w:rPr>
            </w:pPr>
          </w:p>
        </w:tc>
        <w:tc>
          <w:tcPr>
            <w:tcW w:w="460" w:type="dxa"/>
            <w:vAlign w:val="bottom"/>
            <w:shd w:val="clear" w:color="auto" w:fill="D4F1F5"/>
          </w:tcPr>
          <w:p>
            <w:pPr>
              <w:jc w:val="right"/>
              <w:ind w:right="84"/>
              <w:spacing w:after="0"/>
              <w:rPr>
                <w:sz w:val="20"/>
                <w:szCs w:val="20"/>
                <w:color w:val="auto"/>
              </w:rPr>
            </w:pPr>
            <w:r>
              <w:rPr>
                <w:rFonts w:ascii="Arial" w:cs="Arial" w:eastAsia="Arial" w:hAnsi="Arial"/>
                <w:sz w:val="15"/>
                <w:szCs w:val="15"/>
                <w:color w:val="auto"/>
              </w:rPr>
              <w:t>—</w:t>
            </w:r>
          </w:p>
        </w:tc>
        <w:tc>
          <w:tcPr>
            <w:tcW w:w="1100" w:type="dxa"/>
            <w:vAlign w:val="bottom"/>
            <w:shd w:val="clear" w:color="auto" w:fill="D4F1F5"/>
          </w:tcPr>
          <w:p>
            <w:pPr>
              <w:spacing w:after="0"/>
              <w:rPr>
                <w:sz w:val="17"/>
                <w:szCs w:val="17"/>
                <w:color w:val="auto"/>
              </w:rPr>
            </w:pPr>
          </w:p>
        </w:tc>
        <w:tc>
          <w:tcPr>
            <w:tcW w:w="320" w:type="dxa"/>
            <w:vAlign w:val="bottom"/>
            <w:shd w:val="clear" w:color="auto" w:fill="D4F1F5"/>
          </w:tcPr>
          <w:p>
            <w:pPr>
              <w:jc w:val="center"/>
              <w:ind w:left="44"/>
              <w:spacing w:after="0"/>
              <w:rPr>
                <w:sz w:val="20"/>
                <w:szCs w:val="20"/>
                <w:color w:val="auto"/>
              </w:rPr>
            </w:pPr>
            <w:r>
              <w:rPr>
                <w:rFonts w:ascii="Arial" w:cs="Arial" w:eastAsia="Arial" w:hAnsi="Arial"/>
                <w:sz w:val="15"/>
                <w:szCs w:val="15"/>
                <w:color w:val="auto"/>
                <w:w w:val="95"/>
              </w:rPr>
              <w:t>5</w:t>
            </w:r>
          </w:p>
        </w:tc>
        <w:tc>
          <w:tcPr>
            <w:tcW w:w="4020" w:type="dxa"/>
            <w:vAlign w:val="bottom"/>
            <w:shd w:val="clear" w:color="auto" w:fill="D4F1F5"/>
          </w:tcPr>
          <w:p>
            <w:pPr>
              <w:spacing w:after="0"/>
              <w:rPr>
                <w:sz w:val="17"/>
                <w:szCs w:val="17"/>
                <w:color w:val="auto"/>
              </w:rPr>
            </w:pPr>
          </w:p>
        </w:tc>
      </w:tr>
      <w:tr>
        <w:trPr>
          <w:trHeight w:val="201"/>
        </w:trPr>
        <w:tc>
          <w:tcPr>
            <w:tcW w:w="4060" w:type="dxa"/>
            <w:vAlign w:val="bottom"/>
            <w:tcBorders>
              <w:bottom w:val="single" w:sz="8" w:color="D4F1F5"/>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jc w:val="right"/>
              <w:ind w:right="84"/>
              <w:spacing w:after="0"/>
              <w:rPr>
                <w:sz w:val="20"/>
                <w:szCs w:val="20"/>
                <w:color w:val="auto"/>
              </w:rPr>
            </w:pPr>
            <w:r>
              <w:rPr>
                <w:rFonts w:ascii="Arial" w:cs="Arial" w:eastAsia="Arial" w:hAnsi="Arial"/>
                <w:sz w:val="15"/>
                <w:szCs w:val="15"/>
                <w:color w:val="auto"/>
              </w:rPr>
              <w:t>—</w:t>
            </w:r>
          </w:p>
        </w:tc>
        <w:tc>
          <w:tcPr>
            <w:tcW w:w="110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jc w:val="center"/>
              <w:ind w:left="24"/>
              <w:spacing w:after="0"/>
              <w:rPr>
                <w:sz w:val="20"/>
                <w:szCs w:val="20"/>
                <w:color w:val="auto"/>
              </w:rPr>
            </w:pPr>
            <w:r>
              <w:rPr>
                <w:rFonts w:ascii="Arial" w:cs="Arial" w:eastAsia="Arial" w:hAnsi="Arial"/>
                <w:sz w:val="15"/>
                <w:szCs w:val="15"/>
                <w:color w:val="auto"/>
                <w:w w:val="97"/>
              </w:rPr>
              <w:t>(1)</w:t>
            </w:r>
          </w:p>
        </w:tc>
        <w:tc>
          <w:tcPr>
            <w:tcW w:w="4020" w:type="dxa"/>
            <w:vAlign w:val="bottom"/>
            <w:tcBorders>
              <w:bottom w:val="single" w:sz="8" w:color="D4F1F5"/>
            </w:tcBorders>
          </w:tcPr>
          <w:p>
            <w:pPr>
              <w:ind w:left="140"/>
              <w:spacing w:after="0"/>
              <w:rPr>
                <w:sz w:val="20"/>
                <w:szCs w:val="20"/>
                <w:color w:val="auto"/>
              </w:rPr>
            </w:pPr>
            <w:r>
              <w:rPr>
                <w:rFonts w:ascii="Arial" w:cs="Arial" w:eastAsia="Arial" w:hAnsi="Arial"/>
                <w:sz w:val="15"/>
                <w:szCs w:val="15"/>
                <w:color w:val="auto"/>
              </w:rPr>
              <w:t>Income tax expense</w:t>
            </w:r>
          </w:p>
        </w:tc>
      </w:tr>
      <w:tr>
        <w:trPr>
          <w:trHeight w:val="204"/>
        </w:trPr>
        <w:tc>
          <w:tcPr>
            <w:tcW w:w="4060" w:type="dxa"/>
            <w:vAlign w:val="bottom"/>
            <w:tcBorders>
              <w:bottom w:val="single" w:sz="8" w:color="D4F1F5"/>
            </w:tcBorders>
            <w:shd w:val="clear" w:color="auto" w:fill="D4F1F5"/>
          </w:tcPr>
          <w:p>
            <w:pPr>
              <w:ind w:left="20"/>
              <w:spacing w:after="0"/>
              <w:rPr>
                <w:sz w:val="20"/>
                <w:szCs w:val="20"/>
                <w:color w:val="auto"/>
              </w:rPr>
            </w:pPr>
            <w:r>
              <w:rPr>
                <w:rFonts w:ascii="Arial" w:cs="Arial" w:eastAsia="Arial" w:hAnsi="Arial"/>
                <w:sz w:val="15"/>
                <w:szCs w:val="15"/>
                <w:color w:val="auto"/>
              </w:rPr>
              <w:t>Total, net of income tax</w:t>
            </w:r>
          </w:p>
        </w:tc>
        <w:tc>
          <w:tcPr>
            <w:tcW w:w="960" w:type="dxa"/>
            <w:vAlign w:val="bottom"/>
            <w:tcBorders>
              <w:bottom w:val="single" w:sz="8" w:color="auto"/>
            </w:tcBorders>
            <w:shd w:val="clear" w:color="auto" w:fill="D4F1F5"/>
          </w:tcPr>
          <w:p>
            <w:pPr>
              <w:jc w:val="right"/>
              <w:ind w:right="785"/>
              <w:spacing w:after="0"/>
              <w:rPr>
                <w:sz w:val="20"/>
                <w:szCs w:val="20"/>
                <w:color w:val="auto"/>
              </w:rPr>
            </w:pPr>
            <w:r>
              <w:rPr>
                <w:rFonts w:ascii="Arial" w:cs="Arial" w:eastAsia="Arial" w:hAnsi="Arial"/>
                <w:sz w:val="15"/>
                <w:szCs w:val="15"/>
                <w:color w:val="auto"/>
                <w:w w:val="95"/>
              </w:rPr>
              <w:t>$</w:t>
            </w:r>
          </w:p>
        </w:tc>
        <w:tc>
          <w:tcPr>
            <w:tcW w:w="460" w:type="dxa"/>
            <w:vAlign w:val="bottom"/>
            <w:tcBorders>
              <w:bottom w:val="single" w:sz="8" w:color="auto"/>
            </w:tcBorders>
            <w:shd w:val="clear" w:color="auto" w:fill="D4F1F5"/>
          </w:tcPr>
          <w:p>
            <w:pPr>
              <w:jc w:val="right"/>
              <w:ind w:right="84"/>
              <w:spacing w:after="0"/>
              <w:rPr>
                <w:sz w:val="20"/>
                <w:szCs w:val="20"/>
                <w:color w:val="auto"/>
              </w:rPr>
            </w:pPr>
            <w:r>
              <w:rPr>
                <w:rFonts w:ascii="Arial" w:cs="Arial" w:eastAsia="Arial" w:hAnsi="Arial"/>
                <w:sz w:val="15"/>
                <w:szCs w:val="15"/>
                <w:color w:val="auto"/>
              </w:rPr>
              <w:t>—</w:t>
            </w:r>
          </w:p>
        </w:tc>
        <w:tc>
          <w:tcPr>
            <w:tcW w:w="1100" w:type="dxa"/>
            <w:vAlign w:val="bottom"/>
            <w:tcBorders>
              <w:bottom w:val="single" w:sz="8" w:color="auto"/>
            </w:tcBorders>
            <w:shd w:val="clear" w:color="auto" w:fill="D4F1F5"/>
          </w:tcPr>
          <w:p>
            <w:pPr>
              <w:jc w:val="right"/>
              <w:ind w:right="824"/>
              <w:spacing w:after="0"/>
              <w:rPr>
                <w:sz w:val="20"/>
                <w:szCs w:val="20"/>
                <w:color w:val="auto"/>
              </w:rPr>
            </w:pPr>
            <w:r>
              <w:rPr>
                <w:rFonts w:ascii="Arial" w:cs="Arial" w:eastAsia="Arial" w:hAnsi="Arial"/>
                <w:sz w:val="15"/>
                <w:szCs w:val="15"/>
                <w:color w:val="auto"/>
              </w:rPr>
              <w:t>$</w:t>
            </w:r>
          </w:p>
        </w:tc>
        <w:tc>
          <w:tcPr>
            <w:tcW w:w="320" w:type="dxa"/>
            <w:vAlign w:val="bottom"/>
            <w:tcBorders>
              <w:bottom w:val="single" w:sz="8" w:color="auto"/>
            </w:tcBorders>
            <w:shd w:val="clear" w:color="auto" w:fill="D4F1F5"/>
          </w:tcPr>
          <w:p>
            <w:pPr>
              <w:jc w:val="center"/>
              <w:ind w:left="44"/>
              <w:spacing w:after="0"/>
              <w:rPr>
                <w:sz w:val="20"/>
                <w:szCs w:val="20"/>
                <w:color w:val="auto"/>
              </w:rPr>
            </w:pPr>
            <w:r>
              <w:rPr>
                <w:rFonts w:ascii="Arial" w:cs="Arial" w:eastAsia="Arial" w:hAnsi="Arial"/>
                <w:sz w:val="15"/>
                <w:szCs w:val="15"/>
                <w:color w:val="auto"/>
                <w:w w:val="95"/>
              </w:rPr>
              <w:t>4</w:t>
            </w:r>
          </w:p>
        </w:tc>
        <w:tc>
          <w:tcPr>
            <w:tcW w:w="4020" w:type="dxa"/>
            <w:vAlign w:val="bottom"/>
            <w:tcBorders>
              <w:bottom w:val="single" w:sz="8" w:color="D4F1F5"/>
            </w:tcBorders>
            <w:shd w:val="clear" w:color="auto" w:fill="D4F1F5"/>
          </w:tcPr>
          <w:p>
            <w:pPr>
              <w:spacing w:after="0"/>
              <w:rPr>
                <w:sz w:val="17"/>
                <w:szCs w:val="17"/>
                <w:color w:val="auto"/>
              </w:rPr>
            </w:pPr>
          </w:p>
        </w:tc>
      </w:tr>
      <w:tr>
        <w:trPr>
          <w:trHeight w:val="203"/>
        </w:trPr>
        <w:tc>
          <w:tcPr>
            <w:tcW w:w="40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020" w:type="dxa"/>
            <w:vAlign w:val="bottom"/>
          </w:tcPr>
          <w:p>
            <w:pPr>
              <w:spacing w:after="0"/>
              <w:rPr>
                <w:sz w:val="17"/>
                <w:szCs w:val="17"/>
                <w:color w:val="auto"/>
              </w:rPr>
            </w:pPr>
          </w:p>
        </w:tc>
      </w:tr>
      <w:tr>
        <w:trPr>
          <w:trHeight w:val="148"/>
        </w:trPr>
        <w:tc>
          <w:tcPr>
            <w:tcW w:w="4060" w:type="dxa"/>
            <w:vAlign w:val="bottom"/>
            <w:shd w:val="clear" w:color="auto" w:fill="D4F1F5"/>
          </w:tcPr>
          <w:p>
            <w:pPr>
              <w:ind w:left="20"/>
              <w:spacing w:after="0" w:line="149" w:lineRule="exact"/>
              <w:rPr>
                <w:sz w:val="20"/>
                <w:szCs w:val="20"/>
                <w:color w:val="auto"/>
              </w:rPr>
            </w:pPr>
            <w:r>
              <w:rPr>
                <w:rFonts w:ascii="Arial" w:cs="Arial" w:eastAsia="Arial" w:hAnsi="Arial"/>
                <w:sz w:val="15"/>
                <w:szCs w:val="15"/>
                <w:color w:val="auto"/>
              </w:rPr>
              <w:t>Total reclassifications for the period, net of income</w:t>
            </w:r>
          </w:p>
        </w:tc>
        <w:tc>
          <w:tcPr>
            <w:tcW w:w="960" w:type="dxa"/>
            <w:vAlign w:val="bottom"/>
            <w:shd w:val="clear" w:color="auto" w:fill="D4F1F5"/>
          </w:tcPr>
          <w:p>
            <w:pPr>
              <w:spacing w:after="0"/>
              <w:rPr>
                <w:sz w:val="12"/>
                <w:szCs w:val="12"/>
                <w:color w:val="auto"/>
              </w:rPr>
            </w:pPr>
          </w:p>
        </w:tc>
        <w:tc>
          <w:tcPr>
            <w:tcW w:w="460" w:type="dxa"/>
            <w:vAlign w:val="bottom"/>
            <w:shd w:val="clear" w:color="auto" w:fill="D4F1F5"/>
          </w:tcPr>
          <w:p>
            <w:pPr>
              <w:spacing w:after="0"/>
              <w:rPr>
                <w:sz w:val="12"/>
                <w:szCs w:val="12"/>
                <w:color w:val="auto"/>
              </w:rPr>
            </w:pPr>
          </w:p>
        </w:tc>
        <w:tc>
          <w:tcPr>
            <w:tcW w:w="1100" w:type="dxa"/>
            <w:vAlign w:val="bottom"/>
            <w:shd w:val="clear" w:color="auto" w:fill="D4F1F5"/>
          </w:tcPr>
          <w:p>
            <w:pPr>
              <w:spacing w:after="0"/>
              <w:rPr>
                <w:sz w:val="12"/>
                <w:szCs w:val="12"/>
                <w:color w:val="auto"/>
              </w:rPr>
            </w:pPr>
          </w:p>
        </w:tc>
        <w:tc>
          <w:tcPr>
            <w:tcW w:w="320" w:type="dxa"/>
            <w:vAlign w:val="bottom"/>
            <w:shd w:val="clear" w:color="auto" w:fill="D4F1F5"/>
          </w:tcPr>
          <w:p>
            <w:pPr>
              <w:spacing w:after="0"/>
              <w:rPr>
                <w:sz w:val="12"/>
                <w:szCs w:val="12"/>
                <w:color w:val="auto"/>
              </w:rPr>
            </w:pPr>
          </w:p>
        </w:tc>
        <w:tc>
          <w:tcPr>
            <w:tcW w:w="4020" w:type="dxa"/>
            <w:vAlign w:val="bottom"/>
            <w:shd w:val="clear" w:color="auto" w:fill="D4F1F5"/>
          </w:tcPr>
          <w:p>
            <w:pPr>
              <w:spacing w:after="0"/>
              <w:rPr>
                <w:sz w:val="12"/>
                <w:szCs w:val="12"/>
                <w:color w:val="auto"/>
              </w:rPr>
            </w:pPr>
          </w:p>
        </w:tc>
      </w:tr>
      <w:tr>
        <w:trPr>
          <w:trHeight w:val="223"/>
        </w:trPr>
        <w:tc>
          <w:tcPr>
            <w:tcW w:w="4060" w:type="dxa"/>
            <w:vAlign w:val="bottom"/>
            <w:tcBorders>
              <w:bottom w:val="single" w:sz="8" w:color="auto"/>
            </w:tcBorders>
            <w:shd w:val="clear" w:color="auto" w:fill="D4F1F5"/>
          </w:tcPr>
          <w:p>
            <w:pPr>
              <w:ind w:left="180"/>
              <w:spacing w:after="0"/>
              <w:rPr>
                <w:sz w:val="20"/>
                <w:szCs w:val="20"/>
                <w:color w:val="auto"/>
              </w:rPr>
            </w:pPr>
            <w:r>
              <w:rPr>
                <w:rFonts w:ascii="Arial" w:cs="Arial" w:eastAsia="Arial" w:hAnsi="Arial"/>
                <w:sz w:val="15"/>
                <w:szCs w:val="15"/>
                <w:color w:val="auto"/>
              </w:rPr>
              <w:t>tax</w:t>
            </w:r>
          </w:p>
        </w:tc>
        <w:tc>
          <w:tcPr>
            <w:tcW w:w="960" w:type="dxa"/>
            <w:vAlign w:val="bottom"/>
            <w:tcBorders>
              <w:bottom w:val="single" w:sz="8" w:color="auto"/>
            </w:tcBorders>
            <w:shd w:val="clear" w:color="auto" w:fill="D4F1F5"/>
          </w:tcPr>
          <w:p>
            <w:pPr>
              <w:jc w:val="right"/>
              <w:ind w:right="785"/>
              <w:spacing w:after="0"/>
              <w:rPr>
                <w:sz w:val="20"/>
                <w:szCs w:val="20"/>
                <w:color w:val="auto"/>
              </w:rPr>
            </w:pPr>
            <w:r>
              <w:rPr>
                <w:rFonts w:ascii="Arial" w:cs="Arial" w:eastAsia="Arial" w:hAnsi="Arial"/>
                <w:sz w:val="15"/>
                <w:szCs w:val="15"/>
                <w:color w:val="auto"/>
                <w:w w:val="95"/>
              </w:rPr>
              <w:t>$</w:t>
            </w:r>
          </w:p>
        </w:tc>
        <w:tc>
          <w:tcPr>
            <w:tcW w:w="460" w:type="dxa"/>
            <w:vAlign w:val="bottom"/>
            <w:tcBorders>
              <w:bottom w:val="single" w:sz="8" w:color="auto"/>
            </w:tcBorders>
            <w:shd w:val="clear" w:color="auto" w:fill="D4F1F5"/>
          </w:tcPr>
          <w:p>
            <w:pPr>
              <w:jc w:val="right"/>
              <w:ind w:right="84"/>
              <w:spacing w:after="0"/>
              <w:rPr>
                <w:sz w:val="20"/>
                <w:szCs w:val="20"/>
                <w:color w:val="auto"/>
              </w:rPr>
            </w:pPr>
            <w:r>
              <w:rPr>
                <w:rFonts w:ascii="Arial" w:cs="Arial" w:eastAsia="Arial" w:hAnsi="Arial"/>
                <w:sz w:val="15"/>
                <w:szCs w:val="15"/>
                <w:color w:val="auto"/>
              </w:rPr>
              <w:t>—</w:t>
            </w:r>
          </w:p>
        </w:tc>
        <w:tc>
          <w:tcPr>
            <w:tcW w:w="1100" w:type="dxa"/>
            <w:vAlign w:val="bottom"/>
            <w:tcBorders>
              <w:bottom w:val="single" w:sz="8" w:color="auto"/>
            </w:tcBorders>
            <w:shd w:val="clear" w:color="auto" w:fill="D4F1F5"/>
          </w:tcPr>
          <w:p>
            <w:pPr>
              <w:jc w:val="right"/>
              <w:ind w:right="824"/>
              <w:spacing w:after="0"/>
              <w:rPr>
                <w:sz w:val="20"/>
                <w:szCs w:val="20"/>
                <w:color w:val="auto"/>
              </w:rPr>
            </w:pPr>
            <w:r>
              <w:rPr>
                <w:rFonts w:ascii="Arial" w:cs="Arial" w:eastAsia="Arial" w:hAnsi="Arial"/>
                <w:sz w:val="15"/>
                <w:szCs w:val="15"/>
                <w:color w:val="auto"/>
              </w:rPr>
              <w:t>$</w:t>
            </w:r>
          </w:p>
        </w:tc>
        <w:tc>
          <w:tcPr>
            <w:tcW w:w="320" w:type="dxa"/>
            <w:vAlign w:val="bottom"/>
            <w:tcBorders>
              <w:bottom w:val="single" w:sz="8" w:color="auto"/>
            </w:tcBorders>
            <w:shd w:val="clear" w:color="auto" w:fill="D4F1F5"/>
          </w:tcPr>
          <w:p>
            <w:pPr>
              <w:jc w:val="center"/>
              <w:ind w:left="44"/>
              <w:spacing w:after="0"/>
              <w:rPr>
                <w:sz w:val="20"/>
                <w:szCs w:val="20"/>
                <w:color w:val="auto"/>
              </w:rPr>
            </w:pPr>
            <w:r>
              <w:rPr>
                <w:rFonts w:ascii="Arial" w:cs="Arial" w:eastAsia="Arial" w:hAnsi="Arial"/>
                <w:sz w:val="15"/>
                <w:szCs w:val="15"/>
                <w:color w:val="auto"/>
                <w:w w:val="95"/>
              </w:rPr>
              <w:t>4</w:t>
            </w:r>
          </w:p>
        </w:tc>
        <w:tc>
          <w:tcPr>
            <w:tcW w:w="4020" w:type="dxa"/>
            <w:vAlign w:val="bottom"/>
            <w:tcBorders>
              <w:bottom w:val="single" w:sz="8" w:color="auto"/>
            </w:tcBorders>
            <w:shd w:val="clear" w:color="auto" w:fill="D4F1F5"/>
          </w:tcPr>
          <w:p>
            <w:pPr>
              <w:spacing w:after="0"/>
              <w:rPr>
                <w:sz w:val="19"/>
                <w:szCs w:val="19"/>
                <w:color w:val="auto"/>
              </w:rPr>
            </w:pPr>
          </w:p>
        </w:tc>
      </w:tr>
    </w:tbl>
    <w:p>
      <w:pPr>
        <w:spacing w:after="0" w:line="61" w:lineRule="exact"/>
        <w:rPr>
          <w:sz w:val="20"/>
          <w:szCs w:val="20"/>
          <w:color w:val="auto"/>
        </w:rPr>
      </w:pPr>
    </w:p>
    <w:p>
      <w:pPr>
        <w:ind w:left="260" w:hanging="252"/>
        <w:spacing w:after="0"/>
        <w:tabs>
          <w:tab w:leader="none" w:pos="260" w:val="left"/>
        </w:tabs>
        <w:numPr>
          <w:ilvl w:val="0"/>
          <w:numId w:val="11"/>
        </w:numPr>
        <w:rPr>
          <w:rFonts w:ascii="Arial" w:cs="Arial" w:eastAsia="Arial" w:hAnsi="Arial"/>
          <w:sz w:val="21"/>
          <w:szCs w:val="21"/>
          <w:i w:val="1"/>
          <w:iCs w:val="1"/>
          <w:color w:val="auto"/>
          <w:vertAlign w:val="superscript"/>
        </w:rPr>
      </w:pPr>
      <w:r>
        <w:rPr>
          <w:rFonts w:ascii="Arial" w:cs="Arial" w:eastAsia="Arial" w:hAnsi="Arial"/>
          <w:sz w:val="14"/>
          <w:szCs w:val="14"/>
          <w:i w:val="1"/>
          <w:iCs w:val="1"/>
          <w:color w:val="auto"/>
        </w:rPr>
        <w:t>Equity earnings at Oncor Holdings and our foreign equity method investees are recognized after tax.</w:t>
      </w:r>
    </w:p>
    <w:p>
      <w:pPr>
        <w:spacing w:after="0" w:line="39" w:lineRule="exact"/>
        <w:rPr>
          <w:rFonts w:ascii="Arial" w:cs="Arial" w:eastAsia="Arial" w:hAnsi="Arial"/>
          <w:sz w:val="21"/>
          <w:szCs w:val="21"/>
          <w:i w:val="1"/>
          <w:iCs w:val="1"/>
          <w:color w:val="auto"/>
          <w:vertAlign w:val="superscript"/>
        </w:rPr>
      </w:pPr>
    </w:p>
    <w:p>
      <w:pPr>
        <w:ind w:left="260" w:hanging="252"/>
        <w:spacing w:after="0" w:line="183" w:lineRule="auto"/>
        <w:tabs>
          <w:tab w:leader="none" w:pos="260" w:val="left"/>
        </w:tabs>
        <w:numPr>
          <w:ilvl w:val="0"/>
          <w:numId w:val="11"/>
        </w:numPr>
        <w:rPr>
          <w:rFonts w:ascii="Arial" w:cs="Arial" w:eastAsia="Arial" w:hAnsi="Arial"/>
          <w:sz w:val="20"/>
          <w:szCs w:val="20"/>
          <w:i w:val="1"/>
          <w:iCs w:val="1"/>
          <w:color w:val="auto"/>
          <w:vertAlign w:val="superscript"/>
        </w:rPr>
      </w:pPr>
      <w:r>
        <w:rPr>
          <w:rFonts w:ascii="Arial" w:cs="Arial" w:eastAsia="Arial" w:hAnsi="Arial"/>
          <w:sz w:val="14"/>
          <w:szCs w:val="14"/>
          <w:i w:val="1"/>
          <w:iCs w:val="1"/>
          <w:color w:val="auto"/>
        </w:rPr>
        <w:t>Amounts are included in the computation of net periodic benefit cost (see “Pension and PBOP” below).</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the three months ended March 31, 2026 and 2025, reclassifications out of AOCI to net income were negligible for SDG&amp;E.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150495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20"/>
          </w:cols>
          <w:pgMar w:left="320" w:top="121" w:right="65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PENSION AND PBOP</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Special Termination Benefits</w:t>
      </w:r>
    </w:p>
    <w:p>
      <w:pPr>
        <w:spacing w:after="0" w:line="49" w:lineRule="exact"/>
        <w:rPr>
          <w:sz w:val="20"/>
          <w:szCs w:val="20"/>
          <w:color w:val="auto"/>
        </w:rPr>
      </w:pPr>
    </w:p>
    <w:p>
      <w:pPr>
        <w:ind w:right="500"/>
        <w:spacing w:after="0" w:line="289" w:lineRule="auto"/>
        <w:rPr>
          <w:sz w:val="20"/>
          <w:szCs w:val="20"/>
          <w:color w:val="auto"/>
        </w:rPr>
      </w:pPr>
      <w:r>
        <w:rPr>
          <w:rFonts w:ascii="Times New Roman" w:cs="Times New Roman" w:eastAsia="Times New Roman" w:hAnsi="Times New Roman"/>
          <w:sz w:val="18"/>
          <w:szCs w:val="18"/>
          <w:color w:val="auto"/>
        </w:rPr>
        <w:t>In the first quarter of 2026, certain eligible employees elected to retire in the second quarter of 2026 under a VREP and will receive an additional postretirement health benefit in the form of a $100,000 Health Reimbursement Account. Employees eligible to participate in the VREP consisted of:</w:t>
      </w:r>
    </w:p>
    <w:p>
      <w:pPr>
        <w:spacing w:after="0" w:line="1" w:lineRule="exact"/>
        <w:rPr>
          <w:sz w:val="20"/>
          <w:szCs w:val="20"/>
          <w:color w:val="auto"/>
        </w:rPr>
      </w:pPr>
    </w:p>
    <w:p>
      <w:pPr>
        <w:ind w:left="180" w:right="60" w:hanging="172"/>
        <w:spacing w:after="0" w:line="273" w:lineRule="auto"/>
        <w:tabs>
          <w:tab w:leader="none" w:pos="176"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SDG&amp;E and SoCalGas non-represented employees aged 62 years or older with five years of service or ages 55 to 61 with 10 years of service as of April 30, 2026</w:t>
      </w:r>
    </w:p>
    <w:p>
      <w:pPr>
        <w:spacing w:after="0" w:line="1" w:lineRule="exact"/>
        <w:rPr>
          <w:rFonts w:ascii="Times New Roman" w:cs="Times New Roman" w:eastAsia="Times New Roman" w:hAnsi="Times New Roman"/>
          <w:sz w:val="18"/>
          <w:szCs w:val="18"/>
          <w:color w:val="auto"/>
        </w:rPr>
      </w:pPr>
    </w:p>
    <w:p>
      <w:pPr>
        <w:ind w:left="160" w:hanging="152"/>
        <w:spacing w:after="0"/>
        <w:tabs>
          <w:tab w:leader="none" w:pos="1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SoCalGas represented employees aged 65 years or older with five years of service or ages 55 to 64 with 15 years of service as of April 30, 2026</w:t>
      </w:r>
    </w:p>
    <w:p>
      <w:pPr>
        <w:spacing w:after="0" w:line="158" w:lineRule="exact"/>
        <w:rPr>
          <w:sz w:val="20"/>
          <w:szCs w:val="20"/>
          <w:color w:val="auto"/>
        </w:rPr>
      </w:pPr>
    </w:p>
    <w:p>
      <w:pPr>
        <w:ind w:right="20"/>
        <w:spacing w:after="0" w:line="281" w:lineRule="auto"/>
        <w:rPr>
          <w:sz w:val="20"/>
          <w:szCs w:val="20"/>
          <w:color w:val="auto"/>
        </w:rPr>
      </w:pPr>
      <w:r>
        <w:rPr>
          <w:rFonts w:ascii="Times New Roman" w:cs="Times New Roman" w:eastAsia="Times New Roman" w:hAnsi="Times New Roman"/>
          <w:sz w:val="18"/>
          <w:szCs w:val="18"/>
          <w:color w:val="auto"/>
        </w:rPr>
        <w:t>We accounted for the benefit obligation attributable to the Health Reimbursement Account as a special termination benefit. This resulted in increases to the recorded liability for PBOP and net periodic benefit cost of $18 million for Sempra, $6 million for SDG&amp;E and $12 million for SoCalGas in the three months ended March 31, 2026.</w:t>
      </w:r>
    </w:p>
    <w:p>
      <w:pPr>
        <w:spacing w:after="0" w:line="56" w:lineRule="exact"/>
        <w:rPr>
          <w:sz w:val="20"/>
          <w:szCs w:val="20"/>
          <w:color w:val="auto"/>
        </w:rPr>
      </w:pPr>
    </w:p>
    <w:p>
      <w:pPr>
        <w:ind w:right="20"/>
        <w:spacing w:after="0" w:line="281" w:lineRule="auto"/>
        <w:rPr>
          <w:sz w:val="20"/>
          <w:szCs w:val="20"/>
          <w:color w:val="auto"/>
        </w:rPr>
      </w:pPr>
      <w:r>
        <w:rPr>
          <w:rFonts w:ascii="Times New Roman" w:cs="Times New Roman" w:eastAsia="Times New Roman" w:hAnsi="Times New Roman"/>
          <w:sz w:val="18"/>
          <w:szCs w:val="18"/>
          <w:color w:val="auto"/>
        </w:rPr>
        <w:t>SDG&amp;E also offered a similar program to represented employees aged 62 years or older with five years of service or ages 55 to 61 with 10 years of service as of June 30, 2026. Eligible employees have until May 15, 2026 to make their elections. SDG&amp;E will account for this special termination benefit obligation attributable to the Health Reimbursement Account in the second quarter of 2026.</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Partial Plan Termination</w:t>
      </w:r>
    </w:p>
    <w:p>
      <w:pPr>
        <w:spacing w:after="0" w:line="49" w:lineRule="exact"/>
        <w:rPr>
          <w:sz w:val="20"/>
          <w:szCs w:val="20"/>
          <w:color w:val="auto"/>
        </w:rPr>
      </w:pPr>
    </w:p>
    <w:p>
      <w:pPr>
        <w:spacing w:after="0" w:line="264" w:lineRule="auto"/>
        <w:rPr>
          <w:sz w:val="20"/>
          <w:szCs w:val="20"/>
          <w:color w:val="auto"/>
        </w:rPr>
      </w:pPr>
      <w:r>
        <w:rPr>
          <w:rFonts w:ascii="Times New Roman" w:cs="Times New Roman" w:eastAsia="Times New Roman" w:hAnsi="Times New Roman"/>
          <w:sz w:val="18"/>
          <w:szCs w:val="18"/>
          <w:color w:val="auto"/>
        </w:rPr>
        <w:t>In connection with the planned sale of a portion of our equity interest in SI Partners, which we discuss in Note 6, Sempra entered into an agreement to contribute Sempra Services Corporation, a wholly owned subsidiary of Sempra, to SI Partners. Sempra Services Corporation employs U.S. employees performing services for SI Partners and is a participating employer in Sempra’s noncontributory defined benefit pension and PBOP plans. Upon closing the sale, which we expect to occur in the second or third quarter of 2026, Sempra Services Corporation will cease to be a participating employer in Sempra’s pension and PBOP plans. This will result in a partial termination of Sempra’s pension plan due to a reduction in the number of active participants by more than 20%. All impacted participants will be fully vested in their pension benefits as of the termination date. We expect to recognize the financial statement impact, which is currently probable but not estimable, including adjustments to pension and PBOP liabilities, AOCI, curtailment and special termination benefit accounting at the close of the sale. The financial impact for settlement accounting will be recognized when the lump sum payout crosses the annual settlement threshold.</w:t>
      </w:r>
    </w:p>
    <w:p>
      <w:pPr>
        <w:spacing w:after="0" w:line="200" w:lineRule="exact"/>
        <w:rPr>
          <w:sz w:val="20"/>
          <w:szCs w:val="20"/>
          <w:color w:val="auto"/>
        </w:rPr>
      </w:pPr>
    </w:p>
    <w:p>
      <w:pPr>
        <w:spacing w:after="0" w:line="35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150495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Net Periodic Benefit Cost</w:t>
      </w:r>
    </w:p>
    <w:p>
      <w:pPr>
        <w:spacing w:after="0" w:line="49" w:lineRule="exact"/>
        <w:rPr>
          <w:sz w:val="20"/>
          <w:szCs w:val="20"/>
          <w:color w:val="auto"/>
        </w:rPr>
      </w:pPr>
    </w:p>
    <w:p>
      <w:pPr>
        <w:ind w:right="760"/>
        <w:spacing w:after="0" w:line="297" w:lineRule="auto"/>
        <w:rPr>
          <w:sz w:val="20"/>
          <w:szCs w:val="20"/>
          <w:color w:val="auto"/>
        </w:rPr>
      </w:pPr>
      <w:r>
        <w:rPr>
          <w:rFonts w:ascii="Times New Roman" w:cs="Times New Roman" w:eastAsia="Times New Roman" w:hAnsi="Times New Roman"/>
          <w:sz w:val="18"/>
          <w:szCs w:val="18"/>
          <w:color w:val="auto"/>
        </w:rPr>
        <w:t>The following tables provide the components of net periodic benefit cost. The components of net periodic benefit cost, other than the service cost component, are included in Other Income, Net.</w:t>
      </w:r>
    </w:p>
    <w:p>
      <w:pPr>
        <w:spacing w:after="0" w:line="86"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FFFFFF"/>
        </w:rPr>
        <w:t>NET PERIODIC BENEFIT COST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-115570</wp:posOffset>
            </wp:positionV>
            <wp:extent cx="7132320" cy="26543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265430"/>
                    </a:xfrm>
                    <a:prstGeom prst="rect">
                      <a:avLst/>
                    </a:prstGeom>
                    <a:noFill/>
                  </pic:spPr>
                </pic:pic>
              </a:graphicData>
            </a:graphic>
          </wp:anchor>
        </w:drawing>
      </w:r>
    </w:p>
    <w:p>
      <w:pPr>
        <w:spacing w:after="0" w:line="19" w:lineRule="exact"/>
        <w:rPr>
          <w:sz w:val="20"/>
          <w:szCs w:val="20"/>
          <w:color w:val="auto"/>
        </w:rPr>
      </w:pPr>
    </w:p>
    <w:p>
      <w:pPr>
        <w:ind w:left="20"/>
        <w:spacing w:after="0"/>
        <w:rPr>
          <w:sz w:val="20"/>
          <w:szCs w:val="20"/>
          <w:color w:val="auto"/>
        </w:rPr>
      </w:pPr>
      <w:r>
        <w:rPr>
          <w:rFonts w:ascii="Arial" w:cs="Arial" w:eastAsia="Arial" w:hAnsi="Arial"/>
          <w:sz w:val="14"/>
          <w:szCs w:val="14"/>
          <w:i w:val="1"/>
          <w:iCs w:val="1"/>
          <w:color w:val="FFFFFF"/>
        </w:rPr>
        <w:t>(Dollars in millions)</w:t>
      </w:r>
    </w:p>
    <w:p>
      <w:pPr>
        <w:spacing w:after="0" w:line="53"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5180" w:type="dxa"/>
            <w:vAlign w:val="bottom"/>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2"/>
          </w:tcPr>
          <w:p>
            <w:pPr>
              <w:jc w:val="right"/>
              <w:ind w:right="681"/>
              <w:spacing w:after="0"/>
              <w:rPr>
                <w:sz w:val="20"/>
                <w:szCs w:val="20"/>
                <w:color w:val="auto"/>
              </w:rPr>
            </w:pPr>
            <w:r>
              <w:rPr>
                <w:rFonts w:ascii="Arial" w:cs="Arial" w:eastAsia="Arial" w:hAnsi="Arial"/>
                <w:sz w:val="14"/>
                <w:szCs w:val="14"/>
                <w:color w:val="auto"/>
              </w:rPr>
              <w:t>Pension</w:t>
            </w:r>
          </w:p>
        </w:tc>
        <w:tc>
          <w:tcPr>
            <w:tcW w:w="5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gridSpan w:val="2"/>
          </w:tcPr>
          <w:p>
            <w:pPr>
              <w:jc w:val="right"/>
              <w:ind w:right="119"/>
              <w:spacing w:after="0"/>
              <w:rPr>
                <w:sz w:val="20"/>
                <w:szCs w:val="20"/>
                <w:color w:val="auto"/>
              </w:rPr>
            </w:pPr>
            <w:r>
              <w:rPr>
                <w:rFonts w:ascii="Arial" w:cs="Arial" w:eastAsia="Arial" w:hAnsi="Arial"/>
                <w:sz w:val="14"/>
                <w:szCs w:val="14"/>
                <w:color w:val="auto"/>
              </w:rPr>
              <w:t>PBOP</w:t>
            </w:r>
          </w:p>
        </w:tc>
        <w:tc>
          <w:tcPr>
            <w:tcW w:w="1060" w:type="dxa"/>
            <w:vAlign w:val="bottom"/>
            <w:tcBorders>
              <w:bottom w:val="single" w:sz="8" w:color="auto"/>
            </w:tcBorders>
          </w:tcPr>
          <w:p>
            <w:pPr>
              <w:spacing w:after="0"/>
              <w:rPr>
                <w:sz w:val="16"/>
                <w:szCs w:val="16"/>
                <w:color w:val="auto"/>
              </w:rPr>
            </w:pPr>
          </w:p>
        </w:tc>
      </w:tr>
      <w:tr>
        <w:trPr>
          <w:trHeight w:val="196"/>
        </w:trPr>
        <w:tc>
          <w:tcPr>
            <w:tcW w:w="5180" w:type="dxa"/>
            <w:vAlign w:val="bottom"/>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268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4"/>
                <w:szCs w:val="14"/>
                <w:color w:val="auto"/>
              </w:rPr>
              <w:t>Three months ended March 31,</w:t>
            </w:r>
          </w:p>
        </w:tc>
        <w:tc>
          <w:tcPr>
            <w:tcW w:w="46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r>
      <w:tr>
        <w:trPr>
          <w:trHeight w:val="196"/>
        </w:trPr>
        <w:tc>
          <w:tcPr>
            <w:tcW w:w="51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40"/>
              <w:spacing w:after="0"/>
              <w:rPr>
                <w:sz w:val="20"/>
                <w:szCs w:val="20"/>
                <w:color w:val="auto"/>
              </w:rPr>
            </w:pPr>
            <w:r>
              <w:rPr>
                <w:rFonts w:ascii="Arial" w:cs="Arial" w:eastAsia="Arial" w:hAnsi="Arial"/>
                <w:sz w:val="14"/>
                <w:szCs w:val="14"/>
                <w:color w:val="auto"/>
              </w:rPr>
              <w:t>2026</w:t>
            </w:r>
          </w:p>
        </w:tc>
        <w:tc>
          <w:tcPr>
            <w:tcW w:w="4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21"/>
              <w:spacing w:after="0"/>
              <w:rPr>
                <w:sz w:val="20"/>
                <w:szCs w:val="20"/>
                <w:color w:val="auto"/>
              </w:rPr>
            </w:pPr>
            <w:r>
              <w:rPr>
                <w:rFonts w:ascii="Arial" w:cs="Arial" w:eastAsia="Arial" w:hAnsi="Arial"/>
                <w:sz w:val="14"/>
                <w:szCs w:val="14"/>
                <w:color w:val="auto"/>
              </w:rPr>
              <w:t>2025</w:t>
            </w:r>
          </w:p>
        </w:tc>
        <w:tc>
          <w:tcPr>
            <w:tcW w:w="5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60"/>
              <w:spacing w:after="0"/>
              <w:rPr>
                <w:sz w:val="20"/>
                <w:szCs w:val="20"/>
                <w:color w:val="auto"/>
              </w:rPr>
            </w:pPr>
            <w:r>
              <w:rPr>
                <w:rFonts w:ascii="Arial" w:cs="Arial" w:eastAsia="Arial" w:hAnsi="Arial"/>
                <w:sz w:val="14"/>
                <w:szCs w:val="14"/>
                <w:color w:val="auto"/>
              </w:rPr>
              <w:t>2026</w:t>
            </w:r>
          </w:p>
        </w:tc>
        <w:tc>
          <w:tcPr>
            <w:tcW w:w="46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59"/>
              <w:spacing w:after="0"/>
              <w:rPr>
                <w:sz w:val="20"/>
                <w:szCs w:val="20"/>
                <w:color w:val="auto"/>
              </w:rPr>
            </w:pPr>
            <w:r>
              <w:rPr>
                <w:rFonts w:ascii="Arial" w:cs="Arial" w:eastAsia="Arial" w:hAnsi="Arial"/>
                <w:sz w:val="14"/>
                <w:szCs w:val="14"/>
                <w:color w:val="auto"/>
              </w:rPr>
              <w:t>2025</w:t>
            </w:r>
          </w:p>
        </w:tc>
      </w:tr>
      <w:tr>
        <w:trPr>
          <w:trHeight w:val="213"/>
        </w:trPr>
        <w:tc>
          <w:tcPr>
            <w:tcW w:w="5180" w:type="dxa"/>
            <w:vAlign w:val="bottom"/>
            <w:shd w:val="clear" w:color="auto" w:fill="D4F1F5"/>
          </w:tcPr>
          <w:p>
            <w:pPr>
              <w:ind w:left="20"/>
              <w:spacing w:after="0"/>
              <w:rPr>
                <w:sz w:val="20"/>
                <w:szCs w:val="20"/>
                <w:color w:val="auto"/>
              </w:rPr>
            </w:pPr>
            <w:r>
              <w:rPr>
                <w:rFonts w:ascii="Arial" w:cs="Arial" w:eastAsia="Arial" w:hAnsi="Arial"/>
                <w:sz w:val="16"/>
                <w:szCs w:val="16"/>
                <w:b w:val="1"/>
                <w:bCs w:val="1"/>
                <w:color w:val="auto"/>
              </w:rPr>
              <w:t>Sempra:</w:t>
            </w:r>
          </w:p>
        </w:tc>
        <w:tc>
          <w:tcPr>
            <w:tcW w:w="980" w:type="dxa"/>
            <w:vAlign w:val="bottom"/>
            <w:shd w:val="clear" w:color="auto" w:fill="D4F1F5"/>
          </w:tcPr>
          <w:p>
            <w:pPr>
              <w:spacing w:after="0"/>
              <w:rPr>
                <w:sz w:val="18"/>
                <w:szCs w:val="18"/>
                <w:color w:val="auto"/>
              </w:rPr>
            </w:pPr>
          </w:p>
        </w:tc>
        <w:tc>
          <w:tcPr>
            <w:tcW w:w="480" w:type="dxa"/>
            <w:vAlign w:val="bottom"/>
            <w:shd w:val="clear" w:color="auto" w:fill="D4F1F5"/>
          </w:tcPr>
          <w:p>
            <w:pPr>
              <w:spacing w:after="0"/>
              <w:rPr>
                <w:sz w:val="18"/>
                <w:szCs w:val="18"/>
                <w:color w:val="auto"/>
              </w:rPr>
            </w:pPr>
          </w:p>
        </w:tc>
        <w:tc>
          <w:tcPr>
            <w:tcW w:w="1020" w:type="dxa"/>
            <w:vAlign w:val="bottom"/>
            <w:shd w:val="clear" w:color="auto" w:fill="D4F1F5"/>
          </w:tcPr>
          <w:p>
            <w:pPr>
              <w:spacing w:after="0"/>
              <w:rPr>
                <w:sz w:val="18"/>
                <w:szCs w:val="18"/>
                <w:color w:val="auto"/>
              </w:rPr>
            </w:pPr>
          </w:p>
        </w:tc>
        <w:tc>
          <w:tcPr>
            <w:tcW w:w="540" w:type="dxa"/>
            <w:vAlign w:val="bottom"/>
            <w:shd w:val="clear" w:color="auto" w:fill="D4F1F5"/>
          </w:tcPr>
          <w:p>
            <w:pPr>
              <w:spacing w:after="0"/>
              <w:rPr>
                <w:sz w:val="18"/>
                <w:szCs w:val="18"/>
                <w:color w:val="auto"/>
              </w:rPr>
            </w:pPr>
          </w:p>
        </w:tc>
        <w:tc>
          <w:tcPr>
            <w:tcW w:w="1120" w:type="dxa"/>
            <w:vAlign w:val="bottom"/>
            <w:shd w:val="clear" w:color="auto" w:fill="D4F1F5"/>
          </w:tcPr>
          <w:p>
            <w:pPr>
              <w:spacing w:after="0"/>
              <w:rPr>
                <w:sz w:val="18"/>
                <w:szCs w:val="18"/>
                <w:color w:val="auto"/>
              </w:rPr>
            </w:pPr>
          </w:p>
        </w:tc>
        <w:tc>
          <w:tcPr>
            <w:tcW w:w="460" w:type="dxa"/>
            <w:vAlign w:val="bottom"/>
            <w:shd w:val="clear" w:color="auto" w:fill="D4F1F5"/>
          </w:tcPr>
          <w:p>
            <w:pPr>
              <w:spacing w:after="0"/>
              <w:rPr>
                <w:sz w:val="18"/>
                <w:szCs w:val="18"/>
                <w:color w:val="auto"/>
              </w:rPr>
            </w:pPr>
          </w:p>
        </w:tc>
        <w:tc>
          <w:tcPr>
            <w:tcW w:w="400" w:type="dxa"/>
            <w:vAlign w:val="bottom"/>
            <w:shd w:val="clear" w:color="auto" w:fill="D4F1F5"/>
          </w:tcPr>
          <w:p>
            <w:pPr>
              <w:spacing w:after="0"/>
              <w:rPr>
                <w:sz w:val="18"/>
                <w:szCs w:val="18"/>
                <w:color w:val="auto"/>
              </w:rPr>
            </w:pPr>
          </w:p>
        </w:tc>
        <w:tc>
          <w:tcPr>
            <w:tcW w:w="1060" w:type="dxa"/>
            <w:vAlign w:val="bottom"/>
            <w:shd w:val="clear" w:color="auto" w:fill="D4F1F5"/>
          </w:tcPr>
          <w:p>
            <w:pPr>
              <w:spacing w:after="0"/>
              <w:rPr>
                <w:sz w:val="18"/>
                <w:szCs w:val="18"/>
                <w:color w:val="auto"/>
              </w:rPr>
            </w:pPr>
          </w:p>
        </w:tc>
      </w:tr>
      <w:tr>
        <w:trPr>
          <w:trHeight w:val="215"/>
        </w:trPr>
        <w:tc>
          <w:tcPr>
            <w:tcW w:w="5180" w:type="dxa"/>
            <w:vAlign w:val="bottom"/>
          </w:tcPr>
          <w:p>
            <w:pPr>
              <w:ind w:left="20"/>
              <w:spacing w:after="0"/>
              <w:rPr>
                <w:sz w:val="20"/>
                <w:szCs w:val="20"/>
                <w:color w:val="auto"/>
              </w:rPr>
            </w:pPr>
            <w:r>
              <w:rPr>
                <w:rFonts w:ascii="Arial" w:cs="Arial" w:eastAsia="Arial" w:hAnsi="Arial"/>
                <w:sz w:val="16"/>
                <w:szCs w:val="16"/>
                <w:color w:val="auto"/>
              </w:rPr>
              <w:t>Service cost</w:t>
            </w:r>
          </w:p>
        </w:tc>
        <w:tc>
          <w:tcPr>
            <w:tcW w:w="980" w:type="dxa"/>
            <w:vAlign w:val="bottom"/>
          </w:tcPr>
          <w:p>
            <w:pPr>
              <w:jc w:val="right"/>
              <w:ind w:right="800"/>
              <w:spacing w:after="0"/>
              <w:rPr>
                <w:sz w:val="20"/>
                <w:szCs w:val="20"/>
                <w:color w:val="auto"/>
              </w:rPr>
            </w:pPr>
            <w:r>
              <w:rPr>
                <w:rFonts w:ascii="Arial" w:cs="Arial" w:eastAsia="Arial" w:hAnsi="Arial"/>
                <w:sz w:val="16"/>
                <w:szCs w:val="16"/>
                <w:color w:val="auto"/>
                <w:w w:val="89"/>
              </w:rPr>
              <w:t>$</w:t>
            </w:r>
          </w:p>
        </w:tc>
        <w:tc>
          <w:tcPr>
            <w:tcW w:w="480" w:type="dxa"/>
            <w:vAlign w:val="bottom"/>
          </w:tcPr>
          <w:p>
            <w:pPr>
              <w:jc w:val="right"/>
              <w:ind w:right="39"/>
              <w:spacing w:after="0"/>
              <w:rPr>
                <w:sz w:val="20"/>
                <w:szCs w:val="20"/>
                <w:color w:val="auto"/>
              </w:rPr>
            </w:pPr>
            <w:r>
              <w:rPr>
                <w:rFonts w:ascii="Arial" w:cs="Arial" w:eastAsia="Arial" w:hAnsi="Arial"/>
                <w:sz w:val="16"/>
                <w:szCs w:val="16"/>
                <w:color w:val="auto"/>
              </w:rPr>
              <w:t>34</w:t>
            </w:r>
          </w:p>
        </w:tc>
        <w:tc>
          <w:tcPr>
            <w:tcW w:w="1020" w:type="dxa"/>
            <w:vAlign w:val="bottom"/>
          </w:tcPr>
          <w:p>
            <w:pPr>
              <w:jc w:val="right"/>
              <w:ind w:right="781"/>
              <w:spacing w:after="0"/>
              <w:rPr>
                <w:sz w:val="20"/>
                <w:szCs w:val="20"/>
                <w:color w:val="auto"/>
              </w:rPr>
            </w:pPr>
            <w:r>
              <w:rPr>
                <w:rFonts w:ascii="Arial" w:cs="Arial" w:eastAsia="Arial" w:hAnsi="Arial"/>
                <w:sz w:val="16"/>
                <w:szCs w:val="16"/>
                <w:color w:val="auto"/>
              </w:rPr>
              <w:t>$</w:t>
            </w:r>
          </w:p>
        </w:tc>
        <w:tc>
          <w:tcPr>
            <w:tcW w:w="540" w:type="dxa"/>
            <w:vAlign w:val="bottom"/>
          </w:tcPr>
          <w:p>
            <w:pPr>
              <w:jc w:val="right"/>
              <w:ind w:right="99"/>
              <w:spacing w:after="0"/>
              <w:rPr>
                <w:sz w:val="20"/>
                <w:szCs w:val="20"/>
                <w:color w:val="auto"/>
              </w:rPr>
            </w:pPr>
            <w:r>
              <w:rPr>
                <w:rFonts w:ascii="Arial" w:cs="Arial" w:eastAsia="Arial" w:hAnsi="Arial"/>
                <w:sz w:val="16"/>
                <w:szCs w:val="16"/>
                <w:color w:val="auto"/>
              </w:rPr>
              <w:t>32</w:t>
            </w:r>
          </w:p>
        </w:tc>
        <w:tc>
          <w:tcPr>
            <w:tcW w:w="1120" w:type="dxa"/>
            <w:vAlign w:val="bottom"/>
          </w:tcPr>
          <w:p>
            <w:pPr>
              <w:jc w:val="right"/>
              <w:ind w:right="800"/>
              <w:spacing w:after="0"/>
              <w:rPr>
                <w:sz w:val="20"/>
                <w:szCs w:val="20"/>
                <w:color w:val="auto"/>
              </w:rPr>
            </w:pPr>
            <w:r>
              <w:rPr>
                <w:rFonts w:ascii="Arial" w:cs="Arial" w:eastAsia="Arial" w:hAnsi="Arial"/>
                <w:sz w:val="16"/>
                <w:szCs w:val="16"/>
                <w:color w:val="auto"/>
              </w:rPr>
              <w:t>$</w:t>
            </w:r>
          </w:p>
        </w:tc>
        <w:tc>
          <w:tcPr>
            <w:tcW w:w="460" w:type="dxa"/>
            <w:vAlign w:val="bottom"/>
          </w:tcPr>
          <w:p>
            <w:pPr>
              <w:jc w:val="right"/>
              <w:ind w:right="39"/>
              <w:spacing w:after="0"/>
              <w:rPr>
                <w:sz w:val="20"/>
                <w:szCs w:val="20"/>
                <w:color w:val="auto"/>
              </w:rPr>
            </w:pPr>
            <w:r>
              <w:rPr>
                <w:rFonts w:ascii="Arial" w:cs="Arial" w:eastAsia="Arial" w:hAnsi="Arial"/>
                <w:sz w:val="16"/>
                <w:szCs w:val="16"/>
                <w:color w:val="auto"/>
              </w:rPr>
              <w:t>3</w:t>
            </w:r>
          </w:p>
        </w:tc>
        <w:tc>
          <w:tcPr>
            <w:tcW w:w="40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3</w:t>
            </w:r>
          </w:p>
        </w:tc>
      </w:tr>
      <w:tr>
        <w:trPr>
          <w:trHeight w:val="217"/>
        </w:trPr>
        <w:tc>
          <w:tcPr>
            <w:tcW w:w="5180" w:type="dxa"/>
            <w:vAlign w:val="bottom"/>
            <w:shd w:val="clear" w:color="auto" w:fill="D4F1F5"/>
          </w:tcPr>
          <w:p>
            <w:pPr>
              <w:ind w:left="20"/>
              <w:spacing w:after="0"/>
              <w:rPr>
                <w:sz w:val="20"/>
                <w:szCs w:val="20"/>
                <w:color w:val="auto"/>
              </w:rPr>
            </w:pPr>
            <w:r>
              <w:rPr>
                <w:rFonts w:ascii="Arial" w:cs="Arial" w:eastAsia="Arial" w:hAnsi="Arial"/>
                <w:sz w:val="16"/>
                <w:szCs w:val="16"/>
                <w:color w:val="auto"/>
              </w:rPr>
              <w:t>Interest cost</w:t>
            </w:r>
          </w:p>
        </w:tc>
        <w:tc>
          <w:tcPr>
            <w:tcW w:w="980" w:type="dxa"/>
            <w:vAlign w:val="bottom"/>
            <w:shd w:val="clear" w:color="auto" w:fill="D4F1F5"/>
          </w:tcPr>
          <w:p>
            <w:pPr>
              <w:spacing w:after="0"/>
              <w:rPr>
                <w:sz w:val="18"/>
                <w:szCs w:val="18"/>
                <w:color w:val="auto"/>
              </w:rPr>
            </w:pPr>
          </w:p>
        </w:tc>
        <w:tc>
          <w:tcPr>
            <w:tcW w:w="480" w:type="dxa"/>
            <w:vAlign w:val="bottom"/>
            <w:shd w:val="clear" w:color="auto" w:fill="D4F1F5"/>
          </w:tcPr>
          <w:p>
            <w:pPr>
              <w:jc w:val="right"/>
              <w:ind w:right="39"/>
              <w:spacing w:after="0"/>
              <w:rPr>
                <w:sz w:val="20"/>
                <w:szCs w:val="20"/>
                <w:color w:val="auto"/>
              </w:rPr>
            </w:pPr>
            <w:r>
              <w:rPr>
                <w:rFonts w:ascii="Arial" w:cs="Arial" w:eastAsia="Arial" w:hAnsi="Arial"/>
                <w:sz w:val="16"/>
                <w:szCs w:val="16"/>
                <w:color w:val="auto"/>
              </w:rPr>
              <w:t>45</w:t>
            </w:r>
          </w:p>
        </w:tc>
        <w:tc>
          <w:tcPr>
            <w:tcW w:w="1020" w:type="dxa"/>
            <w:vAlign w:val="bottom"/>
            <w:shd w:val="clear" w:color="auto" w:fill="D4F1F5"/>
          </w:tcPr>
          <w:p>
            <w:pPr>
              <w:spacing w:after="0"/>
              <w:rPr>
                <w:sz w:val="18"/>
                <w:szCs w:val="18"/>
                <w:color w:val="auto"/>
              </w:rPr>
            </w:pPr>
          </w:p>
        </w:tc>
        <w:tc>
          <w:tcPr>
            <w:tcW w:w="540" w:type="dxa"/>
            <w:vAlign w:val="bottom"/>
            <w:shd w:val="clear" w:color="auto" w:fill="D4F1F5"/>
          </w:tcPr>
          <w:p>
            <w:pPr>
              <w:jc w:val="right"/>
              <w:ind w:right="99"/>
              <w:spacing w:after="0"/>
              <w:rPr>
                <w:sz w:val="20"/>
                <w:szCs w:val="20"/>
                <w:color w:val="auto"/>
              </w:rPr>
            </w:pPr>
            <w:r>
              <w:rPr>
                <w:rFonts w:ascii="Arial" w:cs="Arial" w:eastAsia="Arial" w:hAnsi="Arial"/>
                <w:sz w:val="16"/>
                <w:szCs w:val="16"/>
                <w:color w:val="auto"/>
              </w:rPr>
              <w:t>45</w:t>
            </w:r>
          </w:p>
        </w:tc>
        <w:tc>
          <w:tcPr>
            <w:tcW w:w="1120" w:type="dxa"/>
            <w:vAlign w:val="bottom"/>
            <w:shd w:val="clear" w:color="auto" w:fill="D4F1F5"/>
          </w:tcPr>
          <w:p>
            <w:pPr>
              <w:spacing w:after="0"/>
              <w:rPr>
                <w:sz w:val="18"/>
                <w:szCs w:val="18"/>
                <w:color w:val="auto"/>
              </w:rPr>
            </w:pPr>
          </w:p>
        </w:tc>
        <w:tc>
          <w:tcPr>
            <w:tcW w:w="460" w:type="dxa"/>
            <w:vAlign w:val="bottom"/>
            <w:shd w:val="clear" w:color="auto" w:fill="D4F1F5"/>
          </w:tcPr>
          <w:p>
            <w:pPr>
              <w:jc w:val="right"/>
              <w:ind w:right="39"/>
              <w:spacing w:after="0"/>
              <w:rPr>
                <w:sz w:val="20"/>
                <w:szCs w:val="20"/>
                <w:color w:val="auto"/>
              </w:rPr>
            </w:pPr>
            <w:r>
              <w:rPr>
                <w:rFonts w:ascii="Arial" w:cs="Arial" w:eastAsia="Arial" w:hAnsi="Arial"/>
                <w:sz w:val="16"/>
                <w:szCs w:val="16"/>
                <w:color w:val="auto"/>
              </w:rPr>
              <w:t>11</w:t>
            </w:r>
          </w:p>
        </w:tc>
        <w:tc>
          <w:tcPr>
            <w:tcW w:w="400" w:type="dxa"/>
            <w:vAlign w:val="bottom"/>
            <w:shd w:val="clear" w:color="auto" w:fill="D4F1F5"/>
          </w:tcPr>
          <w:p>
            <w:pPr>
              <w:spacing w:after="0"/>
              <w:rPr>
                <w:sz w:val="18"/>
                <w:szCs w:val="18"/>
                <w:color w:val="auto"/>
              </w:rPr>
            </w:pPr>
          </w:p>
        </w:tc>
        <w:tc>
          <w:tcPr>
            <w:tcW w:w="1060" w:type="dxa"/>
            <w:vAlign w:val="bottom"/>
            <w:shd w:val="clear" w:color="auto" w:fill="D4F1F5"/>
          </w:tcPr>
          <w:p>
            <w:pPr>
              <w:jc w:val="right"/>
              <w:spacing w:after="0"/>
              <w:rPr>
                <w:sz w:val="20"/>
                <w:szCs w:val="20"/>
                <w:color w:val="auto"/>
              </w:rPr>
            </w:pPr>
            <w:r>
              <w:rPr>
                <w:rFonts w:ascii="Arial" w:cs="Arial" w:eastAsia="Arial" w:hAnsi="Arial"/>
                <w:sz w:val="16"/>
                <w:szCs w:val="16"/>
                <w:color w:val="auto"/>
              </w:rPr>
              <w:t>10</w:t>
            </w:r>
          </w:p>
        </w:tc>
      </w:tr>
      <w:tr>
        <w:trPr>
          <w:trHeight w:val="215"/>
        </w:trPr>
        <w:tc>
          <w:tcPr>
            <w:tcW w:w="5180" w:type="dxa"/>
            <w:vAlign w:val="bottom"/>
          </w:tcPr>
          <w:p>
            <w:pPr>
              <w:ind w:left="20"/>
              <w:spacing w:after="0"/>
              <w:rPr>
                <w:sz w:val="20"/>
                <w:szCs w:val="20"/>
                <w:color w:val="auto"/>
              </w:rPr>
            </w:pPr>
            <w:r>
              <w:rPr>
                <w:rFonts w:ascii="Arial" w:cs="Arial" w:eastAsia="Arial" w:hAnsi="Arial"/>
                <w:sz w:val="16"/>
                <w:szCs w:val="16"/>
                <w:color w:val="auto"/>
              </w:rPr>
              <w:t>Expected return on assets</w:t>
            </w:r>
          </w:p>
        </w:tc>
        <w:tc>
          <w:tcPr>
            <w:tcW w:w="9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(45)</w:t>
            </w:r>
          </w:p>
        </w:tc>
        <w:tc>
          <w:tcPr>
            <w:tcW w:w="1020" w:type="dxa"/>
            <w:vAlign w:val="bottom"/>
          </w:tcPr>
          <w:p>
            <w:pPr>
              <w:spacing w:after="0"/>
              <w:rPr>
                <w:sz w:val="18"/>
                <w:szCs w:val="18"/>
                <w:color w:val="auto"/>
              </w:rPr>
            </w:pPr>
          </w:p>
        </w:tc>
        <w:tc>
          <w:tcPr>
            <w:tcW w:w="540" w:type="dxa"/>
            <w:vAlign w:val="bottom"/>
          </w:tcPr>
          <w:p>
            <w:pPr>
              <w:jc w:val="right"/>
              <w:ind w:right="59"/>
              <w:spacing w:after="0"/>
              <w:rPr>
                <w:sz w:val="20"/>
                <w:szCs w:val="20"/>
                <w:color w:val="auto"/>
              </w:rPr>
            </w:pPr>
            <w:r>
              <w:rPr>
                <w:rFonts w:ascii="Arial" w:cs="Arial" w:eastAsia="Arial" w:hAnsi="Arial"/>
                <w:sz w:val="16"/>
                <w:szCs w:val="16"/>
                <w:color w:val="auto"/>
              </w:rPr>
              <w:t>(45)</w:t>
            </w:r>
          </w:p>
        </w:tc>
        <w:tc>
          <w:tcPr>
            <w:tcW w:w="11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(18)</w:t>
            </w:r>
          </w:p>
        </w:tc>
        <w:tc>
          <w:tcPr>
            <w:tcW w:w="4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(16)</w:t>
            </w:r>
          </w:p>
        </w:tc>
      </w:tr>
      <w:tr>
        <w:trPr>
          <w:trHeight w:val="217"/>
        </w:trPr>
        <w:tc>
          <w:tcPr>
            <w:tcW w:w="5180" w:type="dxa"/>
            <w:vAlign w:val="bottom"/>
            <w:shd w:val="clear" w:color="auto" w:fill="D4F1F5"/>
          </w:tcPr>
          <w:p>
            <w:pPr>
              <w:ind w:left="20"/>
              <w:spacing w:after="0"/>
              <w:rPr>
                <w:sz w:val="20"/>
                <w:szCs w:val="20"/>
                <w:color w:val="auto"/>
              </w:rPr>
            </w:pPr>
            <w:r>
              <w:rPr>
                <w:rFonts w:ascii="Arial" w:cs="Arial" w:eastAsia="Arial" w:hAnsi="Arial"/>
                <w:sz w:val="16"/>
                <w:szCs w:val="16"/>
                <w:color w:val="auto"/>
              </w:rPr>
              <w:t>Amortization of:</w:t>
            </w:r>
          </w:p>
        </w:tc>
        <w:tc>
          <w:tcPr>
            <w:tcW w:w="980" w:type="dxa"/>
            <w:vAlign w:val="bottom"/>
            <w:shd w:val="clear" w:color="auto" w:fill="D4F1F5"/>
          </w:tcPr>
          <w:p>
            <w:pPr>
              <w:spacing w:after="0"/>
              <w:rPr>
                <w:sz w:val="18"/>
                <w:szCs w:val="18"/>
                <w:color w:val="auto"/>
              </w:rPr>
            </w:pPr>
          </w:p>
        </w:tc>
        <w:tc>
          <w:tcPr>
            <w:tcW w:w="480" w:type="dxa"/>
            <w:vAlign w:val="bottom"/>
            <w:shd w:val="clear" w:color="auto" w:fill="D4F1F5"/>
          </w:tcPr>
          <w:p>
            <w:pPr>
              <w:spacing w:after="0"/>
              <w:rPr>
                <w:sz w:val="18"/>
                <w:szCs w:val="18"/>
                <w:color w:val="auto"/>
              </w:rPr>
            </w:pPr>
          </w:p>
        </w:tc>
        <w:tc>
          <w:tcPr>
            <w:tcW w:w="1020" w:type="dxa"/>
            <w:vAlign w:val="bottom"/>
            <w:shd w:val="clear" w:color="auto" w:fill="D4F1F5"/>
          </w:tcPr>
          <w:p>
            <w:pPr>
              <w:spacing w:after="0"/>
              <w:rPr>
                <w:sz w:val="18"/>
                <w:szCs w:val="18"/>
                <w:color w:val="auto"/>
              </w:rPr>
            </w:pPr>
          </w:p>
        </w:tc>
        <w:tc>
          <w:tcPr>
            <w:tcW w:w="540" w:type="dxa"/>
            <w:vAlign w:val="bottom"/>
            <w:shd w:val="clear" w:color="auto" w:fill="D4F1F5"/>
          </w:tcPr>
          <w:p>
            <w:pPr>
              <w:spacing w:after="0"/>
              <w:rPr>
                <w:sz w:val="18"/>
                <w:szCs w:val="18"/>
                <w:color w:val="auto"/>
              </w:rPr>
            </w:pPr>
          </w:p>
        </w:tc>
        <w:tc>
          <w:tcPr>
            <w:tcW w:w="1120" w:type="dxa"/>
            <w:vAlign w:val="bottom"/>
            <w:shd w:val="clear" w:color="auto" w:fill="D4F1F5"/>
          </w:tcPr>
          <w:p>
            <w:pPr>
              <w:spacing w:after="0"/>
              <w:rPr>
                <w:sz w:val="18"/>
                <w:szCs w:val="18"/>
                <w:color w:val="auto"/>
              </w:rPr>
            </w:pPr>
          </w:p>
        </w:tc>
        <w:tc>
          <w:tcPr>
            <w:tcW w:w="460" w:type="dxa"/>
            <w:vAlign w:val="bottom"/>
            <w:shd w:val="clear" w:color="auto" w:fill="D4F1F5"/>
          </w:tcPr>
          <w:p>
            <w:pPr>
              <w:spacing w:after="0"/>
              <w:rPr>
                <w:sz w:val="18"/>
                <w:szCs w:val="18"/>
                <w:color w:val="auto"/>
              </w:rPr>
            </w:pPr>
          </w:p>
        </w:tc>
        <w:tc>
          <w:tcPr>
            <w:tcW w:w="400" w:type="dxa"/>
            <w:vAlign w:val="bottom"/>
            <w:shd w:val="clear" w:color="auto" w:fill="D4F1F5"/>
          </w:tcPr>
          <w:p>
            <w:pPr>
              <w:spacing w:after="0"/>
              <w:rPr>
                <w:sz w:val="18"/>
                <w:szCs w:val="18"/>
                <w:color w:val="auto"/>
              </w:rPr>
            </w:pPr>
          </w:p>
        </w:tc>
        <w:tc>
          <w:tcPr>
            <w:tcW w:w="1060" w:type="dxa"/>
            <w:vAlign w:val="bottom"/>
            <w:shd w:val="clear" w:color="auto" w:fill="D4F1F5"/>
          </w:tcPr>
          <w:p>
            <w:pPr>
              <w:spacing w:after="0"/>
              <w:rPr>
                <w:sz w:val="18"/>
                <w:szCs w:val="18"/>
                <w:color w:val="auto"/>
              </w:rPr>
            </w:pPr>
          </w:p>
        </w:tc>
      </w:tr>
      <w:tr>
        <w:trPr>
          <w:trHeight w:val="215"/>
        </w:trPr>
        <w:tc>
          <w:tcPr>
            <w:tcW w:w="5180" w:type="dxa"/>
            <w:vAlign w:val="bottom"/>
          </w:tcPr>
          <w:p>
            <w:pPr>
              <w:ind w:left="220"/>
              <w:spacing w:after="0"/>
              <w:rPr>
                <w:sz w:val="20"/>
                <w:szCs w:val="20"/>
                <w:color w:val="auto"/>
              </w:rPr>
            </w:pPr>
            <w:r>
              <w:rPr>
                <w:rFonts w:ascii="Arial" w:cs="Arial" w:eastAsia="Arial" w:hAnsi="Arial"/>
                <w:sz w:val="16"/>
                <w:szCs w:val="16"/>
                <w:color w:val="auto"/>
              </w:rPr>
              <w:t>Prior service cost (credit)</w:t>
            </w:r>
          </w:p>
        </w:tc>
        <w:tc>
          <w:tcPr>
            <w:tcW w:w="980" w:type="dxa"/>
            <w:vAlign w:val="bottom"/>
          </w:tcPr>
          <w:p>
            <w:pPr>
              <w:spacing w:after="0"/>
              <w:rPr>
                <w:sz w:val="18"/>
                <w:szCs w:val="18"/>
                <w:color w:val="auto"/>
              </w:rPr>
            </w:pPr>
          </w:p>
        </w:tc>
        <w:tc>
          <w:tcPr>
            <w:tcW w:w="480" w:type="dxa"/>
            <w:vAlign w:val="bottom"/>
          </w:tcPr>
          <w:p>
            <w:pPr>
              <w:jc w:val="right"/>
              <w:ind w:right="39"/>
              <w:spacing w:after="0"/>
              <w:rPr>
                <w:sz w:val="20"/>
                <w:szCs w:val="20"/>
                <w:color w:val="auto"/>
              </w:rPr>
            </w:pPr>
            <w:r>
              <w:rPr>
                <w:rFonts w:ascii="Arial" w:cs="Arial" w:eastAsia="Arial" w:hAnsi="Arial"/>
                <w:sz w:val="16"/>
                <w:szCs w:val="16"/>
                <w:color w:val="auto"/>
              </w:rPr>
              <w:t>1</w:t>
            </w:r>
          </w:p>
        </w:tc>
        <w:tc>
          <w:tcPr>
            <w:tcW w:w="1020" w:type="dxa"/>
            <w:vAlign w:val="bottom"/>
          </w:tcPr>
          <w:p>
            <w:pPr>
              <w:spacing w:after="0"/>
              <w:rPr>
                <w:sz w:val="18"/>
                <w:szCs w:val="18"/>
                <w:color w:val="auto"/>
              </w:rPr>
            </w:pPr>
          </w:p>
        </w:tc>
        <w:tc>
          <w:tcPr>
            <w:tcW w:w="540" w:type="dxa"/>
            <w:vAlign w:val="bottom"/>
          </w:tcPr>
          <w:p>
            <w:pPr>
              <w:jc w:val="right"/>
              <w:ind w:right="99"/>
              <w:spacing w:after="0"/>
              <w:rPr>
                <w:sz w:val="20"/>
                <w:szCs w:val="20"/>
                <w:color w:val="auto"/>
              </w:rPr>
            </w:pPr>
            <w:r>
              <w:rPr>
                <w:rFonts w:ascii="Arial" w:cs="Arial" w:eastAsia="Arial" w:hAnsi="Arial"/>
                <w:sz w:val="16"/>
                <w:szCs w:val="16"/>
                <w:color w:val="auto"/>
              </w:rPr>
              <w:t>1</w:t>
            </w:r>
          </w:p>
        </w:tc>
        <w:tc>
          <w:tcPr>
            <w:tcW w:w="11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(1)</w:t>
            </w:r>
          </w:p>
        </w:tc>
        <w:tc>
          <w:tcPr>
            <w:tcW w:w="4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w:t>
            </w:r>
          </w:p>
        </w:tc>
      </w:tr>
      <w:tr>
        <w:trPr>
          <w:trHeight w:val="217"/>
        </w:trPr>
        <w:tc>
          <w:tcPr>
            <w:tcW w:w="5180" w:type="dxa"/>
            <w:vAlign w:val="bottom"/>
            <w:shd w:val="clear" w:color="auto" w:fill="D4F1F5"/>
          </w:tcPr>
          <w:p>
            <w:pPr>
              <w:ind w:left="220"/>
              <w:spacing w:after="0"/>
              <w:rPr>
                <w:sz w:val="20"/>
                <w:szCs w:val="20"/>
                <w:color w:val="auto"/>
              </w:rPr>
            </w:pPr>
            <w:r>
              <w:rPr>
                <w:rFonts w:ascii="Arial" w:cs="Arial" w:eastAsia="Arial" w:hAnsi="Arial"/>
                <w:sz w:val="16"/>
                <w:szCs w:val="16"/>
                <w:color w:val="auto"/>
              </w:rPr>
              <w:t>Actuarial loss (gain)</w:t>
            </w:r>
          </w:p>
        </w:tc>
        <w:tc>
          <w:tcPr>
            <w:tcW w:w="980" w:type="dxa"/>
            <w:vAlign w:val="bottom"/>
            <w:shd w:val="clear" w:color="auto" w:fill="D4F1F5"/>
          </w:tcPr>
          <w:p>
            <w:pPr>
              <w:spacing w:after="0"/>
              <w:rPr>
                <w:sz w:val="18"/>
                <w:szCs w:val="18"/>
                <w:color w:val="auto"/>
              </w:rPr>
            </w:pPr>
          </w:p>
        </w:tc>
        <w:tc>
          <w:tcPr>
            <w:tcW w:w="480" w:type="dxa"/>
            <w:vAlign w:val="bottom"/>
            <w:shd w:val="clear" w:color="auto" w:fill="D4F1F5"/>
          </w:tcPr>
          <w:p>
            <w:pPr>
              <w:jc w:val="right"/>
              <w:ind w:right="39"/>
              <w:spacing w:after="0"/>
              <w:rPr>
                <w:sz w:val="20"/>
                <w:szCs w:val="20"/>
                <w:color w:val="auto"/>
              </w:rPr>
            </w:pPr>
            <w:r>
              <w:rPr>
                <w:rFonts w:ascii="Arial" w:cs="Arial" w:eastAsia="Arial" w:hAnsi="Arial"/>
                <w:sz w:val="16"/>
                <w:szCs w:val="16"/>
                <w:color w:val="auto"/>
              </w:rPr>
              <w:t>1</w:t>
            </w:r>
          </w:p>
        </w:tc>
        <w:tc>
          <w:tcPr>
            <w:tcW w:w="1020" w:type="dxa"/>
            <w:vAlign w:val="bottom"/>
            <w:shd w:val="clear" w:color="auto" w:fill="D4F1F5"/>
          </w:tcPr>
          <w:p>
            <w:pPr>
              <w:spacing w:after="0"/>
              <w:rPr>
                <w:sz w:val="18"/>
                <w:szCs w:val="18"/>
                <w:color w:val="auto"/>
              </w:rPr>
            </w:pPr>
          </w:p>
        </w:tc>
        <w:tc>
          <w:tcPr>
            <w:tcW w:w="540" w:type="dxa"/>
            <w:vAlign w:val="bottom"/>
            <w:shd w:val="clear" w:color="auto" w:fill="D4F1F5"/>
          </w:tcPr>
          <w:p>
            <w:pPr>
              <w:jc w:val="right"/>
              <w:ind w:right="99"/>
              <w:spacing w:after="0"/>
              <w:rPr>
                <w:sz w:val="20"/>
                <w:szCs w:val="20"/>
                <w:color w:val="auto"/>
              </w:rPr>
            </w:pPr>
            <w:r>
              <w:rPr>
                <w:rFonts w:ascii="Arial" w:cs="Arial" w:eastAsia="Arial" w:hAnsi="Arial"/>
                <w:sz w:val="16"/>
                <w:szCs w:val="16"/>
                <w:color w:val="auto"/>
              </w:rPr>
              <w:t>3</w:t>
            </w:r>
          </w:p>
        </w:tc>
        <w:tc>
          <w:tcPr>
            <w:tcW w:w="1120" w:type="dxa"/>
            <w:vAlign w:val="bottom"/>
            <w:shd w:val="clear" w:color="auto" w:fill="D4F1F5"/>
          </w:tcPr>
          <w:p>
            <w:pPr>
              <w:spacing w:after="0"/>
              <w:rPr>
                <w:sz w:val="18"/>
                <w:szCs w:val="18"/>
                <w:color w:val="auto"/>
              </w:rPr>
            </w:pPr>
          </w:p>
        </w:tc>
        <w:tc>
          <w:tcPr>
            <w:tcW w:w="460" w:type="dxa"/>
            <w:vAlign w:val="bottom"/>
            <w:shd w:val="clear" w:color="auto" w:fill="D4F1F5"/>
          </w:tcPr>
          <w:p>
            <w:pPr>
              <w:jc w:val="right"/>
              <w:spacing w:after="0"/>
              <w:rPr>
                <w:sz w:val="20"/>
                <w:szCs w:val="20"/>
                <w:color w:val="auto"/>
              </w:rPr>
            </w:pPr>
            <w:r>
              <w:rPr>
                <w:rFonts w:ascii="Arial" w:cs="Arial" w:eastAsia="Arial" w:hAnsi="Arial"/>
                <w:sz w:val="16"/>
                <w:szCs w:val="16"/>
                <w:color w:val="auto"/>
              </w:rPr>
              <w:t>(3)</w:t>
            </w:r>
          </w:p>
        </w:tc>
        <w:tc>
          <w:tcPr>
            <w:tcW w:w="400" w:type="dxa"/>
            <w:vAlign w:val="bottom"/>
            <w:shd w:val="clear" w:color="auto" w:fill="D4F1F5"/>
          </w:tcPr>
          <w:p>
            <w:pPr>
              <w:spacing w:after="0"/>
              <w:rPr>
                <w:sz w:val="18"/>
                <w:szCs w:val="18"/>
                <w:color w:val="auto"/>
              </w:rPr>
            </w:pPr>
          </w:p>
        </w:tc>
        <w:tc>
          <w:tcPr>
            <w:tcW w:w="1060" w:type="dxa"/>
            <w:vAlign w:val="bottom"/>
            <w:shd w:val="clear" w:color="auto" w:fill="D4F1F5"/>
          </w:tcPr>
          <w:p>
            <w:pPr>
              <w:jc w:val="right"/>
              <w:spacing w:after="0"/>
              <w:rPr>
                <w:sz w:val="20"/>
                <w:szCs w:val="20"/>
                <w:color w:val="auto"/>
              </w:rPr>
            </w:pPr>
            <w:r>
              <w:rPr>
                <w:rFonts w:ascii="Arial" w:cs="Arial" w:eastAsia="Arial" w:hAnsi="Arial"/>
                <w:sz w:val="16"/>
                <w:szCs w:val="16"/>
                <w:color w:val="auto"/>
              </w:rPr>
              <w:t>(3)</w:t>
            </w:r>
          </w:p>
        </w:tc>
      </w:tr>
      <w:tr>
        <w:trPr>
          <w:trHeight w:val="215"/>
        </w:trPr>
        <w:tc>
          <w:tcPr>
            <w:tcW w:w="5180" w:type="dxa"/>
            <w:vAlign w:val="bottom"/>
          </w:tcPr>
          <w:p>
            <w:pPr>
              <w:ind w:left="20"/>
              <w:spacing w:after="0"/>
              <w:rPr>
                <w:sz w:val="20"/>
                <w:szCs w:val="20"/>
                <w:color w:val="auto"/>
              </w:rPr>
            </w:pPr>
            <w:r>
              <w:rPr>
                <w:rFonts w:ascii="Arial" w:cs="Arial" w:eastAsia="Arial" w:hAnsi="Arial"/>
                <w:sz w:val="16"/>
                <w:szCs w:val="16"/>
                <w:color w:val="auto"/>
              </w:rPr>
              <w:t>Settlement charges</w:t>
            </w:r>
          </w:p>
        </w:tc>
        <w:tc>
          <w:tcPr>
            <w:tcW w:w="980" w:type="dxa"/>
            <w:vAlign w:val="bottom"/>
          </w:tcPr>
          <w:p>
            <w:pPr>
              <w:spacing w:after="0"/>
              <w:rPr>
                <w:sz w:val="18"/>
                <w:szCs w:val="18"/>
                <w:color w:val="auto"/>
              </w:rPr>
            </w:pPr>
          </w:p>
        </w:tc>
        <w:tc>
          <w:tcPr>
            <w:tcW w:w="4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020" w:type="dxa"/>
            <w:vAlign w:val="bottom"/>
          </w:tcPr>
          <w:p>
            <w:pPr>
              <w:spacing w:after="0"/>
              <w:rPr>
                <w:sz w:val="18"/>
                <w:szCs w:val="18"/>
                <w:color w:val="auto"/>
              </w:rPr>
            </w:pPr>
          </w:p>
        </w:tc>
        <w:tc>
          <w:tcPr>
            <w:tcW w:w="540" w:type="dxa"/>
            <w:vAlign w:val="bottom"/>
          </w:tcPr>
          <w:p>
            <w:pPr>
              <w:jc w:val="right"/>
              <w:ind w:right="99"/>
              <w:spacing w:after="0"/>
              <w:rPr>
                <w:sz w:val="20"/>
                <w:szCs w:val="20"/>
                <w:color w:val="auto"/>
              </w:rPr>
            </w:pPr>
            <w:r>
              <w:rPr>
                <w:rFonts w:ascii="Arial" w:cs="Arial" w:eastAsia="Arial" w:hAnsi="Arial"/>
                <w:sz w:val="16"/>
                <w:szCs w:val="16"/>
                <w:color w:val="auto"/>
              </w:rPr>
              <w:t>4</w:t>
            </w:r>
          </w:p>
        </w:tc>
        <w:tc>
          <w:tcPr>
            <w:tcW w:w="1120" w:type="dxa"/>
            <w:vAlign w:val="bottom"/>
          </w:tcPr>
          <w:p>
            <w:pPr>
              <w:spacing w:after="0"/>
              <w:rPr>
                <w:sz w:val="18"/>
                <w:szCs w:val="18"/>
                <w:color w:val="auto"/>
              </w:rPr>
            </w:pPr>
          </w:p>
        </w:tc>
        <w:tc>
          <w:tcPr>
            <w:tcW w:w="46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7"/>
        </w:trPr>
        <w:tc>
          <w:tcPr>
            <w:tcW w:w="5180" w:type="dxa"/>
            <w:vAlign w:val="bottom"/>
            <w:shd w:val="clear" w:color="auto" w:fill="D4F1F5"/>
          </w:tcPr>
          <w:p>
            <w:pPr>
              <w:ind w:left="20"/>
              <w:spacing w:after="0"/>
              <w:rPr>
                <w:sz w:val="20"/>
                <w:szCs w:val="20"/>
                <w:color w:val="auto"/>
              </w:rPr>
            </w:pPr>
            <w:r>
              <w:rPr>
                <w:rFonts w:ascii="Arial" w:cs="Arial" w:eastAsia="Arial" w:hAnsi="Arial"/>
                <w:sz w:val="16"/>
                <w:szCs w:val="16"/>
                <w:color w:val="auto"/>
              </w:rPr>
              <w:t>Special termination benefits</w:t>
            </w:r>
          </w:p>
        </w:tc>
        <w:tc>
          <w:tcPr>
            <w:tcW w:w="980" w:type="dxa"/>
            <w:vAlign w:val="bottom"/>
            <w:tcBorders>
              <w:bottom w:val="single" w:sz="8" w:color="auto"/>
            </w:tcBorders>
            <w:shd w:val="clear" w:color="auto" w:fill="D4F1F5"/>
          </w:tcPr>
          <w:p>
            <w:pPr>
              <w:spacing w:after="0"/>
              <w:rPr>
                <w:sz w:val="18"/>
                <w:szCs w:val="18"/>
                <w:color w:val="auto"/>
              </w:rPr>
            </w:pPr>
          </w:p>
        </w:tc>
        <w:tc>
          <w:tcPr>
            <w:tcW w:w="480" w:type="dxa"/>
            <w:vAlign w:val="bottom"/>
            <w:tcBorders>
              <w:bottom w:val="single" w:sz="8" w:color="auto"/>
            </w:tcBorders>
            <w:shd w:val="clear" w:color="auto" w:fill="D4F1F5"/>
          </w:tcPr>
          <w:p>
            <w:pPr>
              <w:jc w:val="right"/>
              <w:ind w:right="3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shd w:val="clear" w:color="auto" w:fill="D4F1F5"/>
          </w:tcPr>
          <w:p>
            <w:pPr>
              <w:spacing w:after="0"/>
              <w:rPr>
                <w:sz w:val="18"/>
                <w:szCs w:val="18"/>
                <w:color w:val="auto"/>
              </w:rPr>
            </w:pPr>
          </w:p>
        </w:tc>
        <w:tc>
          <w:tcPr>
            <w:tcW w:w="540" w:type="dxa"/>
            <w:vAlign w:val="bottom"/>
            <w:tcBorders>
              <w:bottom w:val="single" w:sz="8" w:color="auto"/>
            </w:tcBorders>
            <w:shd w:val="clear" w:color="auto" w:fill="D4F1F5"/>
          </w:tcPr>
          <w:p>
            <w:pPr>
              <w:jc w:val="right"/>
              <w:ind w:right="9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shd w:val="clear" w:color="auto" w:fill="D4F1F5"/>
          </w:tcPr>
          <w:p>
            <w:pPr>
              <w:spacing w:after="0"/>
              <w:rPr>
                <w:sz w:val="18"/>
                <w:szCs w:val="18"/>
                <w:color w:val="auto"/>
              </w:rPr>
            </w:pPr>
          </w:p>
        </w:tc>
        <w:tc>
          <w:tcPr>
            <w:tcW w:w="460" w:type="dxa"/>
            <w:vAlign w:val="bottom"/>
            <w:tcBorders>
              <w:bottom w:val="single" w:sz="8" w:color="auto"/>
            </w:tcBorders>
            <w:shd w:val="clear" w:color="auto" w:fill="D4F1F5"/>
          </w:tcPr>
          <w:p>
            <w:pPr>
              <w:jc w:val="right"/>
              <w:ind w:right="39"/>
              <w:spacing w:after="0"/>
              <w:rPr>
                <w:sz w:val="20"/>
                <w:szCs w:val="20"/>
                <w:color w:val="auto"/>
              </w:rPr>
            </w:pPr>
            <w:r>
              <w:rPr>
                <w:rFonts w:ascii="Arial" w:cs="Arial" w:eastAsia="Arial" w:hAnsi="Arial"/>
                <w:sz w:val="16"/>
                <w:szCs w:val="16"/>
                <w:color w:val="auto"/>
              </w:rPr>
              <w:t>18</w:t>
            </w:r>
          </w:p>
        </w:tc>
        <w:tc>
          <w:tcPr>
            <w:tcW w:w="400" w:type="dxa"/>
            <w:vAlign w:val="bottom"/>
            <w:tcBorders>
              <w:bottom w:val="single" w:sz="8" w:color="auto"/>
            </w:tcBorders>
            <w:shd w:val="clear" w:color="auto" w:fill="D4F1F5"/>
          </w:tcPr>
          <w:p>
            <w:pPr>
              <w:spacing w:after="0"/>
              <w:rPr>
                <w:sz w:val="18"/>
                <w:szCs w:val="18"/>
                <w:color w:val="auto"/>
              </w:rPr>
            </w:pPr>
          </w:p>
        </w:tc>
        <w:tc>
          <w:tcPr>
            <w:tcW w:w="1060" w:type="dxa"/>
            <w:vAlign w:val="bottom"/>
            <w:tcBorders>
              <w:bottom w:val="single" w:sz="8" w:color="auto"/>
            </w:tcBorders>
            <w:shd w:val="clear" w:color="auto" w:fill="D4F1F5"/>
          </w:tcPr>
          <w:p>
            <w:pPr>
              <w:jc w:val="right"/>
              <w:spacing w:after="0"/>
              <w:rPr>
                <w:sz w:val="20"/>
                <w:szCs w:val="20"/>
                <w:color w:val="auto"/>
              </w:rPr>
            </w:pPr>
            <w:r>
              <w:rPr>
                <w:rFonts w:ascii="Arial" w:cs="Arial" w:eastAsia="Arial" w:hAnsi="Arial"/>
                <w:sz w:val="16"/>
                <w:szCs w:val="16"/>
                <w:color w:val="auto"/>
              </w:rPr>
              <w:t>—</w:t>
            </w:r>
          </w:p>
        </w:tc>
      </w:tr>
      <w:tr>
        <w:trPr>
          <w:trHeight w:val="209"/>
        </w:trPr>
        <w:tc>
          <w:tcPr>
            <w:tcW w:w="5180" w:type="dxa"/>
            <w:vAlign w:val="bottom"/>
          </w:tcPr>
          <w:p>
            <w:pPr>
              <w:ind w:left="20"/>
              <w:spacing w:after="0"/>
              <w:rPr>
                <w:sz w:val="20"/>
                <w:szCs w:val="20"/>
                <w:color w:val="auto"/>
              </w:rPr>
            </w:pPr>
            <w:r>
              <w:rPr>
                <w:rFonts w:ascii="Arial" w:cs="Arial" w:eastAsia="Arial" w:hAnsi="Arial"/>
                <w:sz w:val="16"/>
                <w:szCs w:val="16"/>
                <w:color w:val="auto"/>
              </w:rPr>
              <w:t>Net periodic benefit cost (credit)</w:t>
            </w:r>
          </w:p>
        </w:tc>
        <w:tc>
          <w:tcPr>
            <w:tcW w:w="980" w:type="dxa"/>
            <w:vAlign w:val="bottom"/>
          </w:tcPr>
          <w:p>
            <w:pPr>
              <w:spacing w:after="0"/>
              <w:rPr>
                <w:sz w:val="18"/>
                <w:szCs w:val="18"/>
                <w:color w:val="auto"/>
              </w:rPr>
            </w:pPr>
          </w:p>
        </w:tc>
        <w:tc>
          <w:tcPr>
            <w:tcW w:w="480" w:type="dxa"/>
            <w:vAlign w:val="bottom"/>
          </w:tcPr>
          <w:p>
            <w:pPr>
              <w:jc w:val="right"/>
              <w:ind w:right="39"/>
              <w:spacing w:after="0"/>
              <w:rPr>
                <w:sz w:val="20"/>
                <w:szCs w:val="20"/>
                <w:color w:val="auto"/>
              </w:rPr>
            </w:pPr>
            <w:r>
              <w:rPr>
                <w:rFonts w:ascii="Arial" w:cs="Arial" w:eastAsia="Arial" w:hAnsi="Arial"/>
                <w:sz w:val="16"/>
                <w:szCs w:val="16"/>
                <w:color w:val="auto"/>
              </w:rPr>
              <w:t>36</w:t>
            </w:r>
          </w:p>
        </w:tc>
        <w:tc>
          <w:tcPr>
            <w:tcW w:w="1020" w:type="dxa"/>
            <w:vAlign w:val="bottom"/>
          </w:tcPr>
          <w:p>
            <w:pPr>
              <w:spacing w:after="0"/>
              <w:rPr>
                <w:sz w:val="18"/>
                <w:szCs w:val="18"/>
                <w:color w:val="auto"/>
              </w:rPr>
            </w:pPr>
          </w:p>
        </w:tc>
        <w:tc>
          <w:tcPr>
            <w:tcW w:w="540" w:type="dxa"/>
            <w:vAlign w:val="bottom"/>
          </w:tcPr>
          <w:p>
            <w:pPr>
              <w:jc w:val="right"/>
              <w:ind w:right="99"/>
              <w:spacing w:after="0"/>
              <w:rPr>
                <w:sz w:val="20"/>
                <w:szCs w:val="20"/>
                <w:color w:val="auto"/>
              </w:rPr>
            </w:pPr>
            <w:r>
              <w:rPr>
                <w:rFonts w:ascii="Arial" w:cs="Arial" w:eastAsia="Arial" w:hAnsi="Arial"/>
                <w:sz w:val="16"/>
                <w:szCs w:val="16"/>
                <w:color w:val="auto"/>
              </w:rPr>
              <w:t>40</w:t>
            </w:r>
          </w:p>
        </w:tc>
        <w:tc>
          <w:tcPr>
            <w:tcW w:w="1120" w:type="dxa"/>
            <w:vAlign w:val="bottom"/>
          </w:tcPr>
          <w:p>
            <w:pPr>
              <w:spacing w:after="0"/>
              <w:rPr>
                <w:sz w:val="18"/>
                <w:szCs w:val="18"/>
                <w:color w:val="auto"/>
              </w:rPr>
            </w:pPr>
          </w:p>
        </w:tc>
        <w:tc>
          <w:tcPr>
            <w:tcW w:w="460" w:type="dxa"/>
            <w:vAlign w:val="bottom"/>
          </w:tcPr>
          <w:p>
            <w:pPr>
              <w:jc w:val="right"/>
              <w:ind w:right="39"/>
              <w:spacing w:after="0"/>
              <w:rPr>
                <w:sz w:val="20"/>
                <w:szCs w:val="20"/>
                <w:color w:val="auto"/>
              </w:rPr>
            </w:pPr>
            <w:r>
              <w:rPr>
                <w:rFonts w:ascii="Arial" w:cs="Arial" w:eastAsia="Arial" w:hAnsi="Arial"/>
                <w:sz w:val="16"/>
                <w:szCs w:val="16"/>
                <w:color w:val="auto"/>
              </w:rPr>
              <w:t>10</w:t>
            </w:r>
          </w:p>
        </w:tc>
        <w:tc>
          <w:tcPr>
            <w:tcW w:w="4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(7)</w:t>
            </w:r>
          </w:p>
        </w:tc>
      </w:tr>
      <w:tr>
        <w:trPr>
          <w:trHeight w:val="217"/>
        </w:trPr>
        <w:tc>
          <w:tcPr>
            <w:tcW w:w="5180" w:type="dxa"/>
            <w:vAlign w:val="bottom"/>
            <w:shd w:val="clear" w:color="auto" w:fill="D4F1F5"/>
          </w:tcPr>
          <w:p>
            <w:pPr>
              <w:ind w:left="20"/>
              <w:spacing w:after="0"/>
              <w:rPr>
                <w:sz w:val="20"/>
                <w:szCs w:val="20"/>
                <w:color w:val="auto"/>
              </w:rPr>
            </w:pPr>
            <w:r>
              <w:rPr>
                <w:rFonts w:ascii="Arial" w:cs="Arial" w:eastAsia="Arial" w:hAnsi="Arial"/>
                <w:sz w:val="16"/>
                <w:szCs w:val="16"/>
                <w:color w:val="auto"/>
              </w:rPr>
              <w:t>Regulatory adjustments</w:t>
            </w:r>
          </w:p>
        </w:tc>
        <w:tc>
          <w:tcPr>
            <w:tcW w:w="980" w:type="dxa"/>
            <w:vAlign w:val="bottom"/>
            <w:tcBorders>
              <w:bottom w:val="single" w:sz="8" w:color="auto"/>
            </w:tcBorders>
            <w:shd w:val="clear" w:color="auto" w:fill="D4F1F5"/>
          </w:tcPr>
          <w:p>
            <w:pPr>
              <w:spacing w:after="0"/>
              <w:rPr>
                <w:sz w:val="18"/>
                <w:szCs w:val="18"/>
                <w:color w:val="auto"/>
              </w:rPr>
            </w:pPr>
          </w:p>
        </w:tc>
        <w:tc>
          <w:tcPr>
            <w:tcW w:w="480" w:type="dxa"/>
            <w:vAlign w:val="bottom"/>
            <w:tcBorders>
              <w:bottom w:val="single" w:sz="8" w:color="auto"/>
            </w:tcBorders>
            <w:shd w:val="clear" w:color="auto" w:fill="D4F1F5"/>
          </w:tcPr>
          <w:p>
            <w:pPr>
              <w:jc w:val="right"/>
              <w:spacing w:after="0"/>
              <w:rPr>
                <w:sz w:val="20"/>
                <w:szCs w:val="20"/>
                <w:color w:val="auto"/>
              </w:rPr>
            </w:pPr>
            <w:r>
              <w:rPr>
                <w:rFonts w:ascii="Arial" w:cs="Arial" w:eastAsia="Arial" w:hAnsi="Arial"/>
                <w:sz w:val="16"/>
                <w:szCs w:val="16"/>
                <w:color w:val="auto"/>
              </w:rPr>
              <w:t>(28)</w:t>
            </w:r>
          </w:p>
        </w:tc>
        <w:tc>
          <w:tcPr>
            <w:tcW w:w="1020" w:type="dxa"/>
            <w:vAlign w:val="bottom"/>
            <w:tcBorders>
              <w:bottom w:val="single" w:sz="8" w:color="auto"/>
            </w:tcBorders>
            <w:shd w:val="clear" w:color="auto" w:fill="D4F1F5"/>
          </w:tcPr>
          <w:p>
            <w:pPr>
              <w:spacing w:after="0"/>
              <w:rPr>
                <w:sz w:val="18"/>
                <w:szCs w:val="18"/>
                <w:color w:val="auto"/>
              </w:rPr>
            </w:pPr>
          </w:p>
        </w:tc>
        <w:tc>
          <w:tcPr>
            <w:tcW w:w="540" w:type="dxa"/>
            <w:vAlign w:val="bottom"/>
            <w:tcBorders>
              <w:bottom w:val="single" w:sz="8" w:color="auto"/>
            </w:tcBorders>
            <w:shd w:val="clear" w:color="auto" w:fill="D4F1F5"/>
          </w:tcPr>
          <w:p>
            <w:pPr>
              <w:jc w:val="right"/>
              <w:ind w:right="59"/>
              <w:spacing w:after="0"/>
              <w:rPr>
                <w:sz w:val="20"/>
                <w:szCs w:val="20"/>
                <w:color w:val="auto"/>
              </w:rPr>
            </w:pPr>
            <w:r>
              <w:rPr>
                <w:rFonts w:ascii="Arial" w:cs="Arial" w:eastAsia="Arial" w:hAnsi="Arial"/>
                <w:sz w:val="16"/>
                <w:szCs w:val="16"/>
                <w:color w:val="auto"/>
              </w:rPr>
              <w:t>(28)</w:t>
            </w:r>
          </w:p>
        </w:tc>
        <w:tc>
          <w:tcPr>
            <w:tcW w:w="1120" w:type="dxa"/>
            <w:vAlign w:val="bottom"/>
            <w:tcBorders>
              <w:bottom w:val="single" w:sz="8" w:color="auto"/>
            </w:tcBorders>
            <w:shd w:val="clear" w:color="auto" w:fill="D4F1F5"/>
          </w:tcPr>
          <w:p>
            <w:pPr>
              <w:spacing w:after="0"/>
              <w:rPr>
                <w:sz w:val="18"/>
                <w:szCs w:val="18"/>
                <w:color w:val="auto"/>
              </w:rPr>
            </w:pPr>
          </w:p>
        </w:tc>
        <w:tc>
          <w:tcPr>
            <w:tcW w:w="460" w:type="dxa"/>
            <w:vAlign w:val="bottom"/>
            <w:tcBorders>
              <w:bottom w:val="single" w:sz="8" w:color="auto"/>
            </w:tcBorders>
            <w:shd w:val="clear" w:color="auto" w:fill="D4F1F5"/>
          </w:tcPr>
          <w:p>
            <w:pPr>
              <w:jc w:val="right"/>
              <w:spacing w:after="0"/>
              <w:rPr>
                <w:sz w:val="20"/>
                <w:szCs w:val="20"/>
                <w:color w:val="auto"/>
              </w:rPr>
            </w:pPr>
            <w:r>
              <w:rPr>
                <w:rFonts w:ascii="Arial" w:cs="Arial" w:eastAsia="Arial" w:hAnsi="Arial"/>
                <w:sz w:val="16"/>
                <w:szCs w:val="16"/>
                <w:color w:val="auto"/>
              </w:rPr>
              <w:t>(10)</w:t>
            </w:r>
          </w:p>
        </w:tc>
        <w:tc>
          <w:tcPr>
            <w:tcW w:w="400" w:type="dxa"/>
            <w:vAlign w:val="bottom"/>
            <w:tcBorders>
              <w:bottom w:val="single" w:sz="8" w:color="auto"/>
            </w:tcBorders>
            <w:shd w:val="clear" w:color="auto" w:fill="D4F1F5"/>
          </w:tcPr>
          <w:p>
            <w:pPr>
              <w:spacing w:after="0"/>
              <w:rPr>
                <w:sz w:val="18"/>
                <w:szCs w:val="18"/>
                <w:color w:val="auto"/>
              </w:rPr>
            </w:pPr>
          </w:p>
        </w:tc>
        <w:tc>
          <w:tcPr>
            <w:tcW w:w="1060" w:type="dxa"/>
            <w:vAlign w:val="bottom"/>
            <w:tcBorders>
              <w:bottom w:val="single" w:sz="8" w:color="auto"/>
            </w:tcBorders>
            <w:shd w:val="clear" w:color="auto" w:fill="D4F1F5"/>
          </w:tcPr>
          <w:p>
            <w:pPr>
              <w:jc w:val="right"/>
              <w:spacing w:after="0"/>
              <w:rPr>
                <w:sz w:val="20"/>
                <w:szCs w:val="20"/>
                <w:color w:val="auto"/>
              </w:rPr>
            </w:pPr>
            <w:r>
              <w:rPr>
                <w:rFonts w:ascii="Arial" w:cs="Arial" w:eastAsia="Arial" w:hAnsi="Arial"/>
                <w:sz w:val="16"/>
                <w:szCs w:val="16"/>
                <w:color w:val="auto"/>
              </w:rPr>
              <w:t>7</w:t>
            </w:r>
          </w:p>
        </w:tc>
      </w:tr>
      <w:tr>
        <w:trPr>
          <w:trHeight w:val="217"/>
        </w:trPr>
        <w:tc>
          <w:tcPr>
            <w:tcW w:w="518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Total expense recognized</w:t>
            </w:r>
          </w:p>
        </w:tc>
        <w:tc>
          <w:tcPr>
            <w:tcW w:w="980" w:type="dxa"/>
            <w:vAlign w:val="bottom"/>
            <w:tcBorders>
              <w:bottom w:val="single" w:sz="8" w:color="auto"/>
            </w:tcBorders>
          </w:tcPr>
          <w:p>
            <w:pPr>
              <w:jc w:val="right"/>
              <w:ind w:right="800"/>
              <w:spacing w:after="0"/>
              <w:rPr>
                <w:sz w:val="20"/>
                <w:szCs w:val="20"/>
                <w:color w:val="auto"/>
              </w:rPr>
            </w:pPr>
            <w:r>
              <w:rPr>
                <w:rFonts w:ascii="Arial" w:cs="Arial" w:eastAsia="Arial" w:hAnsi="Arial"/>
                <w:sz w:val="16"/>
                <w:szCs w:val="16"/>
                <w:color w:val="auto"/>
                <w:w w:val="89"/>
              </w:rPr>
              <w:t>$</w:t>
            </w:r>
          </w:p>
        </w:tc>
        <w:tc>
          <w:tcPr>
            <w:tcW w:w="4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8</w:t>
            </w:r>
          </w:p>
        </w:tc>
        <w:tc>
          <w:tcPr>
            <w:tcW w:w="1020" w:type="dxa"/>
            <w:vAlign w:val="bottom"/>
            <w:tcBorders>
              <w:bottom w:val="single" w:sz="8" w:color="auto"/>
            </w:tcBorders>
          </w:tcPr>
          <w:p>
            <w:pPr>
              <w:jc w:val="right"/>
              <w:ind w:right="781"/>
              <w:spacing w:after="0"/>
              <w:rPr>
                <w:sz w:val="20"/>
                <w:szCs w:val="20"/>
                <w:color w:val="auto"/>
              </w:rPr>
            </w:pPr>
            <w:r>
              <w:rPr>
                <w:rFonts w:ascii="Arial" w:cs="Arial" w:eastAsia="Arial" w:hAnsi="Arial"/>
                <w:sz w:val="16"/>
                <w:szCs w:val="16"/>
                <w:color w:val="auto"/>
              </w:rPr>
              <w:t>$</w:t>
            </w:r>
          </w:p>
        </w:tc>
        <w:tc>
          <w:tcPr>
            <w:tcW w:w="54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12</w:t>
            </w:r>
          </w:p>
        </w:tc>
        <w:tc>
          <w:tcPr>
            <w:tcW w:w="1120" w:type="dxa"/>
            <w:vAlign w:val="bottom"/>
            <w:tcBorders>
              <w:bottom w:val="single" w:sz="8" w:color="auto"/>
            </w:tcBorders>
          </w:tcPr>
          <w:p>
            <w:pPr>
              <w:jc w:val="right"/>
              <w:ind w:right="800"/>
              <w:spacing w:after="0"/>
              <w:rPr>
                <w:sz w:val="20"/>
                <w:szCs w:val="20"/>
                <w:color w:val="auto"/>
              </w:rPr>
            </w:pPr>
            <w:r>
              <w:rPr>
                <w:rFonts w:ascii="Arial" w:cs="Arial" w:eastAsia="Arial" w:hAnsi="Arial"/>
                <w:sz w:val="16"/>
                <w:szCs w:val="16"/>
                <w:color w:val="auto"/>
              </w:rPr>
              <w:t>$</w:t>
            </w:r>
          </w:p>
        </w:tc>
        <w:tc>
          <w:tcPr>
            <w:tcW w:w="4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40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216"/>
        </w:trPr>
        <w:tc>
          <w:tcPr>
            <w:tcW w:w="5180" w:type="dxa"/>
            <w:vAlign w:val="bottom"/>
            <w:shd w:val="clear" w:color="auto" w:fill="D4F1F5"/>
          </w:tcPr>
          <w:p>
            <w:pPr>
              <w:ind w:left="20"/>
              <w:spacing w:after="0"/>
              <w:rPr>
                <w:sz w:val="20"/>
                <w:szCs w:val="20"/>
                <w:color w:val="auto"/>
              </w:rPr>
            </w:pPr>
            <w:r>
              <w:rPr>
                <w:rFonts w:ascii="Arial" w:cs="Arial" w:eastAsia="Arial" w:hAnsi="Arial"/>
                <w:sz w:val="16"/>
                <w:szCs w:val="16"/>
                <w:b w:val="1"/>
                <w:bCs w:val="1"/>
                <w:color w:val="auto"/>
              </w:rPr>
              <w:t>SDG&amp;E:</w:t>
            </w:r>
          </w:p>
        </w:tc>
        <w:tc>
          <w:tcPr>
            <w:tcW w:w="980" w:type="dxa"/>
            <w:vAlign w:val="bottom"/>
            <w:shd w:val="clear" w:color="auto" w:fill="D4F1F5"/>
          </w:tcPr>
          <w:p>
            <w:pPr>
              <w:spacing w:after="0"/>
              <w:rPr>
                <w:sz w:val="18"/>
                <w:szCs w:val="18"/>
                <w:color w:val="auto"/>
              </w:rPr>
            </w:pPr>
          </w:p>
        </w:tc>
        <w:tc>
          <w:tcPr>
            <w:tcW w:w="480" w:type="dxa"/>
            <w:vAlign w:val="bottom"/>
            <w:shd w:val="clear" w:color="auto" w:fill="D4F1F5"/>
          </w:tcPr>
          <w:p>
            <w:pPr>
              <w:spacing w:after="0"/>
              <w:rPr>
                <w:sz w:val="18"/>
                <w:szCs w:val="18"/>
                <w:color w:val="auto"/>
              </w:rPr>
            </w:pPr>
          </w:p>
        </w:tc>
        <w:tc>
          <w:tcPr>
            <w:tcW w:w="1020" w:type="dxa"/>
            <w:vAlign w:val="bottom"/>
            <w:shd w:val="clear" w:color="auto" w:fill="D4F1F5"/>
          </w:tcPr>
          <w:p>
            <w:pPr>
              <w:spacing w:after="0"/>
              <w:rPr>
                <w:sz w:val="18"/>
                <w:szCs w:val="18"/>
                <w:color w:val="auto"/>
              </w:rPr>
            </w:pPr>
          </w:p>
        </w:tc>
        <w:tc>
          <w:tcPr>
            <w:tcW w:w="540" w:type="dxa"/>
            <w:vAlign w:val="bottom"/>
            <w:shd w:val="clear" w:color="auto" w:fill="D4F1F5"/>
          </w:tcPr>
          <w:p>
            <w:pPr>
              <w:spacing w:after="0"/>
              <w:rPr>
                <w:sz w:val="18"/>
                <w:szCs w:val="18"/>
                <w:color w:val="auto"/>
              </w:rPr>
            </w:pPr>
          </w:p>
        </w:tc>
        <w:tc>
          <w:tcPr>
            <w:tcW w:w="1120" w:type="dxa"/>
            <w:vAlign w:val="bottom"/>
            <w:shd w:val="clear" w:color="auto" w:fill="D4F1F5"/>
          </w:tcPr>
          <w:p>
            <w:pPr>
              <w:spacing w:after="0"/>
              <w:rPr>
                <w:sz w:val="18"/>
                <w:szCs w:val="18"/>
                <w:color w:val="auto"/>
              </w:rPr>
            </w:pPr>
          </w:p>
        </w:tc>
        <w:tc>
          <w:tcPr>
            <w:tcW w:w="460" w:type="dxa"/>
            <w:vAlign w:val="bottom"/>
            <w:shd w:val="clear" w:color="auto" w:fill="D4F1F5"/>
          </w:tcPr>
          <w:p>
            <w:pPr>
              <w:spacing w:after="0"/>
              <w:rPr>
                <w:sz w:val="18"/>
                <w:szCs w:val="18"/>
                <w:color w:val="auto"/>
              </w:rPr>
            </w:pPr>
          </w:p>
        </w:tc>
        <w:tc>
          <w:tcPr>
            <w:tcW w:w="400" w:type="dxa"/>
            <w:vAlign w:val="bottom"/>
            <w:shd w:val="clear" w:color="auto" w:fill="D4F1F5"/>
          </w:tcPr>
          <w:p>
            <w:pPr>
              <w:spacing w:after="0"/>
              <w:rPr>
                <w:sz w:val="18"/>
                <w:szCs w:val="18"/>
                <w:color w:val="auto"/>
              </w:rPr>
            </w:pPr>
          </w:p>
        </w:tc>
        <w:tc>
          <w:tcPr>
            <w:tcW w:w="1060" w:type="dxa"/>
            <w:vAlign w:val="bottom"/>
            <w:shd w:val="clear" w:color="auto" w:fill="D4F1F5"/>
          </w:tcPr>
          <w:p>
            <w:pPr>
              <w:spacing w:after="0"/>
              <w:rPr>
                <w:sz w:val="18"/>
                <w:szCs w:val="18"/>
                <w:color w:val="auto"/>
              </w:rPr>
            </w:pPr>
          </w:p>
        </w:tc>
      </w:tr>
      <w:tr>
        <w:trPr>
          <w:trHeight w:val="215"/>
        </w:trPr>
        <w:tc>
          <w:tcPr>
            <w:tcW w:w="5180" w:type="dxa"/>
            <w:vAlign w:val="bottom"/>
          </w:tcPr>
          <w:p>
            <w:pPr>
              <w:ind w:left="20"/>
              <w:spacing w:after="0"/>
              <w:rPr>
                <w:sz w:val="20"/>
                <w:szCs w:val="20"/>
                <w:color w:val="auto"/>
              </w:rPr>
            </w:pPr>
            <w:r>
              <w:rPr>
                <w:rFonts w:ascii="Arial" w:cs="Arial" w:eastAsia="Arial" w:hAnsi="Arial"/>
                <w:sz w:val="16"/>
                <w:szCs w:val="16"/>
                <w:color w:val="auto"/>
              </w:rPr>
              <w:t>Service cost</w:t>
            </w:r>
          </w:p>
        </w:tc>
        <w:tc>
          <w:tcPr>
            <w:tcW w:w="980" w:type="dxa"/>
            <w:vAlign w:val="bottom"/>
          </w:tcPr>
          <w:p>
            <w:pPr>
              <w:jc w:val="right"/>
              <w:ind w:right="800"/>
              <w:spacing w:after="0"/>
              <w:rPr>
                <w:sz w:val="20"/>
                <w:szCs w:val="20"/>
                <w:color w:val="auto"/>
              </w:rPr>
            </w:pPr>
            <w:r>
              <w:rPr>
                <w:rFonts w:ascii="Arial" w:cs="Arial" w:eastAsia="Arial" w:hAnsi="Arial"/>
                <w:sz w:val="16"/>
                <w:szCs w:val="16"/>
                <w:color w:val="auto"/>
                <w:w w:val="89"/>
              </w:rPr>
              <w:t>$</w:t>
            </w:r>
          </w:p>
        </w:tc>
        <w:tc>
          <w:tcPr>
            <w:tcW w:w="480" w:type="dxa"/>
            <w:vAlign w:val="bottom"/>
          </w:tcPr>
          <w:p>
            <w:pPr>
              <w:jc w:val="right"/>
              <w:ind w:right="39"/>
              <w:spacing w:after="0"/>
              <w:rPr>
                <w:sz w:val="20"/>
                <w:szCs w:val="20"/>
                <w:color w:val="auto"/>
              </w:rPr>
            </w:pPr>
            <w:r>
              <w:rPr>
                <w:rFonts w:ascii="Arial" w:cs="Arial" w:eastAsia="Arial" w:hAnsi="Arial"/>
                <w:sz w:val="16"/>
                <w:szCs w:val="16"/>
                <w:color w:val="auto"/>
              </w:rPr>
              <w:t>10</w:t>
            </w:r>
          </w:p>
        </w:tc>
        <w:tc>
          <w:tcPr>
            <w:tcW w:w="1020" w:type="dxa"/>
            <w:vAlign w:val="bottom"/>
          </w:tcPr>
          <w:p>
            <w:pPr>
              <w:jc w:val="right"/>
              <w:ind w:right="781"/>
              <w:spacing w:after="0"/>
              <w:rPr>
                <w:sz w:val="20"/>
                <w:szCs w:val="20"/>
                <w:color w:val="auto"/>
              </w:rPr>
            </w:pPr>
            <w:r>
              <w:rPr>
                <w:rFonts w:ascii="Arial" w:cs="Arial" w:eastAsia="Arial" w:hAnsi="Arial"/>
                <w:sz w:val="16"/>
                <w:szCs w:val="16"/>
                <w:color w:val="auto"/>
              </w:rPr>
              <w:t>$</w:t>
            </w:r>
          </w:p>
        </w:tc>
        <w:tc>
          <w:tcPr>
            <w:tcW w:w="540" w:type="dxa"/>
            <w:vAlign w:val="bottom"/>
          </w:tcPr>
          <w:p>
            <w:pPr>
              <w:jc w:val="right"/>
              <w:ind w:right="99"/>
              <w:spacing w:after="0"/>
              <w:rPr>
                <w:sz w:val="20"/>
                <w:szCs w:val="20"/>
                <w:color w:val="auto"/>
              </w:rPr>
            </w:pPr>
            <w:r>
              <w:rPr>
                <w:rFonts w:ascii="Arial" w:cs="Arial" w:eastAsia="Arial" w:hAnsi="Arial"/>
                <w:sz w:val="16"/>
                <w:szCs w:val="16"/>
                <w:color w:val="auto"/>
              </w:rPr>
              <w:t>9</w:t>
            </w:r>
          </w:p>
        </w:tc>
        <w:tc>
          <w:tcPr>
            <w:tcW w:w="1120" w:type="dxa"/>
            <w:vAlign w:val="bottom"/>
          </w:tcPr>
          <w:p>
            <w:pPr>
              <w:jc w:val="right"/>
              <w:ind w:right="800"/>
              <w:spacing w:after="0"/>
              <w:rPr>
                <w:sz w:val="20"/>
                <w:szCs w:val="20"/>
                <w:color w:val="auto"/>
              </w:rPr>
            </w:pPr>
            <w:r>
              <w:rPr>
                <w:rFonts w:ascii="Arial" w:cs="Arial" w:eastAsia="Arial" w:hAnsi="Arial"/>
                <w:sz w:val="16"/>
                <w:szCs w:val="16"/>
                <w:color w:val="auto"/>
              </w:rPr>
              <w:t>$</w:t>
            </w:r>
          </w:p>
        </w:tc>
        <w:tc>
          <w:tcPr>
            <w:tcW w:w="460" w:type="dxa"/>
            <w:vAlign w:val="bottom"/>
          </w:tcPr>
          <w:p>
            <w:pPr>
              <w:jc w:val="right"/>
              <w:ind w:right="39"/>
              <w:spacing w:after="0"/>
              <w:rPr>
                <w:sz w:val="20"/>
                <w:szCs w:val="20"/>
                <w:color w:val="auto"/>
              </w:rPr>
            </w:pPr>
            <w:r>
              <w:rPr>
                <w:rFonts w:ascii="Arial" w:cs="Arial" w:eastAsia="Arial" w:hAnsi="Arial"/>
                <w:sz w:val="16"/>
                <w:szCs w:val="16"/>
                <w:color w:val="auto"/>
              </w:rPr>
              <w:t>1</w:t>
            </w:r>
          </w:p>
        </w:tc>
        <w:tc>
          <w:tcPr>
            <w:tcW w:w="40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1</w:t>
            </w:r>
          </w:p>
        </w:tc>
      </w:tr>
      <w:tr>
        <w:trPr>
          <w:trHeight w:val="217"/>
        </w:trPr>
        <w:tc>
          <w:tcPr>
            <w:tcW w:w="5180" w:type="dxa"/>
            <w:vAlign w:val="bottom"/>
            <w:shd w:val="clear" w:color="auto" w:fill="D4F1F5"/>
          </w:tcPr>
          <w:p>
            <w:pPr>
              <w:ind w:left="20"/>
              <w:spacing w:after="0"/>
              <w:rPr>
                <w:sz w:val="20"/>
                <w:szCs w:val="20"/>
                <w:color w:val="auto"/>
              </w:rPr>
            </w:pPr>
            <w:r>
              <w:rPr>
                <w:rFonts w:ascii="Arial" w:cs="Arial" w:eastAsia="Arial" w:hAnsi="Arial"/>
                <w:sz w:val="16"/>
                <w:szCs w:val="16"/>
                <w:color w:val="auto"/>
              </w:rPr>
              <w:t>Interest cost</w:t>
            </w:r>
          </w:p>
        </w:tc>
        <w:tc>
          <w:tcPr>
            <w:tcW w:w="980" w:type="dxa"/>
            <w:vAlign w:val="bottom"/>
            <w:shd w:val="clear" w:color="auto" w:fill="D4F1F5"/>
          </w:tcPr>
          <w:p>
            <w:pPr>
              <w:spacing w:after="0"/>
              <w:rPr>
                <w:sz w:val="18"/>
                <w:szCs w:val="18"/>
                <w:color w:val="auto"/>
              </w:rPr>
            </w:pPr>
          </w:p>
        </w:tc>
        <w:tc>
          <w:tcPr>
            <w:tcW w:w="480" w:type="dxa"/>
            <w:vAlign w:val="bottom"/>
            <w:shd w:val="clear" w:color="auto" w:fill="D4F1F5"/>
          </w:tcPr>
          <w:p>
            <w:pPr>
              <w:jc w:val="right"/>
              <w:ind w:right="39"/>
              <w:spacing w:after="0"/>
              <w:rPr>
                <w:sz w:val="20"/>
                <w:szCs w:val="20"/>
                <w:color w:val="auto"/>
              </w:rPr>
            </w:pPr>
            <w:r>
              <w:rPr>
                <w:rFonts w:ascii="Arial" w:cs="Arial" w:eastAsia="Arial" w:hAnsi="Arial"/>
                <w:sz w:val="16"/>
                <w:szCs w:val="16"/>
                <w:color w:val="auto"/>
              </w:rPr>
              <w:t>12</w:t>
            </w:r>
          </w:p>
        </w:tc>
        <w:tc>
          <w:tcPr>
            <w:tcW w:w="1020" w:type="dxa"/>
            <w:vAlign w:val="bottom"/>
            <w:shd w:val="clear" w:color="auto" w:fill="D4F1F5"/>
          </w:tcPr>
          <w:p>
            <w:pPr>
              <w:spacing w:after="0"/>
              <w:rPr>
                <w:sz w:val="18"/>
                <w:szCs w:val="18"/>
                <w:color w:val="auto"/>
              </w:rPr>
            </w:pPr>
          </w:p>
        </w:tc>
        <w:tc>
          <w:tcPr>
            <w:tcW w:w="540" w:type="dxa"/>
            <w:vAlign w:val="bottom"/>
            <w:shd w:val="clear" w:color="auto" w:fill="D4F1F5"/>
          </w:tcPr>
          <w:p>
            <w:pPr>
              <w:jc w:val="right"/>
              <w:ind w:right="99"/>
              <w:spacing w:after="0"/>
              <w:rPr>
                <w:sz w:val="20"/>
                <w:szCs w:val="20"/>
                <w:color w:val="auto"/>
              </w:rPr>
            </w:pPr>
            <w:r>
              <w:rPr>
                <w:rFonts w:ascii="Arial" w:cs="Arial" w:eastAsia="Arial" w:hAnsi="Arial"/>
                <w:sz w:val="16"/>
                <w:szCs w:val="16"/>
                <w:color w:val="auto"/>
              </w:rPr>
              <w:t>12</w:t>
            </w:r>
          </w:p>
        </w:tc>
        <w:tc>
          <w:tcPr>
            <w:tcW w:w="1120" w:type="dxa"/>
            <w:vAlign w:val="bottom"/>
            <w:shd w:val="clear" w:color="auto" w:fill="D4F1F5"/>
          </w:tcPr>
          <w:p>
            <w:pPr>
              <w:spacing w:after="0"/>
              <w:rPr>
                <w:sz w:val="18"/>
                <w:szCs w:val="18"/>
                <w:color w:val="auto"/>
              </w:rPr>
            </w:pPr>
          </w:p>
        </w:tc>
        <w:tc>
          <w:tcPr>
            <w:tcW w:w="460" w:type="dxa"/>
            <w:vAlign w:val="bottom"/>
            <w:shd w:val="clear" w:color="auto" w:fill="D4F1F5"/>
          </w:tcPr>
          <w:p>
            <w:pPr>
              <w:jc w:val="right"/>
              <w:ind w:right="39"/>
              <w:spacing w:after="0"/>
              <w:rPr>
                <w:sz w:val="20"/>
                <w:szCs w:val="20"/>
                <w:color w:val="auto"/>
              </w:rPr>
            </w:pPr>
            <w:r>
              <w:rPr>
                <w:rFonts w:ascii="Arial" w:cs="Arial" w:eastAsia="Arial" w:hAnsi="Arial"/>
                <w:sz w:val="16"/>
                <w:szCs w:val="16"/>
                <w:color w:val="auto"/>
              </w:rPr>
              <w:t>2</w:t>
            </w:r>
          </w:p>
        </w:tc>
        <w:tc>
          <w:tcPr>
            <w:tcW w:w="400" w:type="dxa"/>
            <w:vAlign w:val="bottom"/>
            <w:shd w:val="clear" w:color="auto" w:fill="D4F1F5"/>
          </w:tcPr>
          <w:p>
            <w:pPr>
              <w:spacing w:after="0"/>
              <w:rPr>
                <w:sz w:val="18"/>
                <w:szCs w:val="18"/>
                <w:color w:val="auto"/>
              </w:rPr>
            </w:pPr>
          </w:p>
        </w:tc>
        <w:tc>
          <w:tcPr>
            <w:tcW w:w="1060" w:type="dxa"/>
            <w:vAlign w:val="bottom"/>
            <w:shd w:val="clear" w:color="auto" w:fill="D4F1F5"/>
          </w:tcPr>
          <w:p>
            <w:pPr>
              <w:jc w:val="right"/>
              <w:spacing w:after="0"/>
              <w:rPr>
                <w:sz w:val="20"/>
                <w:szCs w:val="20"/>
                <w:color w:val="auto"/>
              </w:rPr>
            </w:pPr>
            <w:r>
              <w:rPr>
                <w:rFonts w:ascii="Arial" w:cs="Arial" w:eastAsia="Arial" w:hAnsi="Arial"/>
                <w:sz w:val="16"/>
                <w:szCs w:val="16"/>
                <w:color w:val="auto"/>
              </w:rPr>
              <w:t>2</w:t>
            </w:r>
          </w:p>
        </w:tc>
      </w:tr>
      <w:tr>
        <w:trPr>
          <w:trHeight w:val="215"/>
        </w:trPr>
        <w:tc>
          <w:tcPr>
            <w:tcW w:w="5180" w:type="dxa"/>
            <w:vAlign w:val="bottom"/>
          </w:tcPr>
          <w:p>
            <w:pPr>
              <w:ind w:left="20"/>
              <w:spacing w:after="0"/>
              <w:rPr>
                <w:sz w:val="20"/>
                <w:szCs w:val="20"/>
                <w:color w:val="auto"/>
              </w:rPr>
            </w:pPr>
            <w:r>
              <w:rPr>
                <w:rFonts w:ascii="Arial" w:cs="Arial" w:eastAsia="Arial" w:hAnsi="Arial"/>
                <w:sz w:val="16"/>
                <w:szCs w:val="16"/>
                <w:color w:val="auto"/>
              </w:rPr>
              <w:t>Expected return on assets</w:t>
            </w:r>
          </w:p>
        </w:tc>
        <w:tc>
          <w:tcPr>
            <w:tcW w:w="9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(13)</w:t>
            </w:r>
          </w:p>
        </w:tc>
        <w:tc>
          <w:tcPr>
            <w:tcW w:w="1020" w:type="dxa"/>
            <w:vAlign w:val="bottom"/>
          </w:tcPr>
          <w:p>
            <w:pPr>
              <w:spacing w:after="0"/>
              <w:rPr>
                <w:sz w:val="18"/>
                <w:szCs w:val="18"/>
                <w:color w:val="auto"/>
              </w:rPr>
            </w:pPr>
          </w:p>
        </w:tc>
        <w:tc>
          <w:tcPr>
            <w:tcW w:w="540" w:type="dxa"/>
            <w:vAlign w:val="bottom"/>
          </w:tcPr>
          <w:p>
            <w:pPr>
              <w:jc w:val="right"/>
              <w:ind w:right="59"/>
              <w:spacing w:after="0"/>
              <w:rPr>
                <w:sz w:val="20"/>
                <w:szCs w:val="20"/>
                <w:color w:val="auto"/>
              </w:rPr>
            </w:pPr>
            <w:r>
              <w:rPr>
                <w:rFonts w:ascii="Arial" w:cs="Arial" w:eastAsia="Arial" w:hAnsi="Arial"/>
                <w:sz w:val="16"/>
                <w:szCs w:val="16"/>
                <w:color w:val="auto"/>
              </w:rPr>
              <w:t>(12)</w:t>
            </w:r>
          </w:p>
        </w:tc>
        <w:tc>
          <w:tcPr>
            <w:tcW w:w="11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(3)</w:t>
            </w:r>
          </w:p>
        </w:tc>
        <w:tc>
          <w:tcPr>
            <w:tcW w:w="4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w:t>
            </w:r>
          </w:p>
        </w:tc>
      </w:tr>
      <w:tr>
        <w:trPr>
          <w:trHeight w:val="217"/>
        </w:trPr>
        <w:tc>
          <w:tcPr>
            <w:tcW w:w="5180" w:type="dxa"/>
            <w:vAlign w:val="bottom"/>
            <w:shd w:val="clear" w:color="auto" w:fill="D4F1F5"/>
          </w:tcPr>
          <w:p>
            <w:pPr>
              <w:ind w:left="20"/>
              <w:spacing w:after="0"/>
              <w:rPr>
                <w:sz w:val="20"/>
                <w:szCs w:val="20"/>
                <w:color w:val="auto"/>
              </w:rPr>
            </w:pPr>
            <w:r>
              <w:rPr>
                <w:rFonts w:ascii="Arial" w:cs="Arial" w:eastAsia="Arial" w:hAnsi="Arial"/>
                <w:sz w:val="16"/>
                <w:szCs w:val="16"/>
                <w:color w:val="auto"/>
              </w:rPr>
              <w:t>Amortization of:</w:t>
            </w:r>
          </w:p>
        </w:tc>
        <w:tc>
          <w:tcPr>
            <w:tcW w:w="980" w:type="dxa"/>
            <w:vAlign w:val="bottom"/>
            <w:shd w:val="clear" w:color="auto" w:fill="D4F1F5"/>
          </w:tcPr>
          <w:p>
            <w:pPr>
              <w:spacing w:after="0"/>
              <w:rPr>
                <w:sz w:val="18"/>
                <w:szCs w:val="18"/>
                <w:color w:val="auto"/>
              </w:rPr>
            </w:pPr>
          </w:p>
        </w:tc>
        <w:tc>
          <w:tcPr>
            <w:tcW w:w="480" w:type="dxa"/>
            <w:vAlign w:val="bottom"/>
            <w:shd w:val="clear" w:color="auto" w:fill="D4F1F5"/>
          </w:tcPr>
          <w:p>
            <w:pPr>
              <w:spacing w:after="0"/>
              <w:rPr>
                <w:sz w:val="18"/>
                <w:szCs w:val="18"/>
                <w:color w:val="auto"/>
              </w:rPr>
            </w:pPr>
          </w:p>
        </w:tc>
        <w:tc>
          <w:tcPr>
            <w:tcW w:w="1020" w:type="dxa"/>
            <w:vAlign w:val="bottom"/>
            <w:shd w:val="clear" w:color="auto" w:fill="D4F1F5"/>
          </w:tcPr>
          <w:p>
            <w:pPr>
              <w:spacing w:after="0"/>
              <w:rPr>
                <w:sz w:val="18"/>
                <w:szCs w:val="18"/>
                <w:color w:val="auto"/>
              </w:rPr>
            </w:pPr>
          </w:p>
        </w:tc>
        <w:tc>
          <w:tcPr>
            <w:tcW w:w="540" w:type="dxa"/>
            <w:vAlign w:val="bottom"/>
            <w:shd w:val="clear" w:color="auto" w:fill="D4F1F5"/>
          </w:tcPr>
          <w:p>
            <w:pPr>
              <w:spacing w:after="0"/>
              <w:rPr>
                <w:sz w:val="18"/>
                <w:szCs w:val="18"/>
                <w:color w:val="auto"/>
              </w:rPr>
            </w:pPr>
          </w:p>
        </w:tc>
        <w:tc>
          <w:tcPr>
            <w:tcW w:w="1120" w:type="dxa"/>
            <w:vAlign w:val="bottom"/>
            <w:shd w:val="clear" w:color="auto" w:fill="D4F1F5"/>
          </w:tcPr>
          <w:p>
            <w:pPr>
              <w:spacing w:after="0"/>
              <w:rPr>
                <w:sz w:val="18"/>
                <w:szCs w:val="18"/>
                <w:color w:val="auto"/>
              </w:rPr>
            </w:pPr>
          </w:p>
        </w:tc>
        <w:tc>
          <w:tcPr>
            <w:tcW w:w="460" w:type="dxa"/>
            <w:vAlign w:val="bottom"/>
            <w:shd w:val="clear" w:color="auto" w:fill="D4F1F5"/>
          </w:tcPr>
          <w:p>
            <w:pPr>
              <w:spacing w:after="0"/>
              <w:rPr>
                <w:sz w:val="18"/>
                <w:szCs w:val="18"/>
                <w:color w:val="auto"/>
              </w:rPr>
            </w:pPr>
          </w:p>
        </w:tc>
        <w:tc>
          <w:tcPr>
            <w:tcW w:w="400" w:type="dxa"/>
            <w:vAlign w:val="bottom"/>
            <w:shd w:val="clear" w:color="auto" w:fill="D4F1F5"/>
          </w:tcPr>
          <w:p>
            <w:pPr>
              <w:spacing w:after="0"/>
              <w:rPr>
                <w:sz w:val="18"/>
                <w:szCs w:val="18"/>
                <w:color w:val="auto"/>
              </w:rPr>
            </w:pPr>
          </w:p>
        </w:tc>
        <w:tc>
          <w:tcPr>
            <w:tcW w:w="1060" w:type="dxa"/>
            <w:vAlign w:val="bottom"/>
            <w:shd w:val="clear" w:color="auto" w:fill="D4F1F5"/>
          </w:tcPr>
          <w:p>
            <w:pPr>
              <w:spacing w:after="0"/>
              <w:rPr>
                <w:sz w:val="18"/>
                <w:szCs w:val="18"/>
                <w:color w:val="auto"/>
              </w:rPr>
            </w:pPr>
          </w:p>
        </w:tc>
      </w:tr>
      <w:tr>
        <w:trPr>
          <w:trHeight w:val="215"/>
        </w:trPr>
        <w:tc>
          <w:tcPr>
            <w:tcW w:w="5180" w:type="dxa"/>
            <w:vAlign w:val="bottom"/>
          </w:tcPr>
          <w:p>
            <w:pPr>
              <w:ind w:left="140"/>
              <w:spacing w:after="0"/>
              <w:rPr>
                <w:sz w:val="20"/>
                <w:szCs w:val="20"/>
                <w:color w:val="auto"/>
              </w:rPr>
            </w:pPr>
            <w:r>
              <w:rPr>
                <w:rFonts w:ascii="Arial" w:cs="Arial" w:eastAsia="Arial" w:hAnsi="Arial"/>
                <w:sz w:val="16"/>
                <w:szCs w:val="16"/>
                <w:color w:val="auto"/>
              </w:rPr>
              <w:t>Actuarial loss (gain)</w:t>
            </w:r>
          </w:p>
        </w:tc>
        <w:tc>
          <w:tcPr>
            <w:tcW w:w="980" w:type="dxa"/>
            <w:vAlign w:val="bottom"/>
          </w:tcPr>
          <w:p>
            <w:pPr>
              <w:spacing w:after="0"/>
              <w:rPr>
                <w:sz w:val="18"/>
                <w:szCs w:val="18"/>
                <w:color w:val="auto"/>
              </w:rPr>
            </w:pPr>
          </w:p>
        </w:tc>
        <w:tc>
          <w:tcPr>
            <w:tcW w:w="480" w:type="dxa"/>
            <w:vAlign w:val="bottom"/>
          </w:tcPr>
          <w:p>
            <w:pPr>
              <w:jc w:val="right"/>
              <w:ind w:right="39"/>
              <w:spacing w:after="0"/>
              <w:rPr>
                <w:sz w:val="20"/>
                <w:szCs w:val="20"/>
                <w:color w:val="auto"/>
              </w:rPr>
            </w:pPr>
            <w:r>
              <w:rPr>
                <w:rFonts w:ascii="Arial" w:cs="Arial" w:eastAsia="Arial" w:hAnsi="Arial"/>
                <w:sz w:val="16"/>
                <w:szCs w:val="16"/>
                <w:color w:val="auto"/>
              </w:rPr>
              <w:t>1</w:t>
            </w:r>
          </w:p>
        </w:tc>
        <w:tc>
          <w:tcPr>
            <w:tcW w:w="1020" w:type="dxa"/>
            <w:vAlign w:val="bottom"/>
          </w:tcPr>
          <w:p>
            <w:pPr>
              <w:spacing w:after="0"/>
              <w:rPr>
                <w:sz w:val="18"/>
                <w:szCs w:val="18"/>
                <w:color w:val="auto"/>
              </w:rPr>
            </w:pPr>
          </w:p>
        </w:tc>
        <w:tc>
          <w:tcPr>
            <w:tcW w:w="540" w:type="dxa"/>
            <w:vAlign w:val="bottom"/>
          </w:tcPr>
          <w:p>
            <w:pPr>
              <w:jc w:val="right"/>
              <w:ind w:right="99"/>
              <w:spacing w:after="0"/>
              <w:rPr>
                <w:sz w:val="20"/>
                <w:szCs w:val="20"/>
                <w:color w:val="auto"/>
              </w:rPr>
            </w:pPr>
            <w:r>
              <w:rPr>
                <w:rFonts w:ascii="Arial" w:cs="Arial" w:eastAsia="Arial" w:hAnsi="Arial"/>
                <w:sz w:val="16"/>
                <w:szCs w:val="16"/>
                <w:color w:val="auto"/>
              </w:rPr>
              <w:t>2</w:t>
            </w:r>
          </w:p>
        </w:tc>
        <w:tc>
          <w:tcPr>
            <w:tcW w:w="1120" w:type="dxa"/>
            <w:vAlign w:val="bottom"/>
          </w:tcPr>
          <w:p>
            <w:pPr>
              <w:spacing w:after="0"/>
              <w:rPr>
                <w:sz w:val="18"/>
                <w:szCs w:val="18"/>
                <w:color w:val="auto"/>
              </w:rPr>
            </w:pPr>
          </w:p>
        </w:tc>
        <w:tc>
          <w:tcPr>
            <w:tcW w:w="46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w:t>
            </w:r>
          </w:p>
        </w:tc>
      </w:tr>
      <w:tr>
        <w:trPr>
          <w:trHeight w:val="217"/>
        </w:trPr>
        <w:tc>
          <w:tcPr>
            <w:tcW w:w="5180" w:type="dxa"/>
            <w:vAlign w:val="bottom"/>
            <w:shd w:val="clear" w:color="auto" w:fill="D4F1F5"/>
          </w:tcPr>
          <w:p>
            <w:pPr>
              <w:ind w:left="20"/>
              <w:spacing w:after="0"/>
              <w:rPr>
                <w:sz w:val="20"/>
                <w:szCs w:val="20"/>
                <w:color w:val="auto"/>
              </w:rPr>
            </w:pPr>
            <w:r>
              <w:rPr>
                <w:rFonts w:ascii="Arial" w:cs="Arial" w:eastAsia="Arial" w:hAnsi="Arial"/>
                <w:sz w:val="16"/>
                <w:szCs w:val="16"/>
                <w:color w:val="auto"/>
              </w:rPr>
              <w:t>Special termination benefits</w:t>
            </w:r>
          </w:p>
        </w:tc>
        <w:tc>
          <w:tcPr>
            <w:tcW w:w="980" w:type="dxa"/>
            <w:vAlign w:val="bottom"/>
            <w:tcBorders>
              <w:bottom w:val="single" w:sz="8" w:color="auto"/>
            </w:tcBorders>
            <w:shd w:val="clear" w:color="auto" w:fill="D4F1F5"/>
          </w:tcPr>
          <w:p>
            <w:pPr>
              <w:spacing w:after="0"/>
              <w:rPr>
                <w:sz w:val="18"/>
                <w:szCs w:val="18"/>
                <w:color w:val="auto"/>
              </w:rPr>
            </w:pPr>
          </w:p>
        </w:tc>
        <w:tc>
          <w:tcPr>
            <w:tcW w:w="480" w:type="dxa"/>
            <w:vAlign w:val="bottom"/>
            <w:tcBorders>
              <w:bottom w:val="single" w:sz="8" w:color="auto"/>
            </w:tcBorders>
            <w:shd w:val="clear" w:color="auto" w:fill="D4F1F5"/>
          </w:tcPr>
          <w:p>
            <w:pPr>
              <w:jc w:val="right"/>
              <w:ind w:right="3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shd w:val="clear" w:color="auto" w:fill="D4F1F5"/>
          </w:tcPr>
          <w:p>
            <w:pPr>
              <w:spacing w:after="0"/>
              <w:rPr>
                <w:sz w:val="18"/>
                <w:szCs w:val="18"/>
                <w:color w:val="auto"/>
              </w:rPr>
            </w:pPr>
          </w:p>
        </w:tc>
        <w:tc>
          <w:tcPr>
            <w:tcW w:w="540" w:type="dxa"/>
            <w:vAlign w:val="bottom"/>
            <w:tcBorders>
              <w:bottom w:val="single" w:sz="8" w:color="auto"/>
            </w:tcBorders>
            <w:shd w:val="clear" w:color="auto" w:fill="D4F1F5"/>
          </w:tcPr>
          <w:p>
            <w:pPr>
              <w:jc w:val="right"/>
              <w:ind w:right="9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shd w:val="clear" w:color="auto" w:fill="D4F1F5"/>
          </w:tcPr>
          <w:p>
            <w:pPr>
              <w:spacing w:after="0"/>
              <w:rPr>
                <w:sz w:val="18"/>
                <w:szCs w:val="18"/>
                <w:color w:val="auto"/>
              </w:rPr>
            </w:pPr>
          </w:p>
        </w:tc>
        <w:tc>
          <w:tcPr>
            <w:tcW w:w="460" w:type="dxa"/>
            <w:vAlign w:val="bottom"/>
            <w:tcBorders>
              <w:bottom w:val="single" w:sz="8" w:color="auto"/>
            </w:tcBorders>
            <w:shd w:val="clear" w:color="auto" w:fill="D4F1F5"/>
          </w:tcPr>
          <w:p>
            <w:pPr>
              <w:jc w:val="right"/>
              <w:ind w:right="39"/>
              <w:spacing w:after="0"/>
              <w:rPr>
                <w:sz w:val="20"/>
                <w:szCs w:val="20"/>
                <w:color w:val="auto"/>
              </w:rPr>
            </w:pPr>
            <w:r>
              <w:rPr>
                <w:rFonts w:ascii="Arial" w:cs="Arial" w:eastAsia="Arial" w:hAnsi="Arial"/>
                <w:sz w:val="16"/>
                <w:szCs w:val="16"/>
                <w:color w:val="auto"/>
              </w:rPr>
              <w:t>6</w:t>
            </w:r>
          </w:p>
        </w:tc>
        <w:tc>
          <w:tcPr>
            <w:tcW w:w="400" w:type="dxa"/>
            <w:vAlign w:val="bottom"/>
            <w:tcBorders>
              <w:bottom w:val="single" w:sz="8" w:color="auto"/>
            </w:tcBorders>
            <w:shd w:val="clear" w:color="auto" w:fill="D4F1F5"/>
          </w:tcPr>
          <w:p>
            <w:pPr>
              <w:spacing w:after="0"/>
              <w:rPr>
                <w:sz w:val="18"/>
                <w:szCs w:val="18"/>
                <w:color w:val="auto"/>
              </w:rPr>
            </w:pPr>
          </w:p>
        </w:tc>
        <w:tc>
          <w:tcPr>
            <w:tcW w:w="1060" w:type="dxa"/>
            <w:vAlign w:val="bottom"/>
            <w:tcBorders>
              <w:bottom w:val="single" w:sz="8" w:color="auto"/>
            </w:tcBorders>
            <w:shd w:val="clear" w:color="auto" w:fill="D4F1F5"/>
          </w:tcPr>
          <w:p>
            <w:pPr>
              <w:jc w:val="right"/>
              <w:spacing w:after="0"/>
              <w:rPr>
                <w:sz w:val="20"/>
                <w:szCs w:val="20"/>
                <w:color w:val="auto"/>
              </w:rPr>
            </w:pPr>
            <w:r>
              <w:rPr>
                <w:rFonts w:ascii="Arial" w:cs="Arial" w:eastAsia="Arial" w:hAnsi="Arial"/>
                <w:sz w:val="16"/>
                <w:szCs w:val="16"/>
                <w:color w:val="auto"/>
              </w:rPr>
              <w:t>—</w:t>
            </w:r>
          </w:p>
        </w:tc>
      </w:tr>
      <w:tr>
        <w:trPr>
          <w:trHeight w:val="209"/>
        </w:trPr>
        <w:tc>
          <w:tcPr>
            <w:tcW w:w="5180" w:type="dxa"/>
            <w:vAlign w:val="bottom"/>
          </w:tcPr>
          <w:p>
            <w:pPr>
              <w:ind w:left="20"/>
              <w:spacing w:after="0"/>
              <w:rPr>
                <w:sz w:val="20"/>
                <w:szCs w:val="20"/>
                <w:color w:val="auto"/>
              </w:rPr>
            </w:pPr>
            <w:r>
              <w:rPr>
                <w:rFonts w:ascii="Arial" w:cs="Arial" w:eastAsia="Arial" w:hAnsi="Arial"/>
                <w:sz w:val="16"/>
                <w:szCs w:val="16"/>
                <w:color w:val="auto"/>
              </w:rPr>
              <w:t>Net periodic benefit cost</w:t>
            </w:r>
          </w:p>
        </w:tc>
        <w:tc>
          <w:tcPr>
            <w:tcW w:w="980" w:type="dxa"/>
            <w:vAlign w:val="bottom"/>
          </w:tcPr>
          <w:p>
            <w:pPr>
              <w:spacing w:after="0"/>
              <w:rPr>
                <w:sz w:val="18"/>
                <w:szCs w:val="18"/>
                <w:color w:val="auto"/>
              </w:rPr>
            </w:pPr>
          </w:p>
        </w:tc>
        <w:tc>
          <w:tcPr>
            <w:tcW w:w="480" w:type="dxa"/>
            <w:vAlign w:val="bottom"/>
          </w:tcPr>
          <w:p>
            <w:pPr>
              <w:jc w:val="right"/>
              <w:ind w:right="39"/>
              <w:spacing w:after="0"/>
              <w:rPr>
                <w:sz w:val="20"/>
                <w:szCs w:val="20"/>
                <w:color w:val="auto"/>
              </w:rPr>
            </w:pPr>
            <w:r>
              <w:rPr>
                <w:rFonts w:ascii="Arial" w:cs="Arial" w:eastAsia="Arial" w:hAnsi="Arial"/>
                <w:sz w:val="16"/>
                <w:szCs w:val="16"/>
                <w:color w:val="auto"/>
              </w:rPr>
              <w:t>10</w:t>
            </w:r>
          </w:p>
        </w:tc>
        <w:tc>
          <w:tcPr>
            <w:tcW w:w="1020" w:type="dxa"/>
            <w:vAlign w:val="bottom"/>
          </w:tcPr>
          <w:p>
            <w:pPr>
              <w:spacing w:after="0"/>
              <w:rPr>
                <w:sz w:val="18"/>
                <w:szCs w:val="18"/>
                <w:color w:val="auto"/>
              </w:rPr>
            </w:pPr>
          </w:p>
        </w:tc>
        <w:tc>
          <w:tcPr>
            <w:tcW w:w="540" w:type="dxa"/>
            <w:vAlign w:val="bottom"/>
          </w:tcPr>
          <w:p>
            <w:pPr>
              <w:jc w:val="right"/>
              <w:ind w:right="99"/>
              <w:spacing w:after="0"/>
              <w:rPr>
                <w:sz w:val="20"/>
                <w:szCs w:val="20"/>
                <w:color w:val="auto"/>
              </w:rPr>
            </w:pPr>
            <w:r>
              <w:rPr>
                <w:rFonts w:ascii="Arial" w:cs="Arial" w:eastAsia="Arial" w:hAnsi="Arial"/>
                <w:sz w:val="16"/>
                <w:szCs w:val="16"/>
                <w:color w:val="auto"/>
              </w:rPr>
              <w:t>11</w:t>
            </w:r>
          </w:p>
        </w:tc>
        <w:tc>
          <w:tcPr>
            <w:tcW w:w="1120" w:type="dxa"/>
            <w:vAlign w:val="bottom"/>
          </w:tcPr>
          <w:p>
            <w:pPr>
              <w:spacing w:after="0"/>
              <w:rPr>
                <w:sz w:val="18"/>
                <w:szCs w:val="18"/>
                <w:color w:val="auto"/>
              </w:rPr>
            </w:pPr>
          </w:p>
        </w:tc>
        <w:tc>
          <w:tcPr>
            <w:tcW w:w="460" w:type="dxa"/>
            <w:vAlign w:val="bottom"/>
          </w:tcPr>
          <w:p>
            <w:pPr>
              <w:jc w:val="right"/>
              <w:ind w:right="39"/>
              <w:spacing w:after="0"/>
              <w:rPr>
                <w:sz w:val="20"/>
                <w:szCs w:val="20"/>
                <w:color w:val="auto"/>
              </w:rPr>
            </w:pPr>
            <w:r>
              <w:rPr>
                <w:rFonts w:ascii="Arial" w:cs="Arial" w:eastAsia="Arial" w:hAnsi="Arial"/>
                <w:sz w:val="16"/>
                <w:szCs w:val="16"/>
                <w:color w:val="auto"/>
              </w:rPr>
              <w:t>6</w:t>
            </w:r>
          </w:p>
        </w:tc>
        <w:tc>
          <w:tcPr>
            <w:tcW w:w="4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7"/>
        </w:trPr>
        <w:tc>
          <w:tcPr>
            <w:tcW w:w="5180" w:type="dxa"/>
            <w:vAlign w:val="bottom"/>
            <w:shd w:val="clear" w:color="auto" w:fill="D4F1F5"/>
          </w:tcPr>
          <w:p>
            <w:pPr>
              <w:ind w:left="20"/>
              <w:spacing w:after="0"/>
              <w:rPr>
                <w:sz w:val="20"/>
                <w:szCs w:val="20"/>
                <w:color w:val="auto"/>
              </w:rPr>
            </w:pPr>
            <w:r>
              <w:rPr>
                <w:rFonts w:ascii="Arial" w:cs="Arial" w:eastAsia="Arial" w:hAnsi="Arial"/>
                <w:sz w:val="16"/>
                <w:szCs w:val="16"/>
                <w:color w:val="auto"/>
              </w:rPr>
              <w:t>Regulatory adjustments</w:t>
            </w:r>
          </w:p>
        </w:tc>
        <w:tc>
          <w:tcPr>
            <w:tcW w:w="980" w:type="dxa"/>
            <w:vAlign w:val="bottom"/>
            <w:tcBorders>
              <w:bottom w:val="single" w:sz="8" w:color="auto"/>
            </w:tcBorders>
            <w:shd w:val="clear" w:color="auto" w:fill="D4F1F5"/>
          </w:tcPr>
          <w:p>
            <w:pPr>
              <w:spacing w:after="0"/>
              <w:rPr>
                <w:sz w:val="18"/>
                <w:szCs w:val="18"/>
                <w:color w:val="auto"/>
              </w:rPr>
            </w:pPr>
          </w:p>
        </w:tc>
        <w:tc>
          <w:tcPr>
            <w:tcW w:w="480" w:type="dxa"/>
            <w:vAlign w:val="bottom"/>
            <w:tcBorders>
              <w:bottom w:val="single" w:sz="8" w:color="auto"/>
            </w:tcBorders>
            <w:shd w:val="clear" w:color="auto" w:fill="D4F1F5"/>
          </w:tcPr>
          <w:p>
            <w:pPr>
              <w:jc w:val="right"/>
              <w:spacing w:after="0"/>
              <w:rPr>
                <w:sz w:val="20"/>
                <w:szCs w:val="20"/>
                <w:color w:val="auto"/>
              </w:rPr>
            </w:pPr>
            <w:r>
              <w:rPr>
                <w:rFonts w:ascii="Arial" w:cs="Arial" w:eastAsia="Arial" w:hAnsi="Arial"/>
                <w:sz w:val="16"/>
                <w:szCs w:val="16"/>
                <w:color w:val="auto"/>
              </w:rPr>
              <w:t>(10)</w:t>
            </w:r>
          </w:p>
        </w:tc>
        <w:tc>
          <w:tcPr>
            <w:tcW w:w="1020" w:type="dxa"/>
            <w:vAlign w:val="bottom"/>
            <w:tcBorders>
              <w:bottom w:val="single" w:sz="8" w:color="auto"/>
            </w:tcBorders>
            <w:shd w:val="clear" w:color="auto" w:fill="D4F1F5"/>
          </w:tcPr>
          <w:p>
            <w:pPr>
              <w:spacing w:after="0"/>
              <w:rPr>
                <w:sz w:val="18"/>
                <w:szCs w:val="18"/>
                <w:color w:val="auto"/>
              </w:rPr>
            </w:pPr>
          </w:p>
        </w:tc>
        <w:tc>
          <w:tcPr>
            <w:tcW w:w="540" w:type="dxa"/>
            <w:vAlign w:val="bottom"/>
            <w:tcBorders>
              <w:bottom w:val="single" w:sz="8" w:color="auto"/>
            </w:tcBorders>
            <w:shd w:val="clear" w:color="auto" w:fill="D4F1F5"/>
          </w:tcPr>
          <w:p>
            <w:pPr>
              <w:jc w:val="right"/>
              <w:ind w:right="59"/>
              <w:spacing w:after="0"/>
              <w:rPr>
                <w:sz w:val="20"/>
                <w:szCs w:val="20"/>
                <w:color w:val="auto"/>
              </w:rPr>
            </w:pPr>
            <w:r>
              <w:rPr>
                <w:rFonts w:ascii="Arial" w:cs="Arial" w:eastAsia="Arial" w:hAnsi="Arial"/>
                <w:sz w:val="16"/>
                <w:szCs w:val="16"/>
                <w:color w:val="auto"/>
              </w:rPr>
              <w:t>(10)</w:t>
            </w:r>
          </w:p>
        </w:tc>
        <w:tc>
          <w:tcPr>
            <w:tcW w:w="1120" w:type="dxa"/>
            <w:vAlign w:val="bottom"/>
            <w:tcBorders>
              <w:bottom w:val="single" w:sz="8" w:color="auto"/>
            </w:tcBorders>
            <w:shd w:val="clear" w:color="auto" w:fill="D4F1F5"/>
          </w:tcPr>
          <w:p>
            <w:pPr>
              <w:spacing w:after="0"/>
              <w:rPr>
                <w:sz w:val="18"/>
                <w:szCs w:val="18"/>
                <w:color w:val="auto"/>
              </w:rPr>
            </w:pPr>
          </w:p>
        </w:tc>
        <w:tc>
          <w:tcPr>
            <w:tcW w:w="460" w:type="dxa"/>
            <w:vAlign w:val="bottom"/>
            <w:tcBorders>
              <w:bottom w:val="single" w:sz="8" w:color="auto"/>
            </w:tcBorders>
            <w:shd w:val="clear" w:color="auto" w:fill="D4F1F5"/>
          </w:tcPr>
          <w:p>
            <w:pPr>
              <w:jc w:val="right"/>
              <w:spacing w:after="0"/>
              <w:rPr>
                <w:sz w:val="20"/>
                <w:szCs w:val="20"/>
                <w:color w:val="auto"/>
              </w:rPr>
            </w:pPr>
            <w:r>
              <w:rPr>
                <w:rFonts w:ascii="Arial" w:cs="Arial" w:eastAsia="Arial" w:hAnsi="Arial"/>
                <w:sz w:val="16"/>
                <w:szCs w:val="16"/>
                <w:color w:val="auto"/>
              </w:rPr>
              <w:t>(6)</w:t>
            </w:r>
          </w:p>
        </w:tc>
        <w:tc>
          <w:tcPr>
            <w:tcW w:w="400" w:type="dxa"/>
            <w:vAlign w:val="bottom"/>
            <w:tcBorders>
              <w:bottom w:val="single" w:sz="8" w:color="auto"/>
            </w:tcBorders>
            <w:shd w:val="clear" w:color="auto" w:fill="D4F1F5"/>
          </w:tcPr>
          <w:p>
            <w:pPr>
              <w:spacing w:after="0"/>
              <w:rPr>
                <w:sz w:val="18"/>
                <w:szCs w:val="18"/>
                <w:color w:val="auto"/>
              </w:rPr>
            </w:pPr>
          </w:p>
        </w:tc>
        <w:tc>
          <w:tcPr>
            <w:tcW w:w="1060" w:type="dxa"/>
            <w:vAlign w:val="bottom"/>
            <w:tcBorders>
              <w:bottom w:val="single" w:sz="8" w:color="auto"/>
            </w:tcBorders>
            <w:shd w:val="clear" w:color="auto" w:fill="D4F1F5"/>
          </w:tcPr>
          <w:p>
            <w:pPr>
              <w:jc w:val="right"/>
              <w:spacing w:after="0"/>
              <w:rPr>
                <w:sz w:val="20"/>
                <w:szCs w:val="20"/>
                <w:color w:val="auto"/>
              </w:rPr>
            </w:pPr>
            <w:r>
              <w:rPr>
                <w:rFonts w:ascii="Arial" w:cs="Arial" w:eastAsia="Arial" w:hAnsi="Arial"/>
                <w:sz w:val="16"/>
                <w:szCs w:val="16"/>
                <w:color w:val="auto"/>
              </w:rPr>
              <w:t>—</w:t>
            </w:r>
          </w:p>
        </w:tc>
      </w:tr>
      <w:tr>
        <w:trPr>
          <w:trHeight w:val="217"/>
        </w:trPr>
        <w:tc>
          <w:tcPr>
            <w:tcW w:w="518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Total expense recognized</w:t>
            </w:r>
          </w:p>
        </w:tc>
        <w:tc>
          <w:tcPr>
            <w:tcW w:w="980" w:type="dxa"/>
            <w:vAlign w:val="bottom"/>
            <w:tcBorders>
              <w:bottom w:val="single" w:sz="8" w:color="auto"/>
            </w:tcBorders>
          </w:tcPr>
          <w:p>
            <w:pPr>
              <w:jc w:val="right"/>
              <w:ind w:right="800"/>
              <w:spacing w:after="0"/>
              <w:rPr>
                <w:sz w:val="20"/>
                <w:szCs w:val="20"/>
                <w:color w:val="auto"/>
              </w:rPr>
            </w:pPr>
            <w:r>
              <w:rPr>
                <w:rFonts w:ascii="Arial" w:cs="Arial" w:eastAsia="Arial" w:hAnsi="Arial"/>
                <w:sz w:val="16"/>
                <w:szCs w:val="16"/>
                <w:color w:val="auto"/>
                <w:w w:val="89"/>
              </w:rPr>
              <w:t>$</w:t>
            </w:r>
          </w:p>
        </w:tc>
        <w:tc>
          <w:tcPr>
            <w:tcW w:w="4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tcPr>
          <w:p>
            <w:pPr>
              <w:jc w:val="right"/>
              <w:ind w:right="781"/>
              <w:spacing w:after="0"/>
              <w:rPr>
                <w:sz w:val="20"/>
                <w:szCs w:val="20"/>
                <w:color w:val="auto"/>
              </w:rPr>
            </w:pPr>
            <w:r>
              <w:rPr>
                <w:rFonts w:ascii="Arial" w:cs="Arial" w:eastAsia="Arial" w:hAnsi="Arial"/>
                <w:sz w:val="16"/>
                <w:szCs w:val="16"/>
                <w:color w:val="auto"/>
              </w:rPr>
              <w:t>$</w:t>
            </w:r>
          </w:p>
        </w:tc>
        <w:tc>
          <w:tcPr>
            <w:tcW w:w="54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1</w:t>
            </w:r>
          </w:p>
        </w:tc>
        <w:tc>
          <w:tcPr>
            <w:tcW w:w="1120" w:type="dxa"/>
            <w:vAlign w:val="bottom"/>
            <w:tcBorders>
              <w:bottom w:val="single" w:sz="8" w:color="auto"/>
            </w:tcBorders>
          </w:tcPr>
          <w:p>
            <w:pPr>
              <w:jc w:val="right"/>
              <w:ind w:right="800"/>
              <w:spacing w:after="0"/>
              <w:rPr>
                <w:sz w:val="20"/>
                <w:szCs w:val="20"/>
                <w:color w:val="auto"/>
              </w:rPr>
            </w:pPr>
            <w:r>
              <w:rPr>
                <w:rFonts w:ascii="Arial" w:cs="Arial" w:eastAsia="Arial" w:hAnsi="Arial"/>
                <w:sz w:val="16"/>
                <w:szCs w:val="16"/>
                <w:color w:val="auto"/>
              </w:rPr>
              <w:t>$</w:t>
            </w:r>
          </w:p>
        </w:tc>
        <w:tc>
          <w:tcPr>
            <w:tcW w:w="4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40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216"/>
        </w:trPr>
        <w:tc>
          <w:tcPr>
            <w:tcW w:w="5180" w:type="dxa"/>
            <w:vAlign w:val="bottom"/>
            <w:shd w:val="clear" w:color="auto" w:fill="D4F1F5"/>
          </w:tcPr>
          <w:p>
            <w:pPr>
              <w:ind w:left="20"/>
              <w:spacing w:after="0"/>
              <w:rPr>
                <w:sz w:val="20"/>
                <w:szCs w:val="20"/>
                <w:color w:val="auto"/>
              </w:rPr>
            </w:pPr>
            <w:r>
              <w:rPr>
                <w:rFonts w:ascii="Arial" w:cs="Arial" w:eastAsia="Arial" w:hAnsi="Arial"/>
                <w:sz w:val="16"/>
                <w:szCs w:val="16"/>
                <w:b w:val="1"/>
                <w:bCs w:val="1"/>
                <w:color w:val="auto"/>
              </w:rPr>
              <w:t>SoCalGas:</w:t>
            </w:r>
          </w:p>
        </w:tc>
        <w:tc>
          <w:tcPr>
            <w:tcW w:w="980" w:type="dxa"/>
            <w:vAlign w:val="bottom"/>
            <w:shd w:val="clear" w:color="auto" w:fill="D4F1F5"/>
          </w:tcPr>
          <w:p>
            <w:pPr>
              <w:spacing w:after="0"/>
              <w:rPr>
                <w:sz w:val="18"/>
                <w:szCs w:val="18"/>
                <w:color w:val="auto"/>
              </w:rPr>
            </w:pPr>
          </w:p>
        </w:tc>
        <w:tc>
          <w:tcPr>
            <w:tcW w:w="480" w:type="dxa"/>
            <w:vAlign w:val="bottom"/>
            <w:shd w:val="clear" w:color="auto" w:fill="D4F1F5"/>
          </w:tcPr>
          <w:p>
            <w:pPr>
              <w:spacing w:after="0"/>
              <w:rPr>
                <w:sz w:val="18"/>
                <w:szCs w:val="18"/>
                <w:color w:val="auto"/>
              </w:rPr>
            </w:pPr>
          </w:p>
        </w:tc>
        <w:tc>
          <w:tcPr>
            <w:tcW w:w="1020" w:type="dxa"/>
            <w:vAlign w:val="bottom"/>
            <w:shd w:val="clear" w:color="auto" w:fill="D4F1F5"/>
          </w:tcPr>
          <w:p>
            <w:pPr>
              <w:spacing w:after="0"/>
              <w:rPr>
                <w:sz w:val="18"/>
                <w:szCs w:val="18"/>
                <w:color w:val="auto"/>
              </w:rPr>
            </w:pPr>
          </w:p>
        </w:tc>
        <w:tc>
          <w:tcPr>
            <w:tcW w:w="540" w:type="dxa"/>
            <w:vAlign w:val="bottom"/>
            <w:shd w:val="clear" w:color="auto" w:fill="D4F1F5"/>
          </w:tcPr>
          <w:p>
            <w:pPr>
              <w:spacing w:after="0"/>
              <w:rPr>
                <w:sz w:val="18"/>
                <w:szCs w:val="18"/>
                <w:color w:val="auto"/>
              </w:rPr>
            </w:pPr>
          </w:p>
        </w:tc>
        <w:tc>
          <w:tcPr>
            <w:tcW w:w="1120" w:type="dxa"/>
            <w:vAlign w:val="bottom"/>
            <w:shd w:val="clear" w:color="auto" w:fill="D4F1F5"/>
          </w:tcPr>
          <w:p>
            <w:pPr>
              <w:spacing w:after="0"/>
              <w:rPr>
                <w:sz w:val="18"/>
                <w:szCs w:val="18"/>
                <w:color w:val="auto"/>
              </w:rPr>
            </w:pPr>
          </w:p>
        </w:tc>
        <w:tc>
          <w:tcPr>
            <w:tcW w:w="460" w:type="dxa"/>
            <w:vAlign w:val="bottom"/>
            <w:shd w:val="clear" w:color="auto" w:fill="D4F1F5"/>
          </w:tcPr>
          <w:p>
            <w:pPr>
              <w:spacing w:after="0"/>
              <w:rPr>
                <w:sz w:val="18"/>
                <w:szCs w:val="18"/>
                <w:color w:val="auto"/>
              </w:rPr>
            </w:pPr>
          </w:p>
        </w:tc>
        <w:tc>
          <w:tcPr>
            <w:tcW w:w="400" w:type="dxa"/>
            <w:vAlign w:val="bottom"/>
            <w:shd w:val="clear" w:color="auto" w:fill="D4F1F5"/>
          </w:tcPr>
          <w:p>
            <w:pPr>
              <w:spacing w:after="0"/>
              <w:rPr>
                <w:sz w:val="18"/>
                <w:szCs w:val="18"/>
                <w:color w:val="auto"/>
              </w:rPr>
            </w:pPr>
          </w:p>
        </w:tc>
        <w:tc>
          <w:tcPr>
            <w:tcW w:w="1060" w:type="dxa"/>
            <w:vAlign w:val="bottom"/>
            <w:shd w:val="clear" w:color="auto" w:fill="D4F1F5"/>
          </w:tcPr>
          <w:p>
            <w:pPr>
              <w:spacing w:after="0"/>
              <w:rPr>
                <w:sz w:val="18"/>
                <w:szCs w:val="18"/>
                <w:color w:val="auto"/>
              </w:rPr>
            </w:pPr>
          </w:p>
        </w:tc>
      </w:tr>
      <w:tr>
        <w:trPr>
          <w:trHeight w:val="215"/>
        </w:trPr>
        <w:tc>
          <w:tcPr>
            <w:tcW w:w="5180" w:type="dxa"/>
            <w:vAlign w:val="bottom"/>
          </w:tcPr>
          <w:p>
            <w:pPr>
              <w:ind w:left="20"/>
              <w:spacing w:after="0"/>
              <w:rPr>
                <w:sz w:val="20"/>
                <w:szCs w:val="20"/>
                <w:color w:val="auto"/>
              </w:rPr>
            </w:pPr>
            <w:r>
              <w:rPr>
                <w:rFonts w:ascii="Arial" w:cs="Arial" w:eastAsia="Arial" w:hAnsi="Arial"/>
                <w:sz w:val="16"/>
                <w:szCs w:val="16"/>
                <w:color w:val="auto"/>
              </w:rPr>
              <w:t>Service cost</w:t>
            </w:r>
          </w:p>
        </w:tc>
        <w:tc>
          <w:tcPr>
            <w:tcW w:w="980" w:type="dxa"/>
            <w:vAlign w:val="bottom"/>
          </w:tcPr>
          <w:p>
            <w:pPr>
              <w:jc w:val="right"/>
              <w:ind w:right="800"/>
              <w:spacing w:after="0"/>
              <w:rPr>
                <w:sz w:val="20"/>
                <w:szCs w:val="20"/>
                <w:color w:val="auto"/>
              </w:rPr>
            </w:pPr>
            <w:r>
              <w:rPr>
                <w:rFonts w:ascii="Arial" w:cs="Arial" w:eastAsia="Arial" w:hAnsi="Arial"/>
                <w:sz w:val="16"/>
                <w:szCs w:val="16"/>
                <w:color w:val="auto"/>
                <w:w w:val="89"/>
              </w:rPr>
              <w:t>$</w:t>
            </w:r>
          </w:p>
        </w:tc>
        <w:tc>
          <w:tcPr>
            <w:tcW w:w="480" w:type="dxa"/>
            <w:vAlign w:val="bottom"/>
          </w:tcPr>
          <w:p>
            <w:pPr>
              <w:jc w:val="right"/>
              <w:ind w:right="39"/>
              <w:spacing w:after="0"/>
              <w:rPr>
                <w:sz w:val="20"/>
                <w:szCs w:val="20"/>
                <w:color w:val="auto"/>
              </w:rPr>
            </w:pPr>
            <w:r>
              <w:rPr>
                <w:rFonts w:ascii="Arial" w:cs="Arial" w:eastAsia="Arial" w:hAnsi="Arial"/>
                <w:sz w:val="16"/>
                <w:szCs w:val="16"/>
                <w:color w:val="auto"/>
              </w:rPr>
              <w:t>19</w:t>
            </w:r>
          </w:p>
        </w:tc>
        <w:tc>
          <w:tcPr>
            <w:tcW w:w="1020" w:type="dxa"/>
            <w:vAlign w:val="bottom"/>
          </w:tcPr>
          <w:p>
            <w:pPr>
              <w:jc w:val="right"/>
              <w:ind w:right="781"/>
              <w:spacing w:after="0"/>
              <w:rPr>
                <w:sz w:val="20"/>
                <w:szCs w:val="20"/>
                <w:color w:val="auto"/>
              </w:rPr>
            </w:pPr>
            <w:r>
              <w:rPr>
                <w:rFonts w:ascii="Arial" w:cs="Arial" w:eastAsia="Arial" w:hAnsi="Arial"/>
                <w:sz w:val="16"/>
                <w:szCs w:val="16"/>
                <w:color w:val="auto"/>
              </w:rPr>
              <w:t>$</w:t>
            </w:r>
          </w:p>
        </w:tc>
        <w:tc>
          <w:tcPr>
            <w:tcW w:w="540" w:type="dxa"/>
            <w:vAlign w:val="bottom"/>
          </w:tcPr>
          <w:p>
            <w:pPr>
              <w:jc w:val="right"/>
              <w:ind w:right="99"/>
              <w:spacing w:after="0"/>
              <w:rPr>
                <w:sz w:val="20"/>
                <w:szCs w:val="20"/>
                <w:color w:val="auto"/>
              </w:rPr>
            </w:pPr>
            <w:r>
              <w:rPr>
                <w:rFonts w:ascii="Arial" w:cs="Arial" w:eastAsia="Arial" w:hAnsi="Arial"/>
                <w:sz w:val="16"/>
                <w:szCs w:val="16"/>
                <w:color w:val="auto"/>
              </w:rPr>
              <w:t>19</w:t>
            </w:r>
          </w:p>
        </w:tc>
        <w:tc>
          <w:tcPr>
            <w:tcW w:w="1120" w:type="dxa"/>
            <w:vAlign w:val="bottom"/>
          </w:tcPr>
          <w:p>
            <w:pPr>
              <w:jc w:val="right"/>
              <w:ind w:right="800"/>
              <w:spacing w:after="0"/>
              <w:rPr>
                <w:sz w:val="20"/>
                <w:szCs w:val="20"/>
                <w:color w:val="auto"/>
              </w:rPr>
            </w:pPr>
            <w:r>
              <w:rPr>
                <w:rFonts w:ascii="Arial" w:cs="Arial" w:eastAsia="Arial" w:hAnsi="Arial"/>
                <w:sz w:val="16"/>
                <w:szCs w:val="16"/>
                <w:color w:val="auto"/>
              </w:rPr>
              <w:t>$</w:t>
            </w:r>
          </w:p>
        </w:tc>
        <w:tc>
          <w:tcPr>
            <w:tcW w:w="460" w:type="dxa"/>
            <w:vAlign w:val="bottom"/>
          </w:tcPr>
          <w:p>
            <w:pPr>
              <w:jc w:val="right"/>
              <w:ind w:right="39"/>
              <w:spacing w:after="0"/>
              <w:rPr>
                <w:sz w:val="20"/>
                <w:szCs w:val="20"/>
                <w:color w:val="auto"/>
              </w:rPr>
            </w:pPr>
            <w:r>
              <w:rPr>
                <w:rFonts w:ascii="Arial" w:cs="Arial" w:eastAsia="Arial" w:hAnsi="Arial"/>
                <w:sz w:val="16"/>
                <w:szCs w:val="16"/>
                <w:color w:val="auto"/>
              </w:rPr>
              <w:t>2</w:t>
            </w:r>
          </w:p>
        </w:tc>
        <w:tc>
          <w:tcPr>
            <w:tcW w:w="40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3</w:t>
            </w:r>
          </w:p>
        </w:tc>
      </w:tr>
      <w:tr>
        <w:trPr>
          <w:trHeight w:val="217"/>
        </w:trPr>
        <w:tc>
          <w:tcPr>
            <w:tcW w:w="5180" w:type="dxa"/>
            <w:vAlign w:val="bottom"/>
            <w:shd w:val="clear" w:color="auto" w:fill="D4F1F5"/>
          </w:tcPr>
          <w:p>
            <w:pPr>
              <w:ind w:left="20"/>
              <w:spacing w:after="0"/>
              <w:rPr>
                <w:sz w:val="20"/>
                <w:szCs w:val="20"/>
                <w:color w:val="auto"/>
              </w:rPr>
            </w:pPr>
            <w:r>
              <w:rPr>
                <w:rFonts w:ascii="Arial" w:cs="Arial" w:eastAsia="Arial" w:hAnsi="Arial"/>
                <w:sz w:val="16"/>
                <w:szCs w:val="16"/>
                <w:color w:val="auto"/>
              </w:rPr>
              <w:t>Interest cost</w:t>
            </w:r>
          </w:p>
        </w:tc>
        <w:tc>
          <w:tcPr>
            <w:tcW w:w="980" w:type="dxa"/>
            <w:vAlign w:val="bottom"/>
            <w:shd w:val="clear" w:color="auto" w:fill="D4F1F5"/>
          </w:tcPr>
          <w:p>
            <w:pPr>
              <w:spacing w:after="0"/>
              <w:rPr>
                <w:sz w:val="18"/>
                <w:szCs w:val="18"/>
                <w:color w:val="auto"/>
              </w:rPr>
            </w:pPr>
          </w:p>
        </w:tc>
        <w:tc>
          <w:tcPr>
            <w:tcW w:w="480" w:type="dxa"/>
            <w:vAlign w:val="bottom"/>
            <w:shd w:val="clear" w:color="auto" w:fill="D4F1F5"/>
          </w:tcPr>
          <w:p>
            <w:pPr>
              <w:jc w:val="right"/>
              <w:ind w:right="39"/>
              <w:spacing w:after="0"/>
              <w:rPr>
                <w:sz w:val="20"/>
                <w:szCs w:val="20"/>
                <w:color w:val="auto"/>
              </w:rPr>
            </w:pPr>
            <w:r>
              <w:rPr>
                <w:rFonts w:ascii="Arial" w:cs="Arial" w:eastAsia="Arial" w:hAnsi="Arial"/>
                <w:sz w:val="16"/>
                <w:szCs w:val="16"/>
                <w:color w:val="auto"/>
              </w:rPr>
              <w:t>28</w:t>
            </w:r>
          </w:p>
        </w:tc>
        <w:tc>
          <w:tcPr>
            <w:tcW w:w="1020" w:type="dxa"/>
            <w:vAlign w:val="bottom"/>
            <w:shd w:val="clear" w:color="auto" w:fill="D4F1F5"/>
          </w:tcPr>
          <w:p>
            <w:pPr>
              <w:spacing w:after="0"/>
              <w:rPr>
                <w:sz w:val="18"/>
                <w:szCs w:val="18"/>
                <w:color w:val="auto"/>
              </w:rPr>
            </w:pPr>
          </w:p>
        </w:tc>
        <w:tc>
          <w:tcPr>
            <w:tcW w:w="540" w:type="dxa"/>
            <w:vAlign w:val="bottom"/>
            <w:shd w:val="clear" w:color="auto" w:fill="D4F1F5"/>
          </w:tcPr>
          <w:p>
            <w:pPr>
              <w:jc w:val="right"/>
              <w:ind w:right="99"/>
              <w:spacing w:after="0"/>
              <w:rPr>
                <w:sz w:val="20"/>
                <w:szCs w:val="20"/>
                <w:color w:val="auto"/>
              </w:rPr>
            </w:pPr>
            <w:r>
              <w:rPr>
                <w:rFonts w:ascii="Arial" w:cs="Arial" w:eastAsia="Arial" w:hAnsi="Arial"/>
                <w:sz w:val="16"/>
                <w:szCs w:val="16"/>
                <w:color w:val="auto"/>
              </w:rPr>
              <w:t>28</w:t>
            </w:r>
          </w:p>
        </w:tc>
        <w:tc>
          <w:tcPr>
            <w:tcW w:w="1120" w:type="dxa"/>
            <w:vAlign w:val="bottom"/>
            <w:shd w:val="clear" w:color="auto" w:fill="D4F1F5"/>
          </w:tcPr>
          <w:p>
            <w:pPr>
              <w:spacing w:after="0"/>
              <w:rPr>
                <w:sz w:val="18"/>
                <w:szCs w:val="18"/>
                <w:color w:val="auto"/>
              </w:rPr>
            </w:pPr>
          </w:p>
        </w:tc>
        <w:tc>
          <w:tcPr>
            <w:tcW w:w="460" w:type="dxa"/>
            <w:vAlign w:val="bottom"/>
            <w:shd w:val="clear" w:color="auto" w:fill="D4F1F5"/>
          </w:tcPr>
          <w:p>
            <w:pPr>
              <w:jc w:val="right"/>
              <w:ind w:right="39"/>
              <w:spacing w:after="0"/>
              <w:rPr>
                <w:sz w:val="20"/>
                <w:szCs w:val="20"/>
                <w:color w:val="auto"/>
              </w:rPr>
            </w:pPr>
            <w:r>
              <w:rPr>
                <w:rFonts w:ascii="Arial" w:cs="Arial" w:eastAsia="Arial" w:hAnsi="Arial"/>
                <w:sz w:val="16"/>
                <w:szCs w:val="16"/>
                <w:color w:val="auto"/>
              </w:rPr>
              <w:t>8</w:t>
            </w:r>
          </w:p>
        </w:tc>
        <w:tc>
          <w:tcPr>
            <w:tcW w:w="400" w:type="dxa"/>
            <w:vAlign w:val="bottom"/>
            <w:shd w:val="clear" w:color="auto" w:fill="D4F1F5"/>
          </w:tcPr>
          <w:p>
            <w:pPr>
              <w:spacing w:after="0"/>
              <w:rPr>
                <w:sz w:val="18"/>
                <w:szCs w:val="18"/>
                <w:color w:val="auto"/>
              </w:rPr>
            </w:pPr>
          </w:p>
        </w:tc>
        <w:tc>
          <w:tcPr>
            <w:tcW w:w="1060" w:type="dxa"/>
            <w:vAlign w:val="bottom"/>
            <w:shd w:val="clear" w:color="auto" w:fill="D4F1F5"/>
          </w:tcPr>
          <w:p>
            <w:pPr>
              <w:jc w:val="right"/>
              <w:spacing w:after="0"/>
              <w:rPr>
                <w:sz w:val="20"/>
                <w:szCs w:val="20"/>
                <w:color w:val="auto"/>
              </w:rPr>
            </w:pPr>
            <w:r>
              <w:rPr>
                <w:rFonts w:ascii="Arial" w:cs="Arial" w:eastAsia="Arial" w:hAnsi="Arial"/>
                <w:sz w:val="16"/>
                <w:szCs w:val="16"/>
                <w:color w:val="auto"/>
              </w:rPr>
              <w:t>7</w:t>
            </w:r>
          </w:p>
        </w:tc>
      </w:tr>
      <w:tr>
        <w:trPr>
          <w:trHeight w:val="215"/>
        </w:trPr>
        <w:tc>
          <w:tcPr>
            <w:tcW w:w="5180" w:type="dxa"/>
            <w:vAlign w:val="bottom"/>
          </w:tcPr>
          <w:p>
            <w:pPr>
              <w:ind w:left="20"/>
              <w:spacing w:after="0"/>
              <w:rPr>
                <w:sz w:val="20"/>
                <w:szCs w:val="20"/>
                <w:color w:val="auto"/>
              </w:rPr>
            </w:pPr>
            <w:r>
              <w:rPr>
                <w:rFonts w:ascii="Arial" w:cs="Arial" w:eastAsia="Arial" w:hAnsi="Arial"/>
                <w:sz w:val="16"/>
                <w:szCs w:val="16"/>
                <w:color w:val="auto"/>
              </w:rPr>
              <w:t>Expected return on assets</w:t>
            </w:r>
          </w:p>
        </w:tc>
        <w:tc>
          <w:tcPr>
            <w:tcW w:w="9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(30)</w:t>
            </w:r>
          </w:p>
        </w:tc>
        <w:tc>
          <w:tcPr>
            <w:tcW w:w="1020" w:type="dxa"/>
            <w:vAlign w:val="bottom"/>
          </w:tcPr>
          <w:p>
            <w:pPr>
              <w:spacing w:after="0"/>
              <w:rPr>
                <w:sz w:val="18"/>
                <w:szCs w:val="18"/>
                <w:color w:val="auto"/>
              </w:rPr>
            </w:pPr>
          </w:p>
        </w:tc>
        <w:tc>
          <w:tcPr>
            <w:tcW w:w="540" w:type="dxa"/>
            <w:vAlign w:val="bottom"/>
          </w:tcPr>
          <w:p>
            <w:pPr>
              <w:jc w:val="right"/>
              <w:ind w:right="59"/>
              <w:spacing w:after="0"/>
              <w:rPr>
                <w:sz w:val="20"/>
                <w:szCs w:val="20"/>
                <w:color w:val="auto"/>
              </w:rPr>
            </w:pPr>
            <w:r>
              <w:rPr>
                <w:rFonts w:ascii="Arial" w:cs="Arial" w:eastAsia="Arial" w:hAnsi="Arial"/>
                <w:sz w:val="16"/>
                <w:szCs w:val="16"/>
                <w:color w:val="auto"/>
              </w:rPr>
              <w:t>(30)</w:t>
            </w:r>
          </w:p>
        </w:tc>
        <w:tc>
          <w:tcPr>
            <w:tcW w:w="11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(15)</w:t>
            </w:r>
          </w:p>
        </w:tc>
        <w:tc>
          <w:tcPr>
            <w:tcW w:w="4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(14)</w:t>
            </w:r>
          </w:p>
        </w:tc>
      </w:tr>
      <w:tr>
        <w:trPr>
          <w:trHeight w:val="217"/>
        </w:trPr>
        <w:tc>
          <w:tcPr>
            <w:tcW w:w="5180" w:type="dxa"/>
            <w:vAlign w:val="bottom"/>
            <w:shd w:val="clear" w:color="auto" w:fill="D4F1F5"/>
          </w:tcPr>
          <w:p>
            <w:pPr>
              <w:ind w:left="20"/>
              <w:spacing w:after="0"/>
              <w:rPr>
                <w:sz w:val="20"/>
                <w:szCs w:val="20"/>
                <w:color w:val="auto"/>
              </w:rPr>
            </w:pPr>
            <w:r>
              <w:rPr>
                <w:rFonts w:ascii="Arial" w:cs="Arial" w:eastAsia="Arial" w:hAnsi="Arial"/>
                <w:sz w:val="16"/>
                <w:szCs w:val="16"/>
                <w:color w:val="auto"/>
              </w:rPr>
              <w:t>Amortization of:</w:t>
            </w:r>
          </w:p>
        </w:tc>
        <w:tc>
          <w:tcPr>
            <w:tcW w:w="980" w:type="dxa"/>
            <w:vAlign w:val="bottom"/>
            <w:shd w:val="clear" w:color="auto" w:fill="D4F1F5"/>
          </w:tcPr>
          <w:p>
            <w:pPr>
              <w:spacing w:after="0"/>
              <w:rPr>
                <w:sz w:val="18"/>
                <w:szCs w:val="18"/>
                <w:color w:val="auto"/>
              </w:rPr>
            </w:pPr>
          </w:p>
        </w:tc>
        <w:tc>
          <w:tcPr>
            <w:tcW w:w="480" w:type="dxa"/>
            <w:vAlign w:val="bottom"/>
            <w:shd w:val="clear" w:color="auto" w:fill="D4F1F5"/>
          </w:tcPr>
          <w:p>
            <w:pPr>
              <w:spacing w:after="0"/>
              <w:rPr>
                <w:sz w:val="18"/>
                <w:szCs w:val="18"/>
                <w:color w:val="auto"/>
              </w:rPr>
            </w:pPr>
          </w:p>
        </w:tc>
        <w:tc>
          <w:tcPr>
            <w:tcW w:w="1020" w:type="dxa"/>
            <w:vAlign w:val="bottom"/>
            <w:shd w:val="clear" w:color="auto" w:fill="D4F1F5"/>
          </w:tcPr>
          <w:p>
            <w:pPr>
              <w:spacing w:after="0"/>
              <w:rPr>
                <w:sz w:val="18"/>
                <w:szCs w:val="18"/>
                <w:color w:val="auto"/>
              </w:rPr>
            </w:pPr>
          </w:p>
        </w:tc>
        <w:tc>
          <w:tcPr>
            <w:tcW w:w="540" w:type="dxa"/>
            <w:vAlign w:val="bottom"/>
            <w:shd w:val="clear" w:color="auto" w:fill="D4F1F5"/>
          </w:tcPr>
          <w:p>
            <w:pPr>
              <w:spacing w:after="0"/>
              <w:rPr>
                <w:sz w:val="18"/>
                <w:szCs w:val="18"/>
                <w:color w:val="auto"/>
              </w:rPr>
            </w:pPr>
          </w:p>
        </w:tc>
        <w:tc>
          <w:tcPr>
            <w:tcW w:w="1120" w:type="dxa"/>
            <w:vAlign w:val="bottom"/>
            <w:shd w:val="clear" w:color="auto" w:fill="D4F1F5"/>
          </w:tcPr>
          <w:p>
            <w:pPr>
              <w:spacing w:after="0"/>
              <w:rPr>
                <w:sz w:val="18"/>
                <w:szCs w:val="18"/>
                <w:color w:val="auto"/>
              </w:rPr>
            </w:pPr>
          </w:p>
        </w:tc>
        <w:tc>
          <w:tcPr>
            <w:tcW w:w="460" w:type="dxa"/>
            <w:vAlign w:val="bottom"/>
            <w:shd w:val="clear" w:color="auto" w:fill="D4F1F5"/>
          </w:tcPr>
          <w:p>
            <w:pPr>
              <w:spacing w:after="0"/>
              <w:rPr>
                <w:sz w:val="18"/>
                <w:szCs w:val="18"/>
                <w:color w:val="auto"/>
              </w:rPr>
            </w:pPr>
          </w:p>
        </w:tc>
        <w:tc>
          <w:tcPr>
            <w:tcW w:w="400" w:type="dxa"/>
            <w:vAlign w:val="bottom"/>
            <w:shd w:val="clear" w:color="auto" w:fill="D4F1F5"/>
          </w:tcPr>
          <w:p>
            <w:pPr>
              <w:spacing w:after="0"/>
              <w:rPr>
                <w:sz w:val="18"/>
                <w:szCs w:val="18"/>
                <w:color w:val="auto"/>
              </w:rPr>
            </w:pPr>
          </w:p>
        </w:tc>
        <w:tc>
          <w:tcPr>
            <w:tcW w:w="1060" w:type="dxa"/>
            <w:vAlign w:val="bottom"/>
            <w:shd w:val="clear" w:color="auto" w:fill="D4F1F5"/>
          </w:tcPr>
          <w:p>
            <w:pPr>
              <w:spacing w:after="0"/>
              <w:rPr>
                <w:sz w:val="18"/>
                <w:szCs w:val="18"/>
                <w:color w:val="auto"/>
              </w:rPr>
            </w:pPr>
          </w:p>
        </w:tc>
      </w:tr>
      <w:tr>
        <w:trPr>
          <w:trHeight w:val="215"/>
        </w:trPr>
        <w:tc>
          <w:tcPr>
            <w:tcW w:w="5180" w:type="dxa"/>
            <w:vAlign w:val="bottom"/>
          </w:tcPr>
          <w:p>
            <w:pPr>
              <w:ind w:left="220"/>
              <w:spacing w:after="0"/>
              <w:rPr>
                <w:sz w:val="20"/>
                <w:szCs w:val="20"/>
                <w:color w:val="auto"/>
              </w:rPr>
            </w:pPr>
            <w:r>
              <w:rPr>
                <w:rFonts w:ascii="Arial" w:cs="Arial" w:eastAsia="Arial" w:hAnsi="Arial"/>
                <w:sz w:val="16"/>
                <w:szCs w:val="16"/>
                <w:color w:val="auto"/>
              </w:rPr>
              <w:t>Prior service cost (credit)</w:t>
            </w:r>
          </w:p>
        </w:tc>
        <w:tc>
          <w:tcPr>
            <w:tcW w:w="980" w:type="dxa"/>
            <w:vAlign w:val="bottom"/>
          </w:tcPr>
          <w:p>
            <w:pPr>
              <w:spacing w:after="0"/>
              <w:rPr>
                <w:sz w:val="18"/>
                <w:szCs w:val="18"/>
                <w:color w:val="auto"/>
              </w:rPr>
            </w:pPr>
          </w:p>
        </w:tc>
        <w:tc>
          <w:tcPr>
            <w:tcW w:w="480" w:type="dxa"/>
            <w:vAlign w:val="bottom"/>
          </w:tcPr>
          <w:p>
            <w:pPr>
              <w:jc w:val="right"/>
              <w:ind w:right="39"/>
              <w:spacing w:after="0"/>
              <w:rPr>
                <w:sz w:val="20"/>
                <w:szCs w:val="20"/>
                <w:color w:val="auto"/>
              </w:rPr>
            </w:pPr>
            <w:r>
              <w:rPr>
                <w:rFonts w:ascii="Arial" w:cs="Arial" w:eastAsia="Arial" w:hAnsi="Arial"/>
                <w:sz w:val="16"/>
                <w:szCs w:val="16"/>
                <w:color w:val="auto"/>
              </w:rPr>
              <w:t>1</w:t>
            </w:r>
          </w:p>
        </w:tc>
        <w:tc>
          <w:tcPr>
            <w:tcW w:w="1020" w:type="dxa"/>
            <w:vAlign w:val="bottom"/>
          </w:tcPr>
          <w:p>
            <w:pPr>
              <w:spacing w:after="0"/>
              <w:rPr>
                <w:sz w:val="18"/>
                <w:szCs w:val="18"/>
                <w:color w:val="auto"/>
              </w:rPr>
            </w:pPr>
          </w:p>
        </w:tc>
        <w:tc>
          <w:tcPr>
            <w:tcW w:w="540" w:type="dxa"/>
            <w:vAlign w:val="bottom"/>
          </w:tcPr>
          <w:p>
            <w:pPr>
              <w:jc w:val="right"/>
              <w:ind w:right="99"/>
              <w:spacing w:after="0"/>
              <w:rPr>
                <w:sz w:val="20"/>
                <w:szCs w:val="20"/>
                <w:color w:val="auto"/>
              </w:rPr>
            </w:pPr>
            <w:r>
              <w:rPr>
                <w:rFonts w:ascii="Arial" w:cs="Arial" w:eastAsia="Arial" w:hAnsi="Arial"/>
                <w:sz w:val="16"/>
                <w:szCs w:val="16"/>
                <w:color w:val="auto"/>
              </w:rPr>
              <w:t>1</w:t>
            </w:r>
          </w:p>
        </w:tc>
        <w:tc>
          <w:tcPr>
            <w:tcW w:w="11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(1)</w:t>
            </w:r>
          </w:p>
        </w:tc>
        <w:tc>
          <w:tcPr>
            <w:tcW w:w="4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w:t>
            </w:r>
          </w:p>
        </w:tc>
      </w:tr>
      <w:tr>
        <w:trPr>
          <w:trHeight w:val="217"/>
        </w:trPr>
        <w:tc>
          <w:tcPr>
            <w:tcW w:w="5180" w:type="dxa"/>
            <w:vAlign w:val="bottom"/>
            <w:shd w:val="clear" w:color="auto" w:fill="D4F1F5"/>
          </w:tcPr>
          <w:p>
            <w:pPr>
              <w:ind w:left="220"/>
              <w:spacing w:after="0"/>
              <w:rPr>
                <w:sz w:val="20"/>
                <w:szCs w:val="20"/>
                <w:color w:val="auto"/>
              </w:rPr>
            </w:pPr>
            <w:r>
              <w:rPr>
                <w:rFonts w:ascii="Arial" w:cs="Arial" w:eastAsia="Arial" w:hAnsi="Arial"/>
                <w:sz w:val="16"/>
                <w:szCs w:val="16"/>
                <w:color w:val="auto"/>
              </w:rPr>
              <w:t>Actuarial loss (gain)</w:t>
            </w:r>
          </w:p>
        </w:tc>
        <w:tc>
          <w:tcPr>
            <w:tcW w:w="980" w:type="dxa"/>
            <w:vAlign w:val="bottom"/>
            <w:shd w:val="clear" w:color="auto" w:fill="D4F1F5"/>
          </w:tcPr>
          <w:p>
            <w:pPr>
              <w:spacing w:after="0"/>
              <w:rPr>
                <w:sz w:val="18"/>
                <w:szCs w:val="18"/>
                <w:color w:val="auto"/>
              </w:rPr>
            </w:pPr>
          </w:p>
        </w:tc>
        <w:tc>
          <w:tcPr>
            <w:tcW w:w="480" w:type="dxa"/>
            <w:vAlign w:val="bottom"/>
            <w:shd w:val="clear" w:color="auto" w:fill="D4F1F5"/>
          </w:tcPr>
          <w:p>
            <w:pPr>
              <w:jc w:val="right"/>
              <w:ind w:right="39"/>
              <w:spacing w:after="0"/>
              <w:rPr>
                <w:sz w:val="20"/>
                <w:szCs w:val="20"/>
                <w:color w:val="auto"/>
              </w:rPr>
            </w:pPr>
            <w:r>
              <w:rPr>
                <w:rFonts w:ascii="Arial" w:cs="Arial" w:eastAsia="Arial" w:hAnsi="Arial"/>
                <w:sz w:val="16"/>
                <w:szCs w:val="16"/>
                <w:color w:val="auto"/>
              </w:rPr>
              <w:t>—</w:t>
            </w:r>
          </w:p>
        </w:tc>
        <w:tc>
          <w:tcPr>
            <w:tcW w:w="1020" w:type="dxa"/>
            <w:vAlign w:val="bottom"/>
            <w:shd w:val="clear" w:color="auto" w:fill="D4F1F5"/>
          </w:tcPr>
          <w:p>
            <w:pPr>
              <w:spacing w:after="0"/>
              <w:rPr>
                <w:sz w:val="18"/>
                <w:szCs w:val="18"/>
                <w:color w:val="auto"/>
              </w:rPr>
            </w:pPr>
          </w:p>
        </w:tc>
        <w:tc>
          <w:tcPr>
            <w:tcW w:w="540" w:type="dxa"/>
            <w:vAlign w:val="bottom"/>
            <w:shd w:val="clear" w:color="auto" w:fill="D4F1F5"/>
          </w:tcPr>
          <w:p>
            <w:pPr>
              <w:jc w:val="right"/>
              <w:ind w:right="99"/>
              <w:spacing w:after="0"/>
              <w:rPr>
                <w:sz w:val="20"/>
                <w:szCs w:val="20"/>
                <w:color w:val="auto"/>
              </w:rPr>
            </w:pPr>
            <w:r>
              <w:rPr>
                <w:rFonts w:ascii="Arial" w:cs="Arial" w:eastAsia="Arial" w:hAnsi="Arial"/>
                <w:sz w:val="16"/>
                <w:szCs w:val="16"/>
                <w:color w:val="auto"/>
              </w:rPr>
              <w:t>1</w:t>
            </w:r>
          </w:p>
        </w:tc>
        <w:tc>
          <w:tcPr>
            <w:tcW w:w="1120" w:type="dxa"/>
            <w:vAlign w:val="bottom"/>
            <w:shd w:val="clear" w:color="auto" w:fill="D4F1F5"/>
          </w:tcPr>
          <w:p>
            <w:pPr>
              <w:spacing w:after="0"/>
              <w:rPr>
                <w:sz w:val="18"/>
                <w:szCs w:val="18"/>
                <w:color w:val="auto"/>
              </w:rPr>
            </w:pPr>
          </w:p>
        </w:tc>
        <w:tc>
          <w:tcPr>
            <w:tcW w:w="460" w:type="dxa"/>
            <w:vAlign w:val="bottom"/>
            <w:shd w:val="clear" w:color="auto" w:fill="D4F1F5"/>
          </w:tcPr>
          <w:p>
            <w:pPr>
              <w:jc w:val="right"/>
              <w:spacing w:after="0"/>
              <w:rPr>
                <w:sz w:val="20"/>
                <w:szCs w:val="20"/>
                <w:color w:val="auto"/>
              </w:rPr>
            </w:pPr>
            <w:r>
              <w:rPr>
                <w:rFonts w:ascii="Arial" w:cs="Arial" w:eastAsia="Arial" w:hAnsi="Arial"/>
                <w:sz w:val="16"/>
                <w:szCs w:val="16"/>
                <w:color w:val="auto"/>
              </w:rPr>
              <w:t>(2)</w:t>
            </w:r>
          </w:p>
        </w:tc>
        <w:tc>
          <w:tcPr>
            <w:tcW w:w="400" w:type="dxa"/>
            <w:vAlign w:val="bottom"/>
            <w:shd w:val="clear" w:color="auto" w:fill="D4F1F5"/>
          </w:tcPr>
          <w:p>
            <w:pPr>
              <w:spacing w:after="0"/>
              <w:rPr>
                <w:sz w:val="18"/>
                <w:szCs w:val="18"/>
                <w:color w:val="auto"/>
              </w:rPr>
            </w:pPr>
          </w:p>
        </w:tc>
        <w:tc>
          <w:tcPr>
            <w:tcW w:w="1060" w:type="dxa"/>
            <w:vAlign w:val="bottom"/>
            <w:shd w:val="clear" w:color="auto" w:fill="D4F1F5"/>
          </w:tcPr>
          <w:p>
            <w:pPr>
              <w:jc w:val="right"/>
              <w:spacing w:after="0"/>
              <w:rPr>
                <w:sz w:val="20"/>
                <w:szCs w:val="20"/>
                <w:color w:val="auto"/>
              </w:rPr>
            </w:pPr>
            <w:r>
              <w:rPr>
                <w:rFonts w:ascii="Arial" w:cs="Arial" w:eastAsia="Arial" w:hAnsi="Arial"/>
                <w:sz w:val="16"/>
                <w:szCs w:val="16"/>
                <w:color w:val="auto"/>
              </w:rPr>
              <w:t>(2)</w:t>
            </w:r>
          </w:p>
        </w:tc>
      </w:tr>
      <w:tr>
        <w:trPr>
          <w:trHeight w:val="215"/>
        </w:trPr>
        <w:tc>
          <w:tcPr>
            <w:tcW w:w="5180" w:type="dxa"/>
            <w:vAlign w:val="bottom"/>
          </w:tcPr>
          <w:p>
            <w:pPr>
              <w:ind w:left="20"/>
              <w:spacing w:after="0"/>
              <w:rPr>
                <w:sz w:val="20"/>
                <w:szCs w:val="20"/>
                <w:color w:val="auto"/>
              </w:rPr>
            </w:pPr>
            <w:r>
              <w:rPr>
                <w:rFonts w:ascii="Arial" w:cs="Arial" w:eastAsia="Arial" w:hAnsi="Arial"/>
                <w:sz w:val="16"/>
                <w:szCs w:val="16"/>
                <w:color w:val="auto"/>
              </w:rPr>
              <w:t>Settlement charges</w:t>
            </w:r>
          </w:p>
        </w:tc>
        <w:tc>
          <w:tcPr>
            <w:tcW w:w="980" w:type="dxa"/>
            <w:vAlign w:val="bottom"/>
          </w:tcPr>
          <w:p>
            <w:pPr>
              <w:spacing w:after="0"/>
              <w:rPr>
                <w:sz w:val="18"/>
                <w:szCs w:val="18"/>
                <w:color w:val="auto"/>
              </w:rPr>
            </w:pPr>
          </w:p>
        </w:tc>
        <w:tc>
          <w:tcPr>
            <w:tcW w:w="4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020" w:type="dxa"/>
            <w:vAlign w:val="bottom"/>
          </w:tcPr>
          <w:p>
            <w:pPr>
              <w:spacing w:after="0"/>
              <w:rPr>
                <w:sz w:val="18"/>
                <w:szCs w:val="18"/>
                <w:color w:val="auto"/>
              </w:rPr>
            </w:pPr>
          </w:p>
        </w:tc>
        <w:tc>
          <w:tcPr>
            <w:tcW w:w="540" w:type="dxa"/>
            <w:vAlign w:val="bottom"/>
          </w:tcPr>
          <w:p>
            <w:pPr>
              <w:jc w:val="right"/>
              <w:ind w:right="99"/>
              <w:spacing w:after="0"/>
              <w:rPr>
                <w:sz w:val="20"/>
                <w:szCs w:val="20"/>
                <w:color w:val="auto"/>
              </w:rPr>
            </w:pPr>
            <w:r>
              <w:rPr>
                <w:rFonts w:ascii="Arial" w:cs="Arial" w:eastAsia="Arial" w:hAnsi="Arial"/>
                <w:sz w:val="16"/>
                <w:szCs w:val="16"/>
                <w:color w:val="auto"/>
              </w:rPr>
              <w:t>4</w:t>
            </w:r>
          </w:p>
        </w:tc>
        <w:tc>
          <w:tcPr>
            <w:tcW w:w="1120" w:type="dxa"/>
            <w:vAlign w:val="bottom"/>
          </w:tcPr>
          <w:p>
            <w:pPr>
              <w:spacing w:after="0"/>
              <w:rPr>
                <w:sz w:val="18"/>
                <w:szCs w:val="18"/>
                <w:color w:val="auto"/>
              </w:rPr>
            </w:pPr>
          </w:p>
        </w:tc>
        <w:tc>
          <w:tcPr>
            <w:tcW w:w="46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7"/>
        </w:trPr>
        <w:tc>
          <w:tcPr>
            <w:tcW w:w="5180" w:type="dxa"/>
            <w:vAlign w:val="bottom"/>
            <w:shd w:val="clear" w:color="auto" w:fill="D4F1F5"/>
          </w:tcPr>
          <w:p>
            <w:pPr>
              <w:ind w:left="20"/>
              <w:spacing w:after="0"/>
              <w:rPr>
                <w:sz w:val="20"/>
                <w:szCs w:val="20"/>
                <w:color w:val="auto"/>
              </w:rPr>
            </w:pPr>
            <w:r>
              <w:rPr>
                <w:rFonts w:ascii="Arial" w:cs="Arial" w:eastAsia="Arial" w:hAnsi="Arial"/>
                <w:sz w:val="16"/>
                <w:szCs w:val="16"/>
                <w:color w:val="auto"/>
              </w:rPr>
              <w:t>Special termination benefits</w:t>
            </w:r>
          </w:p>
        </w:tc>
        <w:tc>
          <w:tcPr>
            <w:tcW w:w="980" w:type="dxa"/>
            <w:vAlign w:val="bottom"/>
            <w:tcBorders>
              <w:bottom w:val="single" w:sz="8" w:color="auto"/>
            </w:tcBorders>
            <w:shd w:val="clear" w:color="auto" w:fill="D4F1F5"/>
          </w:tcPr>
          <w:p>
            <w:pPr>
              <w:spacing w:after="0"/>
              <w:rPr>
                <w:sz w:val="18"/>
                <w:szCs w:val="18"/>
                <w:color w:val="auto"/>
              </w:rPr>
            </w:pPr>
          </w:p>
        </w:tc>
        <w:tc>
          <w:tcPr>
            <w:tcW w:w="480" w:type="dxa"/>
            <w:vAlign w:val="bottom"/>
            <w:tcBorders>
              <w:bottom w:val="single" w:sz="8" w:color="auto"/>
            </w:tcBorders>
            <w:shd w:val="clear" w:color="auto" w:fill="D4F1F5"/>
          </w:tcPr>
          <w:p>
            <w:pPr>
              <w:jc w:val="right"/>
              <w:ind w:right="3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shd w:val="clear" w:color="auto" w:fill="D4F1F5"/>
          </w:tcPr>
          <w:p>
            <w:pPr>
              <w:spacing w:after="0"/>
              <w:rPr>
                <w:sz w:val="18"/>
                <w:szCs w:val="18"/>
                <w:color w:val="auto"/>
              </w:rPr>
            </w:pPr>
          </w:p>
        </w:tc>
        <w:tc>
          <w:tcPr>
            <w:tcW w:w="540" w:type="dxa"/>
            <w:vAlign w:val="bottom"/>
            <w:tcBorders>
              <w:bottom w:val="single" w:sz="8" w:color="auto"/>
            </w:tcBorders>
            <w:shd w:val="clear" w:color="auto" w:fill="D4F1F5"/>
          </w:tcPr>
          <w:p>
            <w:pPr>
              <w:jc w:val="right"/>
              <w:ind w:right="9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shd w:val="clear" w:color="auto" w:fill="D4F1F5"/>
          </w:tcPr>
          <w:p>
            <w:pPr>
              <w:spacing w:after="0"/>
              <w:rPr>
                <w:sz w:val="18"/>
                <w:szCs w:val="18"/>
                <w:color w:val="auto"/>
              </w:rPr>
            </w:pPr>
          </w:p>
        </w:tc>
        <w:tc>
          <w:tcPr>
            <w:tcW w:w="460" w:type="dxa"/>
            <w:vAlign w:val="bottom"/>
            <w:tcBorders>
              <w:bottom w:val="single" w:sz="8" w:color="auto"/>
            </w:tcBorders>
            <w:shd w:val="clear" w:color="auto" w:fill="D4F1F5"/>
          </w:tcPr>
          <w:p>
            <w:pPr>
              <w:jc w:val="right"/>
              <w:ind w:right="39"/>
              <w:spacing w:after="0"/>
              <w:rPr>
                <w:sz w:val="20"/>
                <w:szCs w:val="20"/>
                <w:color w:val="auto"/>
              </w:rPr>
            </w:pPr>
            <w:r>
              <w:rPr>
                <w:rFonts w:ascii="Arial" w:cs="Arial" w:eastAsia="Arial" w:hAnsi="Arial"/>
                <w:sz w:val="16"/>
                <w:szCs w:val="16"/>
                <w:color w:val="auto"/>
              </w:rPr>
              <w:t>12</w:t>
            </w:r>
          </w:p>
        </w:tc>
        <w:tc>
          <w:tcPr>
            <w:tcW w:w="400" w:type="dxa"/>
            <w:vAlign w:val="bottom"/>
            <w:tcBorders>
              <w:bottom w:val="single" w:sz="8" w:color="auto"/>
            </w:tcBorders>
            <w:shd w:val="clear" w:color="auto" w:fill="D4F1F5"/>
          </w:tcPr>
          <w:p>
            <w:pPr>
              <w:spacing w:after="0"/>
              <w:rPr>
                <w:sz w:val="18"/>
                <w:szCs w:val="18"/>
                <w:color w:val="auto"/>
              </w:rPr>
            </w:pPr>
          </w:p>
        </w:tc>
        <w:tc>
          <w:tcPr>
            <w:tcW w:w="1060" w:type="dxa"/>
            <w:vAlign w:val="bottom"/>
            <w:tcBorders>
              <w:bottom w:val="single" w:sz="8" w:color="auto"/>
            </w:tcBorders>
            <w:shd w:val="clear" w:color="auto" w:fill="D4F1F5"/>
          </w:tcPr>
          <w:p>
            <w:pPr>
              <w:jc w:val="right"/>
              <w:spacing w:after="0"/>
              <w:rPr>
                <w:sz w:val="20"/>
                <w:szCs w:val="20"/>
                <w:color w:val="auto"/>
              </w:rPr>
            </w:pPr>
            <w:r>
              <w:rPr>
                <w:rFonts w:ascii="Arial" w:cs="Arial" w:eastAsia="Arial" w:hAnsi="Arial"/>
                <w:sz w:val="16"/>
                <w:szCs w:val="16"/>
                <w:color w:val="auto"/>
              </w:rPr>
              <w:t>—</w:t>
            </w:r>
          </w:p>
        </w:tc>
      </w:tr>
      <w:tr>
        <w:trPr>
          <w:trHeight w:val="209"/>
        </w:trPr>
        <w:tc>
          <w:tcPr>
            <w:tcW w:w="5180" w:type="dxa"/>
            <w:vAlign w:val="bottom"/>
          </w:tcPr>
          <w:p>
            <w:pPr>
              <w:ind w:left="20"/>
              <w:spacing w:after="0"/>
              <w:rPr>
                <w:sz w:val="20"/>
                <w:szCs w:val="20"/>
                <w:color w:val="auto"/>
              </w:rPr>
            </w:pPr>
            <w:r>
              <w:rPr>
                <w:rFonts w:ascii="Arial" w:cs="Arial" w:eastAsia="Arial" w:hAnsi="Arial"/>
                <w:sz w:val="16"/>
                <w:szCs w:val="16"/>
                <w:color w:val="auto"/>
              </w:rPr>
              <w:t>Net periodic benefit cost (credit)</w:t>
            </w:r>
          </w:p>
        </w:tc>
        <w:tc>
          <w:tcPr>
            <w:tcW w:w="980" w:type="dxa"/>
            <w:vAlign w:val="bottom"/>
          </w:tcPr>
          <w:p>
            <w:pPr>
              <w:spacing w:after="0"/>
              <w:rPr>
                <w:sz w:val="18"/>
                <w:szCs w:val="18"/>
                <w:color w:val="auto"/>
              </w:rPr>
            </w:pPr>
          </w:p>
        </w:tc>
        <w:tc>
          <w:tcPr>
            <w:tcW w:w="480" w:type="dxa"/>
            <w:vAlign w:val="bottom"/>
          </w:tcPr>
          <w:p>
            <w:pPr>
              <w:jc w:val="right"/>
              <w:ind w:right="39"/>
              <w:spacing w:after="0"/>
              <w:rPr>
                <w:sz w:val="20"/>
                <w:szCs w:val="20"/>
                <w:color w:val="auto"/>
              </w:rPr>
            </w:pPr>
            <w:r>
              <w:rPr>
                <w:rFonts w:ascii="Arial" w:cs="Arial" w:eastAsia="Arial" w:hAnsi="Arial"/>
                <w:sz w:val="16"/>
                <w:szCs w:val="16"/>
                <w:color w:val="auto"/>
              </w:rPr>
              <w:t>18</w:t>
            </w:r>
          </w:p>
        </w:tc>
        <w:tc>
          <w:tcPr>
            <w:tcW w:w="1020" w:type="dxa"/>
            <w:vAlign w:val="bottom"/>
          </w:tcPr>
          <w:p>
            <w:pPr>
              <w:spacing w:after="0"/>
              <w:rPr>
                <w:sz w:val="18"/>
                <w:szCs w:val="18"/>
                <w:color w:val="auto"/>
              </w:rPr>
            </w:pPr>
          </w:p>
        </w:tc>
        <w:tc>
          <w:tcPr>
            <w:tcW w:w="540" w:type="dxa"/>
            <w:vAlign w:val="bottom"/>
          </w:tcPr>
          <w:p>
            <w:pPr>
              <w:jc w:val="right"/>
              <w:ind w:right="99"/>
              <w:spacing w:after="0"/>
              <w:rPr>
                <w:sz w:val="20"/>
                <w:szCs w:val="20"/>
                <w:color w:val="auto"/>
              </w:rPr>
            </w:pPr>
            <w:r>
              <w:rPr>
                <w:rFonts w:ascii="Arial" w:cs="Arial" w:eastAsia="Arial" w:hAnsi="Arial"/>
                <w:sz w:val="16"/>
                <w:szCs w:val="16"/>
                <w:color w:val="auto"/>
              </w:rPr>
              <w:t>23</w:t>
            </w:r>
          </w:p>
        </w:tc>
        <w:tc>
          <w:tcPr>
            <w:tcW w:w="1120" w:type="dxa"/>
            <w:vAlign w:val="bottom"/>
          </w:tcPr>
          <w:p>
            <w:pPr>
              <w:spacing w:after="0"/>
              <w:rPr>
                <w:sz w:val="18"/>
                <w:szCs w:val="18"/>
                <w:color w:val="auto"/>
              </w:rPr>
            </w:pPr>
          </w:p>
        </w:tc>
        <w:tc>
          <w:tcPr>
            <w:tcW w:w="460" w:type="dxa"/>
            <w:vAlign w:val="bottom"/>
          </w:tcPr>
          <w:p>
            <w:pPr>
              <w:jc w:val="right"/>
              <w:ind w:right="39"/>
              <w:spacing w:after="0"/>
              <w:rPr>
                <w:sz w:val="20"/>
                <w:szCs w:val="20"/>
                <w:color w:val="auto"/>
              </w:rPr>
            </w:pPr>
            <w:r>
              <w:rPr>
                <w:rFonts w:ascii="Arial" w:cs="Arial" w:eastAsia="Arial" w:hAnsi="Arial"/>
                <w:sz w:val="16"/>
                <w:szCs w:val="16"/>
                <w:color w:val="auto"/>
              </w:rPr>
              <w:t>4</w:t>
            </w:r>
          </w:p>
        </w:tc>
        <w:tc>
          <w:tcPr>
            <w:tcW w:w="4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(7)</w:t>
            </w:r>
          </w:p>
        </w:tc>
      </w:tr>
      <w:tr>
        <w:trPr>
          <w:trHeight w:val="217"/>
        </w:trPr>
        <w:tc>
          <w:tcPr>
            <w:tcW w:w="5180" w:type="dxa"/>
            <w:vAlign w:val="bottom"/>
            <w:shd w:val="clear" w:color="auto" w:fill="D4F1F5"/>
          </w:tcPr>
          <w:p>
            <w:pPr>
              <w:ind w:left="20"/>
              <w:spacing w:after="0"/>
              <w:rPr>
                <w:sz w:val="20"/>
                <w:szCs w:val="20"/>
                <w:color w:val="auto"/>
              </w:rPr>
            </w:pPr>
            <w:r>
              <w:rPr>
                <w:rFonts w:ascii="Arial" w:cs="Arial" w:eastAsia="Arial" w:hAnsi="Arial"/>
                <w:sz w:val="16"/>
                <w:szCs w:val="16"/>
                <w:color w:val="auto"/>
              </w:rPr>
              <w:t>Regulatory adjustments</w:t>
            </w:r>
          </w:p>
        </w:tc>
        <w:tc>
          <w:tcPr>
            <w:tcW w:w="980" w:type="dxa"/>
            <w:vAlign w:val="bottom"/>
            <w:tcBorders>
              <w:bottom w:val="single" w:sz="8" w:color="auto"/>
            </w:tcBorders>
            <w:shd w:val="clear" w:color="auto" w:fill="D4F1F5"/>
          </w:tcPr>
          <w:p>
            <w:pPr>
              <w:spacing w:after="0"/>
              <w:rPr>
                <w:sz w:val="18"/>
                <w:szCs w:val="18"/>
                <w:color w:val="auto"/>
              </w:rPr>
            </w:pPr>
          </w:p>
        </w:tc>
        <w:tc>
          <w:tcPr>
            <w:tcW w:w="480" w:type="dxa"/>
            <w:vAlign w:val="bottom"/>
            <w:tcBorders>
              <w:bottom w:val="single" w:sz="8" w:color="auto"/>
            </w:tcBorders>
            <w:shd w:val="clear" w:color="auto" w:fill="D4F1F5"/>
          </w:tcPr>
          <w:p>
            <w:pPr>
              <w:jc w:val="right"/>
              <w:spacing w:after="0"/>
              <w:rPr>
                <w:sz w:val="20"/>
                <w:szCs w:val="20"/>
                <w:color w:val="auto"/>
              </w:rPr>
            </w:pPr>
            <w:r>
              <w:rPr>
                <w:rFonts w:ascii="Arial" w:cs="Arial" w:eastAsia="Arial" w:hAnsi="Arial"/>
                <w:sz w:val="16"/>
                <w:szCs w:val="16"/>
                <w:color w:val="auto"/>
              </w:rPr>
              <w:t>(18)</w:t>
            </w:r>
          </w:p>
        </w:tc>
        <w:tc>
          <w:tcPr>
            <w:tcW w:w="1020" w:type="dxa"/>
            <w:vAlign w:val="bottom"/>
            <w:tcBorders>
              <w:bottom w:val="single" w:sz="8" w:color="auto"/>
            </w:tcBorders>
            <w:shd w:val="clear" w:color="auto" w:fill="D4F1F5"/>
          </w:tcPr>
          <w:p>
            <w:pPr>
              <w:spacing w:after="0"/>
              <w:rPr>
                <w:sz w:val="18"/>
                <w:szCs w:val="18"/>
                <w:color w:val="auto"/>
              </w:rPr>
            </w:pPr>
          </w:p>
        </w:tc>
        <w:tc>
          <w:tcPr>
            <w:tcW w:w="540" w:type="dxa"/>
            <w:vAlign w:val="bottom"/>
            <w:tcBorders>
              <w:bottom w:val="single" w:sz="8" w:color="auto"/>
            </w:tcBorders>
            <w:shd w:val="clear" w:color="auto" w:fill="D4F1F5"/>
          </w:tcPr>
          <w:p>
            <w:pPr>
              <w:jc w:val="right"/>
              <w:ind w:right="59"/>
              <w:spacing w:after="0"/>
              <w:rPr>
                <w:sz w:val="20"/>
                <w:szCs w:val="20"/>
                <w:color w:val="auto"/>
              </w:rPr>
            </w:pPr>
            <w:r>
              <w:rPr>
                <w:rFonts w:ascii="Arial" w:cs="Arial" w:eastAsia="Arial" w:hAnsi="Arial"/>
                <w:sz w:val="16"/>
                <w:szCs w:val="16"/>
                <w:color w:val="auto"/>
              </w:rPr>
              <w:t>(18)</w:t>
            </w:r>
          </w:p>
        </w:tc>
        <w:tc>
          <w:tcPr>
            <w:tcW w:w="1120" w:type="dxa"/>
            <w:vAlign w:val="bottom"/>
            <w:tcBorders>
              <w:bottom w:val="single" w:sz="8" w:color="auto"/>
            </w:tcBorders>
            <w:shd w:val="clear" w:color="auto" w:fill="D4F1F5"/>
          </w:tcPr>
          <w:p>
            <w:pPr>
              <w:spacing w:after="0"/>
              <w:rPr>
                <w:sz w:val="18"/>
                <w:szCs w:val="18"/>
                <w:color w:val="auto"/>
              </w:rPr>
            </w:pPr>
          </w:p>
        </w:tc>
        <w:tc>
          <w:tcPr>
            <w:tcW w:w="460" w:type="dxa"/>
            <w:vAlign w:val="bottom"/>
            <w:tcBorders>
              <w:bottom w:val="single" w:sz="8" w:color="auto"/>
            </w:tcBorders>
            <w:shd w:val="clear" w:color="auto" w:fill="D4F1F5"/>
          </w:tcPr>
          <w:p>
            <w:pPr>
              <w:jc w:val="right"/>
              <w:spacing w:after="0"/>
              <w:rPr>
                <w:sz w:val="20"/>
                <w:szCs w:val="20"/>
                <w:color w:val="auto"/>
              </w:rPr>
            </w:pPr>
            <w:r>
              <w:rPr>
                <w:rFonts w:ascii="Arial" w:cs="Arial" w:eastAsia="Arial" w:hAnsi="Arial"/>
                <w:sz w:val="16"/>
                <w:szCs w:val="16"/>
                <w:color w:val="auto"/>
              </w:rPr>
              <w:t>(4)</w:t>
            </w:r>
          </w:p>
        </w:tc>
        <w:tc>
          <w:tcPr>
            <w:tcW w:w="400" w:type="dxa"/>
            <w:vAlign w:val="bottom"/>
            <w:tcBorders>
              <w:bottom w:val="single" w:sz="8" w:color="auto"/>
            </w:tcBorders>
            <w:shd w:val="clear" w:color="auto" w:fill="D4F1F5"/>
          </w:tcPr>
          <w:p>
            <w:pPr>
              <w:spacing w:after="0"/>
              <w:rPr>
                <w:sz w:val="18"/>
                <w:szCs w:val="18"/>
                <w:color w:val="auto"/>
              </w:rPr>
            </w:pPr>
          </w:p>
        </w:tc>
        <w:tc>
          <w:tcPr>
            <w:tcW w:w="1060" w:type="dxa"/>
            <w:vAlign w:val="bottom"/>
            <w:tcBorders>
              <w:bottom w:val="single" w:sz="8" w:color="auto"/>
            </w:tcBorders>
            <w:shd w:val="clear" w:color="auto" w:fill="D4F1F5"/>
          </w:tcPr>
          <w:p>
            <w:pPr>
              <w:jc w:val="right"/>
              <w:spacing w:after="0"/>
              <w:rPr>
                <w:sz w:val="20"/>
                <w:szCs w:val="20"/>
                <w:color w:val="auto"/>
              </w:rPr>
            </w:pPr>
            <w:r>
              <w:rPr>
                <w:rFonts w:ascii="Arial" w:cs="Arial" w:eastAsia="Arial" w:hAnsi="Arial"/>
                <w:sz w:val="16"/>
                <w:szCs w:val="16"/>
                <w:color w:val="auto"/>
              </w:rPr>
              <w:t>7</w:t>
            </w:r>
          </w:p>
        </w:tc>
      </w:tr>
      <w:tr>
        <w:trPr>
          <w:trHeight w:val="217"/>
        </w:trPr>
        <w:tc>
          <w:tcPr>
            <w:tcW w:w="518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Total expense recognized</w:t>
            </w:r>
          </w:p>
        </w:tc>
        <w:tc>
          <w:tcPr>
            <w:tcW w:w="980" w:type="dxa"/>
            <w:vAlign w:val="bottom"/>
            <w:tcBorders>
              <w:bottom w:val="single" w:sz="8" w:color="auto"/>
            </w:tcBorders>
          </w:tcPr>
          <w:p>
            <w:pPr>
              <w:jc w:val="right"/>
              <w:ind w:right="800"/>
              <w:spacing w:after="0"/>
              <w:rPr>
                <w:sz w:val="20"/>
                <w:szCs w:val="20"/>
                <w:color w:val="auto"/>
              </w:rPr>
            </w:pPr>
            <w:r>
              <w:rPr>
                <w:rFonts w:ascii="Arial" w:cs="Arial" w:eastAsia="Arial" w:hAnsi="Arial"/>
                <w:sz w:val="16"/>
                <w:szCs w:val="16"/>
                <w:color w:val="auto"/>
                <w:w w:val="89"/>
              </w:rPr>
              <w:t>$</w:t>
            </w:r>
          </w:p>
        </w:tc>
        <w:tc>
          <w:tcPr>
            <w:tcW w:w="4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tcPr>
          <w:p>
            <w:pPr>
              <w:jc w:val="right"/>
              <w:ind w:right="781"/>
              <w:spacing w:after="0"/>
              <w:rPr>
                <w:sz w:val="20"/>
                <w:szCs w:val="20"/>
                <w:color w:val="auto"/>
              </w:rPr>
            </w:pPr>
            <w:r>
              <w:rPr>
                <w:rFonts w:ascii="Arial" w:cs="Arial" w:eastAsia="Arial" w:hAnsi="Arial"/>
                <w:sz w:val="16"/>
                <w:szCs w:val="16"/>
                <w:color w:val="auto"/>
              </w:rPr>
              <w:t>$</w:t>
            </w:r>
          </w:p>
        </w:tc>
        <w:tc>
          <w:tcPr>
            <w:tcW w:w="54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5</w:t>
            </w:r>
          </w:p>
        </w:tc>
        <w:tc>
          <w:tcPr>
            <w:tcW w:w="1120" w:type="dxa"/>
            <w:vAlign w:val="bottom"/>
            <w:tcBorders>
              <w:bottom w:val="single" w:sz="8" w:color="auto"/>
            </w:tcBorders>
          </w:tcPr>
          <w:p>
            <w:pPr>
              <w:jc w:val="right"/>
              <w:ind w:right="800"/>
              <w:spacing w:after="0"/>
              <w:rPr>
                <w:sz w:val="20"/>
                <w:szCs w:val="20"/>
                <w:color w:val="auto"/>
              </w:rPr>
            </w:pPr>
            <w:r>
              <w:rPr>
                <w:rFonts w:ascii="Arial" w:cs="Arial" w:eastAsia="Arial" w:hAnsi="Arial"/>
                <w:sz w:val="16"/>
                <w:szCs w:val="16"/>
                <w:color w:val="auto"/>
              </w:rPr>
              <w:t>$</w:t>
            </w:r>
          </w:p>
        </w:tc>
        <w:tc>
          <w:tcPr>
            <w:tcW w:w="4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40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150495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INCOME,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103505</wp:posOffset>
            </wp:positionV>
            <wp:extent cx="7132320" cy="3003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300355"/>
                    </a:xfrm>
                    <a:prstGeom prst="rect">
                      <a:avLst/>
                    </a:prstGeom>
                    <a:noFill/>
                  </pic:spPr>
                </pic:pic>
              </a:graphicData>
            </a:graphic>
          </wp:anchor>
        </w:drawing>
      </w:r>
    </w:p>
    <w:p>
      <w:pPr>
        <w:spacing w:after="0" w:line="156"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FFFFFF"/>
        </w:rPr>
        <w:t>OTHER INCOME (EXPENSE), NET</w:t>
      </w:r>
    </w:p>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8320" w:type="dxa"/>
            <w:vAlign w:val="bottom"/>
          </w:tcPr>
          <w:p>
            <w:pPr>
              <w:ind w:left="20"/>
              <w:spacing w:after="0"/>
              <w:rPr>
                <w:sz w:val="20"/>
                <w:szCs w:val="20"/>
                <w:color w:val="auto"/>
              </w:rPr>
            </w:pPr>
            <w:r>
              <w:rPr>
                <w:rFonts w:ascii="Arial" w:cs="Arial" w:eastAsia="Arial" w:hAnsi="Arial"/>
                <w:sz w:val="14"/>
                <w:szCs w:val="14"/>
                <w:i w:val="1"/>
                <w:iCs w:val="1"/>
                <w:color w:val="FFFFFF"/>
              </w:rPr>
              <w:t>(Dollars in millions)</w:t>
            </w:r>
          </w:p>
        </w:tc>
        <w:tc>
          <w:tcPr>
            <w:tcW w:w="9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360" w:type="dxa"/>
            <w:vAlign w:val="bottom"/>
          </w:tcPr>
          <w:p>
            <w:pPr>
              <w:spacing w:after="0"/>
              <w:rPr>
                <w:sz w:val="16"/>
                <w:szCs w:val="16"/>
                <w:color w:val="auto"/>
              </w:rPr>
            </w:pPr>
          </w:p>
        </w:tc>
      </w:tr>
      <w:tr>
        <w:trPr>
          <w:trHeight w:val="233"/>
        </w:trPr>
        <w:tc>
          <w:tcPr>
            <w:tcW w:w="8320" w:type="dxa"/>
            <w:vAlign w:val="bottom"/>
          </w:tcPr>
          <w:p>
            <w:pPr>
              <w:spacing w:after="0"/>
              <w:rPr>
                <w:sz w:val="20"/>
                <w:szCs w:val="20"/>
                <w:color w:val="auto"/>
              </w:rPr>
            </w:pPr>
          </w:p>
        </w:tc>
        <w:tc>
          <w:tcPr>
            <w:tcW w:w="256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4"/>
                <w:szCs w:val="14"/>
                <w:color w:val="auto"/>
              </w:rPr>
              <w:t>Three months ended March 31,</w:t>
            </w:r>
          </w:p>
        </w:tc>
        <w:tc>
          <w:tcPr>
            <w:tcW w:w="360" w:type="dxa"/>
            <w:vAlign w:val="bottom"/>
            <w:tcBorders>
              <w:bottom w:val="single" w:sz="8" w:color="auto"/>
            </w:tcBorders>
          </w:tcPr>
          <w:p>
            <w:pPr>
              <w:spacing w:after="0"/>
              <w:rPr>
                <w:sz w:val="20"/>
                <w:szCs w:val="20"/>
                <w:color w:val="auto"/>
              </w:rPr>
            </w:pPr>
          </w:p>
        </w:tc>
      </w:tr>
      <w:tr>
        <w:trPr>
          <w:trHeight w:val="210"/>
        </w:trPr>
        <w:tc>
          <w:tcPr>
            <w:tcW w:w="83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21"/>
              <w:spacing w:after="0"/>
              <w:rPr>
                <w:sz w:val="20"/>
                <w:szCs w:val="20"/>
                <w:color w:val="auto"/>
              </w:rPr>
            </w:pPr>
            <w:r>
              <w:rPr>
                <w:rFonts w:ascii="Arial" w:cs="Arial" w:eastAsia="Arial" w:hAnsi="Arial"/>
                <w:sz w:val="14"/>
                <w:szCs w:val="14"/>
                <w:color w:val="auto"/>
              </w:rPr>
              <w:t>2026</w:t>
            </w:r>
          </w:p>
        </w:tc>
        <w:tc>
          <w:tcPr>
            <w:tcW w:w="5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100"/>
              <w:spacing w:after="0"/>
              <w:rPr>
                <w:sz w:val="20"/>
                <w:szCs w:val="20"/>
                <w:color w:val="auto"/>
              </w:rPr>
            </w:pPr>
            <w:r>
              <w:rPr>
                <w:rFonts w:ascii="Arial" w:cs="Arial" w:eastAsia="Arial" w:hAnsi="Arial"/>
                <w:sz w:val="14"/>
                <w:szCs w:val="14"/>
                <w:color w:val="auto"/>
              </w:rPr>
              <w:t>2025</w:t>
            </w:r>
          </w:p>
        </w:tc>
        <w:tc>
          <w:tcPr>
            <w:tcW w:w="360" w:type="dxa"/>
            <w:vAlign w:val="bottom"/>
            <w:tcBorders>
              <w:bottom w:val="single" w:sz="8" w:color="auto"/>
            </w:tcBorders>
          </w:tcPr>
          <w:p>
            <w:pPr>
              <w:spacing w:after="0"/>
              <w:rPr>
                <w:sz w:val="18"/>
                <w:szCs w:val="18"/>
                <w:color w:val="auto"/>
              </w:rPr>
            </w:pPr>
          </w:p>
        </w:tc>
      </w:tr>
      <w:tr>
        <w:trPr>
          <w:trHeight w:val="213"/>
        </w:trPr>
        <w:tc>
          <w:tcPr>
            <w:tcW w:w="8320" w:type="dxa"/>
            <w:vAlign w:val="bottom"/>
            <w:shd w:val="clear" w:color="auto" w:fill="D4F1F5"/>
          </w:tcPr>
          <w:p>
            <w:pPr>
              <w:ind w:left="20"/>
              <w:spacing w:after="0"/>
              <w:rPr>
                <w:sz w:val="20"/>
                <w:szCs w:val="20"/>
                <w:color w:val="auto"/>
              </w:rPr>
            </w:pPr>
            <w:r>
              <w:rPr>
                <w:rFonts w:ascii="Arial" w:cs="Arial" w:eastAsia="Arial" w:hAnsi="Arial"/>
                <w:sz w:val="16"/>
                <w:szCs w:val="16"/>
                <w:b w:val="1"/>
                <w:bCs w:val="1"/>
                <w:color w:val="auto"/>
              </w:rPr>
              <w:t>Sempra:</w:t>
            </w:r>
          </w:p>
        </w:tc>
        <w:tc>
          <w:tcPr>
            <w:tcW w:w="960" w:type="dxa"/>
            <w:vAlign w:val="bottom"/>
            <w:shd w:val="clear" w:color="auto" w:fill="D4F1F5"/>
          </w:tcPr>
          <w:p>
            <w:pPr>
              <w:spacing w:after="0"/>
              <w:rPr>
                <w:sz w:val="18"/>
                <w:szCs w:val="18"/>
                <w:color w:val="auto"/>
              </w:rPr>
            </w:pPr>
          </w:p>
        </w:tc>
        <w:tc>
          <w:tcPr>
            <w:tcW w:w="500" w:type="dxa"/>
            <w:vAlign w:val="bottom"/>
            <w:shd w:val="clear" w:color="auto" w:fill="D4F1F5"/>
          </w:tcPr>
          <w:p>
            <w:pPr>
              <w:spacing w:after="0"/>
              <w:rPr>
                <w:sz w:val="18"/>
                <w:szCs w:val="18"/>
                <w:color w:val="auto"/>
              </w:rPr>
            </w:pPr>
          </w:p>
        </w:tc>
        <w:tc>
          <w:tcPr>
            <w:tcW w:w="1100" w:type="dxa"/>
            <w:vAlign w:val="bottom"/>
            <w:shd w:val="clear" w:color="auto" w:fill="D4F1F5"/>
          </w:tcPr>
          <w:p>
            <w:pPr>
              <w:spacing w:after="0"/>
              <w:rPr>
                <w:sz w:val="18"/>
                <w:szCs w:val="18"/>
                <w:color w:val="auto"/>
              </w:rPr>
            </w:pPr>
          </w:p>
        </w:tc>
        <w:tc>
          <w:tcPr>
            <w:tcW w:w="360" w:type="dxa"/>
            <w:vAlign w:val="bottom"/>
            <w:shd w:val="clear" w:color="auto" w:fill="D4F1F5"/>
          </w:tcPr>
          <w:p>
            <w:pPr>
              <w:spacing w:after="0"/>
              <w:rPr>
                <w:sz w:val="18"/>
                <w:szCs w:val="18"/>
                <w:color w:val="auto"/>
              </w:rPr>
            </w:pPr>
          </w:p>
        </w:tc>
      </w:tr>
      <w:tr>
        <w:trPr>
          <w:trHeight w:val="215"/>
        </w:trPr>
        <w:tc>
          <w:tcPr>
            <w:tcW w:w="8320" w:type="dxa"/>
            <w:vAlign w:val="bottom"/>
          </w:tcPr>
          <w:p>
            <w:pPr>
              <w:ind w:left="20"/>
              <w:spacing w:after="0"/>
              <w:rPr>
                <w:sz w:val="20"/>
                <w:szCs w:val="20"/>
                <w:color w:val="auto"/>
              </w:rPr>
            </w:pPr>
            <w:r>
              <w:rPr>
                <w:rFonts w:ascii="Arial" w:cs="Arial" w:eastAsia="Arial" w:hAnsi="Arial"/>
                <w:sz w:val="16"/>
                <w:szCs w:val="16"/>
                <w:color w:val="auto"/>
              </w:rPr>
              <w:t>Allowance for equity funds used during construction</w:t>
            </w:r>
          </w:p>
        </w:tc>
        <w:tc>
          <w:tcPr>
            <w:tcW w:w="960" w:type="dxa"/>
            <w:vAlign w:val="bottom"/>
          </w:tcPr>
          <w:p>
            <w:pPr>
              <w:jc w:val="right"/>
              <w:ind w:right="781"/>
              <w:spacing w:after="0"/>
              <w:rPr>
                <w:sz w:val="20"/>
                <w:szCs w:val="20"/>
                <w:color w:val="auto"/>
              </w:rPr>
            </w:pPr>
            <w:r>
              <w:rPr>
                <w:rFonts w:ascii="Arial" w:cs="Arial" w:eastAsia="Arial" w:hAnsi="Arial"/>
                <w:sz w:val="16"/>
                <w:szCs w:val="16"/>
                <w:color w:val="auto"/>
                <w:w w:val="89"/>
              </w:rPr>
              <w:t>$</w:t>
            </w:r>
          </w:p>
        </w:tc>
        <w:tc>
          <w:tcPr>
            <w:tcW w:w="500" w:type="dxa"/>
            <w:vAlign w:val="bottom"/>
          </w:tcPr>
          <w:p>
            <w:pPr>
              <w:jc w:val="right"/>
              <w:ind w:right="39"/>
              <w:spacing w:after="0"/>
              <w:rPr>
                <w:sz w:val="20"/>
                <w:szCs w:val="20"/>
                <w:color w:val="auto"/>
              </w:rPr>
            </w:pPr>
            <w:r>
              <w:rPr>
                <w:rFonts w:ascii="Arial" w:cs="Arial" w:eastAsia="Arial" w:hAnsi="Arial"/>
                <w:sz w:val="16"/>
                <w:szCs w:val="16"/>
                <w:color w:val="auto"/>
              </w:rPr>
              <w:t>42</w:t>
            </w:r>
          </w:p>
        </w:tc>
        <w:tc>
          <w:tcPr>
            <w:tcW w:w="1100" w:type="dxa"/>
            <w:vAlign w:val="bottom"/>
          </w:tcPr>
          <w:p>
            <w:pPr>
              <w:jc w:val="right"/>
              <w:ind w:right="860"/>
              <w:spacing w:after="0"/>
              <w:rPr>
                <w:sz w:val="20"/>
                <w:szCs w:val="20"/>
                <w:color w:val="auto"/>
              </w:rPr>
            </w:pPr>
            <w:r>
              <w:rPr>
                <w:rFonts w:ascii="Arial" w:cs="Arial" w:eastAsia="Arial" w:hAnsi="Arial"/>
                <w:sz w:val="16"/>
                <w:szCs w:val="16"/>
                <w:color w:val="auto"/>
              </w:rPr>
              <w:t>$</w:t>
            </w:r>
          </w:p>
        </w:tc>
        <w:tc>
          <w:tcPr>
            <w:tcW w:w="360" w:type="dxa"/>
            <w:vAlign w:val="bottom"/>
          </w:tcPr>
          <w:p>
            <w:pPr>
              <w:jc w:val="right"/>
              <w:spacing w:after="0"/>
              <w:rPr>
                <w:sz w:val="20"/>
                <w:szCs w:val="20"/>
                <w:color w:val="auto"/>
              </w:rPr>
            </w:pPr>
            <w:r>
              <w:rPr>
                <w:rFonts w:ascii="Arial" w:cs="Arial" w:eastAsia="Arial" w:hAnsi="Arial"/>
                <w:sz w:val="16"/>
                <w:szCs w:val="16"/>
                <w:color w:val="auto"/>
              </w:rPr>
              <w:t>41</w:t>
            </w:r>
          </w:p>
        </w:tc>
      </w:tr>
      <w:tr>
        <w:trPr>
          <w:trHeight w:val="217"/>
        </w:trPr>
        <w:tc>
          <w:tcPr>
            <w:tcW w:w="8320" w:type="dxa"/>
            <w:vAlign w:val="bottom"/>
            <w:shd w:val="clear" w:color="auto" w:fill="D4F1F5"/>
          </w:tcPr>
          <w:p>
            <w:pPr>
              <w:ind w:left="20"/>
              <w:spacing w:after="0" w:line="217" w:lineRule="exact"/>
              <w:rPr>
                <w:sz w:val="20"/>
                <w:szCs w:val="20"/>
                <w:color w:val="auto"/>
              </w:rPr>
            </w:pPr>
            <w:r>
              <w:rPr>
                <w:rFonts w:ascii="Arial" w:cs="Arial" w:eastAsia="Arial" w:hAnsi="Arial"/>
                <w:sz w:val="16"/>
                <w:szCs w:val="16"/>
                <w:color w:val="auto"/>
              </w:rPr>
              <w:t>Investment gains, net</w:t>
            </w:r>
            <w:r>
              <w:rPr>
                <w:rFonts w:ascii="Arial" w:cs="Arial" w:eastAsia="Arial" w:hAnsi="Arial"/>
                <w:sz w:val="21"/>
                <w:szCs w:val="21"/>
                <w:color w:val="auto"/>
                <w:vertAlign w:val="superscript"/>
              </w:rPr>
              <w:t>(1)</w:t>
            </w:r>
          </w:p>
        </w:tc>
        <w:tc>
          <w:tcPr>
            <w:tcW w:w="960" w:type="dxa"/>
            <w:vAlign w:val="bottom"/>
            <w:shd w:val="clear" w:color="auto" w:fill="D4F1F5"/>
          </w:tcPr>
          <w:p>
            <w:pPr>
              <w:spacing w:after="0"/>
              <w:rPr>
                <w:sz w:val="18"/>
                <w:szCs w:val="18"/>
                <w:color w:val="auto"/>
              </w:rPr>
            </w:pPr>
          </w:p>
        </w:tc>
        <w:tc>
          <w:tcPr>
            <w:tcW w:w="500" w:type="dxa"/>
            <w:vAlign w:val="bottom"/>
            <w:shd w:val="clear" w:color="auto" w:fill="D4F1F5"/>
          </w:tcPr>
          <w:p>
            <w:pPr>
              <w:jc w:val="right"/>
              <w:ind w:right="39"/>
              <w:spacing w:after="0"/>
              <w:rPr>
                <w:sz w:val="20"/>
                <w:szCs w:val="20"/>
                <w:color w:val="auto"/>
              </w:rPr>
            </w:pPr>
            <w:r>
              <w:rPr>
                <w:rFonts w:ascii="Arial" w:cs="Arial" w:eastAsia="Arial" w:hAnsi="Arial"/>
                <w:sz w:val="16"/>
                <w:szCs w:val="16"/>
                <w:color w:val="auto"/>
              </w:rPr>
              <w:t>1</w:t>
            </w:r>
          </w:p>
        </w:tc>
        <w:tc>
          <w:tcPr>
            <w:tcW w:w="1100" w:type="dxa"/>
            <w:vAlign w:val="bottom"/>
            <w:shd w:val="clear" w:color="auto" w:fill="D4F1F5"/>
          </w:tcPr>
          <w:p>
            <w:pPr>
              <w:spacing w:after="0"/>
              <w:rPr>
                <w:sz w:val="18"/>
                <w:szCs w:val="18"/>
                <w:color w:val="auto"/>
              </w:rPr>
            </w:pPr>
          </w:p>
        </w:tc>
        <w:tc>
          <w:tcPr>
            <w:tcW w:w="360" w:type="dxa"/>
            <w:vAlign w:val="bottom"/>
            <w:shd w:val="clear" w:color="auto" w:fill="D4F1F5"/>
          </w:tcPr>
          <w:p>
            <w:pPr>
              <w:jc w:val="right"/>
              <w:spacing w:after="0"/>
              <w:rPr>
                <w:sz w:val="20"/>
                <w:szCs w:val="20"/>
                <w:color w:val="auto"/>
              </w:rPr>
            </w:pPr>
            <w:r>
              <w:rPr>
                <w:rFonts w:ascii="Arial" w:cs="Arial" w:eastAsia="Arial" w:hAnsi="Arial"/>
                <w:sz w:val="16"/>
                <w:szCs w:val="16"/>
                <w:color w:val="auto"/>
              </w:rPr>
              <w:t>2</w:t>
            </w:r>
          </w:p>
        </w:tc>
      </w:tr>
      <w:tr>
        <w:trPr>
          <w:trHeight w:val="215"/>
        </w:trPr>
        <w:tc>
          <w:tcPr>
            <w:tcW w:w="8320" w:type="dxa"/>
            <w:vAlign w:val="bottom"/>
          </w:tcPr>
          <w:p>
            <w:pPr>
              <w:ind w:left="20"/>
              <w:spacing w:after="0"/>
              <w:rPr>
                <w:sz w:val="20"/>
                <w:szCs w:val="20"/>
                <w:color w:val="auto"/>
              </w:rPr>
            </w:pPr>
            <w:r>
              <w:rPr>
                <w:rFonts w:ascii="Arial" w:cs="Arial" w:eastAsia="Arial" w:hAnsi="Arial"/>
                <w:sz w:val="16"/>
                <w:szCs w:val="16"/>
                <w:color w:val="auto"/>
              </w:rPr>
              <w:t>Gains on foreign exchange instruments, net</w:t>
            </w:r>
          </w:p>
        </w:tc>
        <w:tc>
          <w:tcPr>
            <w:tcW w:w="960" w:type="dxa"/>
            <w:vAlign w:val="bottom"/>
          </w:tcPr>
          <w:p>
            <w:pPr>
              <w:spacing w:after="0"/>
              <w:rPr>
                <w:sz w:val="18"/>
                <w:szCs w:val="18"/>
                <w:color w:val="auto"/>
              </w:rPr>
            </w:pPr>
          </w:p>
        </w:tc>
        <w:tc>
          <w:tcPr>
            <w:tcW w:w="500" w:type="dxa"/>
            <w:vAlign w:val="bottom"/>
          </w:tcPr>
          <w:p>
            <w:pPr>
              <w:jc w:val="right"/>
              <w:ind w:right="39"/>
              <w:spacing w:after="0"/>
              <w:rPr>
                <w:sz w:val="20"/>
                <w:szCs w:val="20"/>
                <w:color w:val="auto"/>
              </w:rPr>
            </w:pPr>
            <w:r>
              <w:rPr>
                <w:rFonts w:ascii="Arial" w:cs="Arial" w:eastAsia="Arial" w:hAnsi="Arial"/>
                <w:sz w:val="16"/>
                <w:szCs w:val="16"/>
                <w:color w:val="auto"/>
              </w:rPr>
              <w:t>9</w:t>
            </w:r>
          </w:p>
        </w:tc>
        <w:tc>
          <w:tcPr>
            <w:tcW w:w="110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7"/>
        </w:trPr>
        <w:tc>
          <w:tcPr>
            <w:tcW w:w="8320" w:type="dxa"/>
            <w:vAlign w:val="bottom"/>
            <w:shd w:val="clear" w:color="auto" w:fill="D4F1F5"/>
          </w:tcPr>
          <w:p>
            <w:pPr>
              <w:ind w:left="20"/>
              <w:spacing w:after="0"/>
              <w:rPr>
                <w:sz w:val="20"/>
                <w:szCs w:val="20"/>
                <w:color w:val="auto"/>
              </w:rPr>
            </w:pPr>
            <w:r>
              <w:rPr>
                <w:rFonts w:ascii="Arial" w:cs="Arial" w:eastAsia="Arial" w:hAnsi="Arial"/>
                <w:sz w:val="16"/>
                <w:szCs w:val="16"/>
                <w:color w:val="auto"/>
              </w:rPr>
              <w:t>Foreign currency transaction (losses) gains, net</w:t>
            </w:r>
          </w:p>
        </w:tc>
        <w:tc>
          <w:tcPr>
            <w:tcW w:w="960" w:type="dxa"/>
            <w:vAlign w:val="bottom"/>
            <w:shd w:val="clear" w:color="auto" w:fill="D4F1F5"/>
          </w:tcPr>
          <w:p>
            <w:pPr>
              <w:spacing w:after="0"/>
              <w:rPr>
                <w:sz w:val="18"/>
                <w:szCs w:val="18"/>
                <w:color w:val="auto"/>
              </w:rPr>
            </w:pPr>
          </w:p>
        </w:tc>
        <w:tc>
          <w:tcPr>
            <w:tcW w:w="500" w:type="dxa"/>
            <w:vAlign w:val="bottom"/>
            <w:shd w:val="clear" w:color="auto" w:fill="D4F1F5"/>
          </w:tcPr>
          <w:p>
            <w:pPr>
              <w:jc w:val="right"/>
              <w:spacing w:after="0"/>
              <w:rPr>
                <w:sz w:val="20"/>
                <w:szCs w:val="20"/>
                <w:color w:val="auto"/>
              </w:rPr>
            </w:pPr>
            <w:r>
              <w:rPr>
                <w:rFonts w:ascii="Arial" w:cs="Arial" w:eastAsia="Arial" w:hAnsi="Arial"/>
                <w:sz w:val="16"/>
                <w:szCs w:val="16"/>
                <w:color w:val="auto"/>
              </w:rPr>
              <w:t>(1)</w:t>
            </w:r>
          </w:p>
        </w:tc>
        <w:tc>
          <w:tcPr>
            <w:tcW w:w="1100" w:type="dxa"/>
            <w:vAlign w:val="bottom"/>
            <w:shd w:val="clear" w:color="auto" w:fill="D4F1F5"/>
          </w:tcPr>
          <w:p>
            <w:pPr>
              <w:spacing w:after="0"/>
              <w:rPr>
                <w:sz w:val="18"/>
                <w:szCs w:val="18"/>
                <w:color w:val="auto"/>
              </w:rPr>
            </w:pPr>
          </w:p>
        </w:tc>
        <w:tc>
          <w:tcPr>
            <w:tcW w:w="360" w:type="dxa"/>
            <w:vAlign w:val="bottom"/>
            <w:shd w:val="clear" w:color="auto" w:fill="D4F1F5"/>
          </w:tcPr>
          <w:p>
            <w:pPr>
              <w:jc w:val="right"/>
              <w:spacing w:after="0"/>
              <w:rPr>
                <w:sz w:val="20"/>
                <w:szCs w:val="20"/>
                <w:color w:val="auto"/>
              </w:rPr>
            </w:pPr>
            <w:r>
              <w:rPr>
                <w:rFonts w:ascii="Arial" w:cs="Arial" w:eastAsia="Arial" w:hAnsi="Arial"/>
                <w:sz w:val="16"/>
                <w:szCs w:val="16"/>
                <w:color w:val="auto"/>
              </w:rPr>
              <w:t>4</w:t>
            </w:r>
          </w:p>
        </w:tc>
      </w:tr>
      <w:tr>
        <w:trPr>
          <w:trHeight w:val="215"/>
        </w:trPr>
        <w:tc>
          <w:tcPr>
            <w:tcW w:w="8320" w:type="dxa"/>
            <w:vAlign w:val="bottom"/>
          </w:tcPr>
          <w:p>
            <w:pPr>
              <w:ind w:left="20"/>
              <w:spacing w:after="0"/>
              <w:rPr>
                <w:sz w:val="20"/>
                <w:szCs w:val="20"/>
                <w:color w:val="auto"/>
              </w:rPr>
            </w:pPr>
            <w:r>
              <w:rPr>
                <w:rFonts w:ascii="Arial" w:cs="Arial" w:eastAsia="Arial" w:hAnsi="Arial"/>
                <w:sz w:val="16"/>
                <w:szCs w:val="16"/>
                <w:color w:val="auto"/>
              </w:rPr>
              <w:t>Non-service components of net periodic benefit cost</w:t>
            </w:r>
          </w:p>
        </w:tc>
        <w:tc>
          <w:tcPr>
            <w:tcW w:w="960" w:type="dxa"/>
            <w:vAlign w:val="bottom"/>
          </w:tcPr>
          <w:p>
            <w:pPr>
              <w:spacing w:after="0"/>
              <w:rPr>
                <w:sz w:val="18"/>
                <w:szCs w:val="18"/>
                <w:color w:val="auto"/>
              </w:rPr>
            </w:pPr>
          </w:p>
        </w:tc>
        <w:tc>
          <w:tcPr>
            <w:tcW w:w="500" w:type="dxa"/>
            <w:vAlign w:val="bottom"/>
          </w:tcPr>
          <w:p>
            <w:pPr>
              <w:jc w:val="right"/>
              <w:ind w:right="39"/>
              <w:spacing w:after="0"/>
              <w:rPr>
                <w:sz w:val="20"/>
                <w:szCs w:val="20"/>
                <w:color w:val="auto"/>
              </w:rPr>
            </w:pPr>
            <w:r>
              <w:rPr>
                <w:rFonts w:ascii="Arial" w:cs="Arial" w:eastAsia="Arial" w:hAnsi="Arial"/>
                <w:sz w:val="16"/>
                <w:szCs w:val="16"/>
                <w:color w:val="auto"/>
              </w:rPr>
              <w:t>29</w:t>
            </w:r>
          </w:p>
        </w:tc>
        <w:tc>
          <w:tcPr>
            <w:tcW w:w="110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6"/>
                <w:szCs w:val="16"/>
                <w:color w:val="auto"/>
              </w:rPr>
              <w:t>23</w:t>
            </w:r>
          </w:p>
        </w:tc>
      </w:tr>
      <w:tr>
        <w:trPr>
          <w:trHeight w:val="217"/>
        </w:trPr>
        <w:tc>
          <w:tcPr>
            <w:tcW w:w="8320" w:type="dxa"/>
            <w:vAlign w:val="bottom"/>
            <w:shd w:val="clear" w:color="auto" w:fill="D4F1F5"/>
          </w:tcPr>
          <w:p>
            <w:pPr>
              <w:ind w:left="20"/>
              <w:spacing w:after="0"/>
              <w:rPr>
                <w:sz w:val="20"/>
                <w:szCs w:val="20"/>
                <w:color w:val="auto"/>
              </w:rPr>
            </w:pPr>
            <w:r>
              <w:rPr>
                <w:rFonts w:ascii="Arial" w:cs="Arial" w:eastAsia="Arial" w:hAnsi="Arial"/>
                <w:sz w:val="16"/>
                <w:szCs w:val="16"/>
                <w:color w:val="auto"/>
              </w:rPr>
              <w:t>Interest on regulatory balancing accounts, net</w:t>
            </w:r>
          </w:p>
        </w:tc>
        <w:tc>
          <w:tcPr>
            <w:tcW w:w="960" w:type="dxa"/>
            <w:vAlign w:val="bottom"/>
            <w:shd w:val="clear" w:color="auto" w:fill="D4F1F5"/>
          </w:tcPr>
          <w:p>
            <w:pPr>
              <w:spacing w:after="0"/>
              <w:rPr>
                <w:sz w:val="18"/>
                <w:szCs w:val="18"/>
                <w:color w:val="auto"/>
              </w:rPr>
            </w:pPr>
          </w:p>
        </w:tc>
        <w:tc>
          <w:tcPr>
            <w:tcW w:w="500" w:type="dxa"/>
            <w:vAlign w:val="bottom"/>
            <w:shd w:val="clear" w:color="auto" w:fill="D4F1F5"/>
          </w:tcPr>
          <w:p>
            <w:pPr>
              <w:jc w:val="right"/>
              <w:ind w:right="39"/>
              <w:spacing w:after="0"/>
              <w:rPr>
                <w:sz w:val="20"/>
                <w:szCs w:val="20"/>
                <w:color w:val="auto"/>
              </w:rPr>
            </w:pPr>
            <w:r>
              <w:rPr>
                <w:rFonts w:ascii="Arial" w:cs="Arial" w:eastAsia="Arial" w:hAnsi="Arial"/>
                <w:sz w:val="16"/>
                <w:szCs w:val="16"/>
                <w:color w:val="auto"/>
              </w:rPr>
              <w:t>19</w:t>
            </w:r>
          </w:p>
        </w:tc>
        <w:tc>
          <w:tcPr>
            <w:tcW w:w="1100" w:type="dxa"/>
            <w:vAlign w:val="bottom"/>
            <w:shd w:val="clear" w:color="auto" w:fill="D4F1F5"/>
          </w:tcPr>
          <w:p>
            <w:pPr>
              <w:spacing w:after="0"/>
              <w:rPr>
                <w:sz w:val="18"/>
                <w:szCs w:val="18"/>
                <w:color w:val="auto"/>
              </w:rPr>
            </w:pPr>
          </w:p>
        </w:tc>
        <w:tc>
          <w:tcPr>
            <w:tcW w:w="360" w:type="dxa"/>
            <w:vAlign w:val="bottom"/>
            <w:shd w:val="clear" w:color="auto" w:fill="D4F1F5"/>
          </w:tcPr>
          <w:p>
            <w:pPr>
              <w:jc w:val="right"/>
              <w:spacing w:after="0"/>
              <w:rPr>
                <w:sz w:val="20"/>
                <w:szCs w:val="20"/>
                <w:color w:val="auto"/>
              </w:rPr>
            </w:pPr>
            <w:r>
              <w:rPr>
                <w:rFonts w:ascii="Arial" w:cs="Arial" w:eastAsia="Arial" w:hAnsi="Arial"/>
                <w:sz w:val="16"/>
                <w:szCs w:val="16"/>
                <w:color w:val="auto"/>
              </w:rPr>
              <w:t>21</w:t>
            </w:r>
          </w:p>
        </w:tc>
      </w:tr>
      <w:tr>
        <w:trPr>
          <w:trHeight w:val="215"/>
        </w:trPr>
        <w:tc>
          <w:tcPr>
            <w:tcW w:w="8320" w:type="dxa"/>
            <w:vAlign w:val="bottom"/>
            <w:tcBorders>
              <w:bottom w:val="single" w:sz="8" w:color="D4F1F5"/>
            </w:tcBorders>
          </w:tcPr>
          <w:p>
            <w:pPr>
              <w:ind w:left="20"/>
              <w:spacing w:after="0"/>
              <w:rPr>
                <w:sz w:val="20"/>
                <w:szCs w:val="20"/>
                <w:color w:val="auto"/>
              </w:rPr>
            </w:pPr>
            <w:r>
              <w:rPr>
                <w:rFonts w:ascii="Arial" w:cs="Arial" w:eastAsia="Arial" w:hAnsi="Arial"/>
                <w:sz w:val="16"/>
                <w:szCs w:val="16"/>
                <w:color w:val="auto"/>
              </w:rPr>
              <w:t>Sundry, net</w:t>
            </w:r>
          </w:p>
        </w:tc>
        <w:tc>
          <w:tcPr>
            <w:tcW w:w="96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w:t>
            </w:r>
          </w:p>
        </w:tc>
        <w:tc>
          <w:tcPr>
            <w:tcW w:w="110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217"/>
        </w:trPr>
        <w:tc>
          <w:tcPr>
            <w:tcW w:w="8320" w:type="dxa"/>
            <w:vAlign w:val="bottom"/>
            <w:tcBorders>
              <w:bottom w:val="single" w:sz="8" w:color="auto"/>
            </w:tcBorders>
            <w:shd w:val="clear" w:color="auto" w:fill="D4F1F5"/>
          </w:tcPr>
          <w:p>
            <w:pPr>
              <w:ind w:left="140"/>
              <w:spacing w:after="0"/>
              <w:rPr>
                <w:sz w:val="20"/>
                <w:szCs w:val="20"/>
                <w:color w:val="auto"/>
              </w:rPr>
            </w:pPr>
            <w:r>
              <w:rPr>
                <w:rFonts w:ascii="Arial" w:cs="Arial" w:eastAsia="Arial" w:hAnsi="Arial"/>
                <w:sz w:val="16"/>
                <w:szCs w:val="16"/>
                <w:color w:val="auto"/>
              </w:rPr>
              <w:t>Total</w:t>
            </w:r>
          </w:p>
        </w:tc>
        <w:tc>
          <w:tcPr>
            <w:tcW w:w="960" w:type="dxa"/>
            <w:vAlign w:val="bottom"/>
            <w:tcBorders>
              <w:bottom w:val="single" w:sz="8" w:color="auto"/>
            </w:tcBorders>
            <w:shd w:val="clear" w:color="auto" w:fill="D4F1F5"/>
          </w:tcPr>
          <w:p>
            <w:pPr>
              <w:jc w:val="right"/>
              <w:ind w:right="781"/>
              <w:spacing w:after="0"/>
              <w:rPr>
                <w:sz w:val="20"/>
                <w:szCs w:val="20"/>
                <w:color w:val="auto"/>
              </w:rPr>
            </w:pPr>
            <w:r>
              <w:rPr>
                <w:rFonts w:ascii="Arial" w:cs="Arial" w:eastAsia="Arial" w:hAnsi="Arial"/>
                <w:sz w:val="16"/>
                <w:szCs w:val="16"/>
                <w:color w:val="auto"/>
                <w:w w:val="89"/>
              </w:rPr>
              <w:t>$</w:t>
            </w:r>
          </w:p>
        </w:tc>
        <w:tc>
          <w:tcPr>
            <w:tcW w:w="500" w:type="dxa"/>
            <w:vAlign w:val="bottom"/>
            <w:tcBorders>
              <w:bottom w:val="single" w:sz="8" w:color="auto"/>
            </w:tcBorders>
            <w:shd w:val="clear" w:color="auto" w:fill="D4F1F5"/>
          </w:tcPr>
          <w:p>
            <w:pPr>
              <w:jc w:val="right"/>
              <w:ind w:right="39"/>
              <w:spacing w:after="0"/>
              <w:rPr>
                <w:sz w:val="20"/>
                <w:szCs w:val="20"/>
                <w:color w:val="auto"/>
              </w:rPr>
            </w:pPr>
            <w:r>
              <w:rPr>
                <w:rFonts w:ascii="Arial" w:cs="Arial" w:eastAsia="Arial" w:hAnsi="Arial"/>
                <w:sz w:val="16"/>
                <w:szCs w:val="16"/>
                <w:color w:val="auto"/>
              </w:rPr>
              <w:t>100</w:t>
            </w:r>
          </w:p>
        </w:tc>
        <w:tc>
          <w:tcPr>
            <w:tcW w:w="1100" w:type="dxa"/>
            <w:vAlign w:val="bottom"/>
            <w:tcBorders>
              <w:bottom w:val="single" w:sz="8" w:color="auto"/>
            </w:tcBorders>
            <w:shd w:val="clear" w:color="auto" w:fill="D4F1F5"/>
          </w:tcPr>
          <w:p>
            <w:pPr>
              <w:jc w:val="right"/>
              <w:ind w:right="860"/>
              <w:spacing w:after="0"/>
              <w:rPr>
                <w:sz w:val="20"/>
                <w:szCs w:val="20"/>
                <w:color w:val="auto"/>
              </w:rPr>
            </w:pPr>
            <w:r>
              <w:rPr>
                <w:rFonts w:ascii="Arial" w:cs="Arial" w:eastAsia="Arial" w:hAnsi="Arial"/>
                <w:sz w:val="16"/>
                <w:szCs w:val="16"/>
                <w:color w:val="auto"/>
              </w:rPr>
              <w:t>$</w:t>
            </w:r>
          </w:p>
        </w:tc>
        <w:tc>
          <w:tcPr>
            <w:tcW w:w="360" w:type="dxa"/>
            <w:vAlign w:val="bottom"/>
            <w:tcBorders>
              <w:bottom w:val="single" w:sz="8" w:color="auto"/>
            </w:tcBorders>
            <w:shd w:val="clear" w:color="auto" w:fill="D4F1F5"/>
          </w:tcPr>
          <w:p>
            <w:pPr>
              <w:jc w:val="right"/>
              <w:spacing w:after="0"/>
              <w:rPr>
                <w:sz w:val="20"/>
                <w:szCs w:val="20"/>
                <w:color w:val="auto"/>
              </w:rPr>
            </w:pPr>
            <w:r>
              <w:rPr>
                <w:rFonts w:ascii="Arial" w:cs="Arial" w:eastAsia="Arial" w:hAnsi="Arial"/>
                <w:sz w:val="16"/>
                <w:szCs w:val="16"/>
                <w:color w:val="auto"/>
              </w:rPr>
              <w:t>91</w:t>
            </w:r>
          </w:p>
        </w:tc>
      </w:tr>
      <w:tr>
        <w:trPr>
          <w:trHeight w:val="216"/>
        </w:trPr>
        <w:tc>
          <w:tcPr>
            <w:tcW w:w="8320" w:type="dxa"/>
            <w:vAlign w:val="bottom"/>
          </w:tcPr>
          <w:p>
            <w:pPr>
              <w:ind w:left="20"/>
              <w:spacing w:after="0"/>
              <w:rPr>
                <w:sz w:val="20"/>
                <w:szCs w:val="20"/>
                <w:color w:val="auto"/>
              </w:rPr>
            </w:pPr>
            <w:r>
              <w:rPr>
                <w:rFonts w:ascii="Arial" w:cs="Arial" w:eastAsia="Arial" w:hAnsi="Arial"/>
                <w:sz w:val="16"/>
                <w:szCs w:val="16"/>
                <w:b w:val="1"/>
                <w:bCs w:val="1"/>
                <w:color w:val="auto"/>
              </w:rPr>
              <w:t>SDG&amp;E:</w:t>
            </w:r>
          </w:p>
        </w:tc>
        <w:tc>
          <w:tcPr>
            <w:tcW w:w="9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60" w:type="dxa"/>
            <w:vAlign w:val="bottom"/>
          </w:tcPr>
          <w:p>
            <w:pPr>
              <w:spacing w:after="0"/>
              <w:rPr>
                <w:sz w:val="18"/>
                <w:szCs w:val="18"/>
                <w:color w:val="auto"/>
              </w:rPr>
            </w:pPr>
          </w:p>
        </w:tc>
      </w:tr>
      <w:tr>
        <w:trPr>
          <w:trHeight w:val="216"/>
        </w:trPr>
        <w:tc>
          <w:tcPr>
            <w:tcW w:w="8320" w:type="dxa"/>
            <w:vAlign w:val="bottom"/>
            <w:shd w:val="clear" w:color="auto" w:fill="D4F1F5"/>
          </w:tcPr>
          <w:p>
            <w:pPr>
              <w:ind w:left="20"/>
              <w:spacing w:after="0"/>
              <w:rPr>
                <w:sz w:val="20"/>
                <w:szCs w:val="20"/>
                <w:color w:val="auto"/>
              </w:rPr>
            </w:pPr>
            <w:r>
              <w:rPr>
                <w:rFonts w:ascii="Arial" w:cs="Arial" w:eastAsia="Arial" w:hAnsi="Arial"/>
                <w:sz w:val="16"/>
                <w:szCs w:val="16"/>
                <w:color w:val="auto"/>
              </w:rPr>
              <w:t>Allowance for equity funds used during construction</w:t>
            </w:r>
          </w:p>
        </w:tc>
        <w:tc>
          <w:tcPr>
            <w:tcW w:w="960" w:type="dxa"/>
            <w:vAlign w:val="bottom"/>
            <w:shd w:val="clear" w:color="auto" w:fill="D4F1F5"/>
          </w:tcPr>
          <w:p>
            <w:pPr>
              <w:jc w:val="right"/>
              <w:ind w:right="781"/>
              <w:spacing w:after="0"/>
              <w:rPr>
                <w:sz w:val="20"/>
                <w:szCs w:val="20"/>
                <w:color w:val="auto"/>
              </w:rPr>
            </w:pPr>
            <w:r>
              <w:rPr>
                <w:rFonts w:ascii="Arial" w:cs="Arial" w:eastAsia="Arial" w:hAnsi="Arial"/>
                <w:sz w:val="16"/>
                <w:szCs w:val="16"/>
                <w:color w:val="auto"/>
                <w:w w:val="89"/>
              </w:rPr>
              <w:t>$</w:t>
            </w:r>
          </w:p>
        </w:tc>
        <w:tc>
          <w:tcPr>
            <w:tcW w:w="500" w:type="dxa"/>
            <w:vAlign w:val="bottom"/>
            <w:shd w:val="clear" w:color="auto" w:fill="D4F1F5"/>
          </w:tcPr>
          <w:p>
            <w:pPr>
              <w:jc w:val="right"/>
              <w:ind w:right="39"/>
              <w:spacing w:after="0"/>
              <w:rPr>
                <w:sz w:val="20"/>
                <w:szCs w:val="20"/>
                <w:color w:val="auto"/>
              </w:rPr>
            </w:pPr>
            <w:r>
              <w:rPr>
                <w:rFonts w:ascii="Arial" w:cs="Arial" w:eastAsia="Arial" w:hAnsi="Arial"/>
                <w:sz w:val="16"/>
                <w:szCs w:val="16"/>
                <w:color w:val="auto"/>
              </w:rPr>
              <w:t>17</w:t>
            </w:r>
          </w:p>
        </w:tc>
        <w:tc>
          <w:tcPr>
            <w:tcW w:w="1100" w:type="dxa"/>
            <w:vAlign w:val="bottom"/>
            <w:shd w:val="clear" w:color="auto" w:fill="D4F1F5"/>
          </w:tcPr>
          <w:p>
            <w:pPr>
              <w:jc w:val="right"/>
              <w:ind w:right="860"/>
              <w:spacing w:after="0"/>
              <w:rPr>
                <w:sz w:val="20"/>
                <w:szCs w:val="20"/>
                <w:color w:val="auto"/>
              </w:rPr>
            </w:pPr>
            <w:r>
              <w:rPr>
                <w:rFonts w:ascii="Arial" w:cs="Arial" w:eastAsia="Arial" w:hAnsi="Arial"/>
                <w:sz w:val="16"/>
                <w:szCs w:val="16"/>
                <w:color w:val="auto"/>
              </w:rPr>
              <w:t>$</w:t>
            </w:r>
          </w:p>
        </w:tc>
        <w:tc>
          <w:tcPr>
            <w:tcW w:w="360" w:type="dxa"/>
            <w:vAlign w:val="bottom"/>
            <w:shd w:val="clear" w:color="auto" w:fill="D4F1F5"/>
          </w:tcPr>
          <w:p>
            <w:pPr>
              <w:jc w:val="right"/>
              <w:spacing w:after="0"/>
              <w:rPr>
                <w:sz w:val="20"/>
                <w:szCs w:val="20"/>
                <w:color w:val="auto"/>
              </w:rPr>
            </w:pPr>
            <w:r>
              <w:rPr>
                <w:rFonts w:ascii="Arial" w:cs="Arial" w:eastAsia="Arial" w:hAnsi="Arial"/>
                <w:sz w:val="16"/>
                <w:szCs w:val="16"/>
                <w:color w:val="auto"/>
              </w:rPr>
              <w:t>19</w:t>
            </w:r>
          </w:p>
        </w:tc>
      </w:tr>
      <w:tr>
        <w:trPr>
          <w:trHeight w:val="215"/>
        </w:trPr>
        <w:tc>
          <w:tcPr>
            <w:tcW w:w="8320" w:type="dxa"/>
            <w:vAlign w:val="bottom"/>
          </w:tcPr>
          <w:p>
            <w:pPr>
              <w:ind w:left="20"/>
              <w:spacing w:after="0"/>
              <w:rPr>
                <w:sz w:val="20"/>
                <w:szCs w:val="20"/>
                <w:color w:val="auto"/>
              </w:rPr>
            </w:pPr>
            <w:r>
              <w:rPr>
                <w:rFonts w:ascii="Arial" w:cs="Arial" w:eastAsia="Arial" w:hAnsi="Arial"/>
                <w:sz w:val="16"/>
                <w:szCs w:val="16"/>
                <w:color w:val="auto"/>
              </w:rPr>
              <w:t>Non-service components of net periodic benefit cost</w:t>
            </w:r>
          </w:p>
        </w:tc>
        <w:tc>
          <w:tcPr>
            <w:tcW w:w="960" w:type="dxa"/>
            <w:vAlign w:val="bottom"/>
          </w:tcPr>
          <w:p>
            <w:pPr>
              <w:spacing w:after="0"/>
              <w:rPr>
                <w:sz w:val="18"/>
                <w:szCs w:val="18"/>
                <w:color w:val="auto"/>
              </w:rPr>
            </w:pPr>
          </w:p>
        </w:tc>
        <w:tc>
          <w:tcPr>
            <w:tcW w:w="500" w:type="dxa"/>
            <w:vAlign w:val="bottom"/>
          </w:tcPr>
          <w:p>
            <w:pPr>
              <w:jc w:val="right"/>
              <w:ind w:right="39"/>
              <w:spacing w:after="0"/>
              <w:rPr>
                <w:sz w:val="20"/>
                <w:szCs w:val="20"/>
                <w:color w:val="auto"/>
              </w:rPr>
            </w:pPr>
            <w:r>
              <w:rPr>
                <w:rFonts w:ascii="Arial" w:cs="Arial" w:eastAsia="Arial" w:hAnsi="Arial"/>
                <w:sz w:val="16"/>
                <w:szCs w:val="16"/>
                <w:color w:val="auto"/>
              </w:rPr>
              <w:t>11</w:t>
            </w:r>
          </w:p>
        </w:tc>
        <w:tc>
          <w:tcPr>
            <w:tcW w:w="110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6"/>
                <w:szCs w:val="16"/>
                <w:color w:val="auto"/>
              </w:rPr>
              <w:t>9</w:t>
            </w:r>
          </w:p>
        </w:tc>
      </w:tr>
      <w:tr>
        <w:trPr>
          <w:trHeight w:val="217"/>
        </w:trPr>
        <w:tc>
          <w:tcPr>
            <w:tcW w:w="8320" w:type="dxa"/>
            <w:vAlign w:val="bottom"/>
            <w:shd w:val="clear" w:color="auto" w:fill="D4F1F5"/>
          </w:tcPr>
          <w:p>
            <w:pPr>
              <w:ind w:left="20"/>
              <w:spacing w:after="0"/>
              <w:rPr>
                <w:sz w:val="20"/>
                <w:szCs w:val="20"/>
                <w:color w:val="auto"/>
              </w:rPr>
            </w:pPr>
            <w:r>
              <w:rPr>
                <w:rFonts w:ascii="Arial" w:cs="Arial" w:eastAsia="Arial" w:hAnsi="Arial"/>
                <w:sz w:val="16"/>
                <w:szCs w:val="16"/>
                <w:color w:val="auto"/>
              </w:rPr>
              <w:t>Interest on regulatory balancing accounts, net</w:t>
            </w:r>
          </w:p>
        </w:tc>
        <w:tc>
          <w:tcPr>
            <w:tcW w:w="960" w:type="dxa"/>
            <w:vAlign w:val="bottom"/>
            <w:shd w:val="clear" w:color="auto" w:fill="D4F1F5"/>
          </w:tcPr>
          <w:p>
            <w:pPr>
              <w:spacing w:after="0"/>
              <w:rPr>
                <w:sz w:val="18"/>
                <w:szCs w:val="18"/>
                <w:color w:val="auto"/>
              </w:rPr>
            </w:pPr>
          </w:p>
        </w:tc>
        <w:tc>
          <w:tcPr>
            <w:tcW w:w="500" w:type="dxa"/>
            <w:vAlign w:val="bottom"/>
            <w:shd w:val="clear" w:color="auto" w:fill="D4F1F5"/>
          </w:tcPr>
          <w:p>
            <w:pPr>
              <w:jc w:val="right"/>
              <w:ind w:right="39"/>
              <w:spacing w:after="0"/>
              <w:rPr>
                <w:sz w:val="20"/>
                <w:szCs w:val="20"/>
                <w:color w:val="auto"/>
              </w:rPr>
            </w:pPr>
            <w:r>
              <w:rPr>
                <w:rFonts w:ascii="Arial" w:cs="Arial" w:eastAsia="Arial" w:hAnsi="Arial"/>
                <w:sz w:val="16"/>
                <w:szCs w:val="16"/>
                <w:color w:val="auto"/>
              </w:rPr>
              <w:t>12</w:t>
            </w:r>
          </w:p>
        </w:tc>
        <w:tc>
          <w:tcPr>
            <w:tcW w:w="1100" w:type="dxa"/>
            <w:vAlign w:val="bottom"/>
            <w:shd w:val="clear" w:color="auto" w:fill="D4F1F5"/>
          </w:tcPr>
          <w:p>
            <w:pPr>
              <w:spacing w:after="0"/>
              <w:rPr>
                <w:sz w:val="18"/>
                <w:szCs w:val="18"/>
                <w:color w:val="auto"/>
              </w:rPr>
            </w:pPr>
          </w:p>
        </w:tc>
        <w:tc>
          <w:tcPr>
            <w:tcW w:w="360" w:type="dxa"/>
            <w:vAlign w:val="bottom"/>
            <w:shd w:val="clear" w:color="auto" w:fill="D4F1F5"/>
          </w:tcPr>
          <w:p>
            <w:pPr>
              <w:jc w:val="right"/>
              <w:spacing w:after="0"/>
              <w:rPr>
                <w:sz w:val="20"/>
                <w:szCs w:val="20"/>
                <w:color w:val="auto"/>
              </w:rPr>
            </w:pPr>
            <w:r>
              <w:rPr>
                <w:rFonts w:ascii="Arial" w:cs="Arial" w:eastAsia="Arial" w:hAnsi="Arial"/>
                <w:sz w:val="16"/>
                <w:szCs w:val="16"/>
                <w:color w:val="auto"/>
              </w:rPr>
              <w:t>11</w:t>
            </w:r>
          </w:p>
        </w:tc>
      </w:tr>
      <w:tr>
        <w:trPr>
          <w:trHeight w:val="215"/>
        </w:trPr>
        <w:tc>
          <w:tcPr>
            <w:tcW w:w="8320" w:type="dxa"/>
            <w:vAlign w:val="bottom"/>
            <w:tcBorders>
              <w:bottom w:val="single" w:sz="8" w:color="D4F1F5"/>
            </w:tcBorders>
          </w:tcPr>
          <w:p>
            <w:pPr>
              <w:ind w:left="20"/>
              <w:spacing w:after="0"/>
              <w:rPr>
                <w:sz w:val="20"/>
                <w:szCs w:val="20"/>
                <w:color w:val="auto"/>
              </w:rPr>
            </w:pPr>
            <w:r>
              <w:rPr>
                <w:rFonts w:ascii="Arial" w:cs="Arial" w:eastAsia="Arial" w:hAnsi="Arial"/>
                <w:sz w:val="16"/>
                <w:szCs w:val="16"/>
                <w:color w:val="auto"/>
              </w:rPr>
              <w:t>Sundry, net</w:t>
            </w:r>
          </w:p>
        </w:tc>
        <w:tc>
          <w:tcPr>
            <w:tcW w:w="96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w:t>
            </w:r>
          </w:p>
        </w:tc>
        <w:tc>
          <w:tcPr>
            <w:tcW w:w="110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r>
      <w:tr>
        <w:trPr>
          <w:trHeight w:val="217"/>
        </w:trPr>
        <w:tc>
          <w:tcPr>
            <w:tcW w:w="8320" w:type="dxa"/>
            <w:vAlign w:val="bottom"/>
            <w:tcBorders>
              <w:bottom w:val="single" w:sz="8" w:color="auto"/>
            </w:tcBorders>
            <w:shd w:val="clear" w:color="auto" w:fill="D4F1F5"/>
          </w:tcPr>
          <w:p>
            <w:pPr>
              <w:ind w:left="140"/>
              <w:spacing w:after="0"/>
              <w:rPr>
                <w:sz w:val="20"/>
                <w:szCs w:val="20"/>
                <w:color w:val="auto"/>
              </w:rPr>
            </w:pPr>
            <w:r>
              <w:rPr>
                <w:rFonts w:ascii="Arial" w:cs="Arial" w:eastAsia="Arial" w:hAnsi="Arial"/>
                <w:sz w:val="16"/>
                <w:szCs w:val="16"/>
                <w:color w:val="auto"/>
              </w:rPr>
              <w:t>Total</w:t>
            </w:r>
          </w:p>
        </w:tc>
        <w:tc>
          <w:tcPr>
            <w:tcW w:w="960" w:type="dxa"/>
            <w:vAlign w:val="bottom"/>
            <w:tcBorders>
              <w:bottom w:val="single" w:sz="8" w:color="auto"/>
            </w:tcBorders>
            <w:shd w:val="clear" w:color="auto" w:fill="D4F1F5"/>
          </w:tcPr>
          <w:p>
            <w:pPr>
              <w:jc w:val="right"/>
              <w:ind w:right="781"/>
              <w:spacing w:after="0"/>
              <w:rPr>
                <w:sz w:val="20"/>
                <w:szCs w:val="20"/>
                <w:color w:val="auto"/>
              </w:rPr>
            </w:pPr>
            <w:r>
              <w:rPr>
                <w:rFonts w:ascii="Arial" w:cs="Arial" w:eastAsia="Arial" w:hAnsi="Arial"/>
                <w:sz w:val="16"/>
                <w:szCs w:val="16"/>
                <w:color w:val="auto"/>
                <w:w w:val="89"/>
              </w:rPr>
              <w:t>$</w:t>
            </w:r>
          </w:p>
        </w:tc>
        <w:tc>
          <w:tcPr>
            <w:tcW w:w="500" w:type="dxa"/>
            <w:vAlign w:val="bottom"/>
            <w:tcBorders>
              <w:bottom w:val="single" w:sz="8" w:color="auto"/>
            </w:tcBorders>
            <w:shd w:val="clear" w:color="auto" w:fill="D4F1F5"/>
          </w:tcPr>
          <w:p>
            <w:pPr>
              <w:jc w:val="right"/>
              <w:ind w:right="39"/>
              <w:spacing w:after="0"/>
              <w:rPr>
                <w:sz w:val="20"/>
                <w:szCs w:val="20"/>
                <w:color w:val="auto"/>
              </w:rPr>
            </w:pPr>
            <w:r>
              <w:rPr>
                <w:rFonts w:ascii="Arial" w:cs="Arial" w:eastAsia="Arial" w:hAnsi="Arial"/>
                <w:sz w:val="16"/>
                <w:szCs w:val="16"/>
                <w:color w:val="auto"/>
              </w:rPr>
              <w:t>38</w:t>
            </w:r>
          </w:p>
        </w:tc>
        <w:tc>
          <w:tcPr>
            <w:tcW w:w="1100" w:type="dxa"/>
            <w:vAlign w:val="bottom"/>
            <w:tcBorders>
              <w:bottom w:val="single" w:sz="8" w:color="auto"/>
            </w:tcBorders>
            <w:shd w:val="clear" w:color="auto" w:fill="D4F1F5"/>
          </w:tcPr>
          <w:p>
            <w:pPr>
              <w:jc w:val="right"/>
              <w:ind w:right="860"/>
              <w:spacing w:after="0"/>
              <w:rPr>
                <w:sz w:val="20"/>
                <w:szCs w:val="20"/>
                <w:color w:val="auto"/>
              </w:rPr>
            </w:pPr>
            <w:r>
              <w:rPr>
                <w:rFonts w:ascii="Arial" w:cs="Arial" w:eastAsia="Arial" w:hAnsi="Arial"/>
                <w:sz w:val="16"/>
                <w:szCs w:val="16"/>
                <w:color w:val="auto"/>
              </w:rPr>
              <w:t>$</w:t>
            </w:r>
          </w:p>
        </w:tc>
        <w:tc>
          <w:tcPr>
            <w:tcW w:w="360" w:type="dxa"/>
            <w:vAlign w:val="bottom"/>
            <w:tcBorders>
              <w:bottom w:val="single" w:sz="8" w:color="auto"/>
            </w:tcBorders>
            <w:shd w:val="clear" w:color="auto" w:fill="D4F1F5"/>
          </w:tcPr>
          <w:p>
            <w:pPr>
              <w:jc w:val="right"/>
              <w:spacing w:after="0"/>
              <w:rPr>
                <w:sz w:val="20"/>
                <w:szCs w:val="20"/>
                <w:color w:val="auto"/>
              </w:rPr>
            </w:pPr>
            <w:r>
              <w:rPr>
                <w:rFonts w:ascii="Arial" w:cs="Arial" w:eastAsia="Arial" w:hAnsi="Arial"/>
                <w:sz w:val="16"/>
                <w:szCs w:val="16"/>
                <w:color w:val="auto"/>
              </w:rPr>
              <w:t>40</w:t>
            </w:r>
          </w:p>
        </w:tc>
      </w:tr>
      <w:tr>
        <w:trPr>
          <w:trHeight w:val="216"/>
        </w:trPr>
        <w:tc>
          <w:tcPr>
            <w:tcW w:w="8320" w:type="dxa"/>
            <w:vAlign w:val="bottom"/>
          </w:tcPr>
          <w:p>
            <w:pPr>
              <w:ind w:left="20"/>
              <w:spacing w:after="0"/>
              <w:rPr>
                <w:sz w:val="20"/>
                <w:szCs w:val="20"/>
                <w:color w:val="auto"/>
              </w:rPr>
            </w:pPr>
            <w:r>
              <w:rPr>
                <w:rFonts w:ascii="Arial" w:cs="Arial" w:eastAsia="Arial" w:hAnsi="Arial"/>
                <w:sz w:val="16"/>
                <w:szCs w:val="16"/>
                <w:b w:val="1"/>
                <w:bCs w:val="1"/>
                <w:color w:val="auto"/>
              </w:rPr>
              <w:t>SoCalGas:</w:t>
            </w:r>
          </w:p>
        </w:tc>
        <w:tc>
          <w:tcPr>
            <w:tcW w:w="9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60" w:type="dxa"/>
            <w:vAlign w:val="bottom"/>
          </w:tcPr>
          <w:p>
            <w:pPr>
              <w:spacing w:after="0"/>
              <w:rPr>
                <w:sz w:val="18"/>
                <w:szCs w:val="18"/>
                <w:color w:val="auto"/>
              </w:rPr>
            </w:pPr>
          </w:p>
        </w:tc>
      </w:tr>
      <w:tr>
        <w:trPr>
          <w:trHeight w:val="216"/>
        </w:trPr>
        <w:tc>
          <w:tcPr>
            <w:tcW w:w="8320" w:type="dxa"/>
            <w:vAlign w:val="bottom"/>
            <w:shd w:val="clear" w:color="auto" w:fill="D4F1F5"/>
          </w:tcPr>
          <w:p>
            <w:pPr>
              <w:ind w:left="20"/>
              <w:spacing w:after="0"/>
              <w:rPr>
                <w:sz w:val="20"/>
                <w:szCs w:val="20"/>
                <w:color w:val="auto"/>
              </w:rPr>
            </w:pPr>
            <w:r>
              <w:rPr>
                <w:rFonts w:ascii="Arial" w:cs="Arial" w:eastAsia="Arial" w:hAnsi="Arial"/>
                <w:sz w:val="16"/>
                <w:szCs w:val="16"/>
                <w:color w:val="auto"/>
              </w:rPr>
              <w:t>Allowance for equity funds used during construction</w:t>
            </w:r>
          </w:p>
        </w:tc>
        <w:tc>
          <w:tcPr>
            <w:tcW w:w="960" w:type="dxa"/>
            <w:vAlign w:val="bottom"/>
            <w:shd w:val="clear" w:color="auto" w:fill="D4F1F5"/>
          </w:tcPr>
          <w:p>
            <w:pPr>
              <w:jc w:val="right"/>
              <w:ind w:right="781"/>
              <w:spacing w:after="0"/>
              <w:rPr>
                <w:sz w:val="20"/>
                <w:szCs w:val="20"/>
                <w:color w:val="auto"/>
              </w:rPr>
            </w:pPr>
            <w:r>
              <w:rPr>
                <w:rFonts w:ascii="Arial" w:cs="Arial" w:eastAsia="Arial" w:hAnsi="Arial"/>
                <w:sz w:val="16"/>
                <w:szCs w:val="16"/>
                <w:color w:val="auto"/>
                <w:w w:val="89"/>
              </w:rPr>
              <w:t>$</w:t>
            </w:r>
          </w:p>
        </w:tc>
        <w:tc>
          <w:tcPr>
            <w:tcW w:w="500" w:type="dxa"/>
            <w:vAlign w:val="bottom"/>
            <w:shd w:val="clear" w:color="auto" w:fill="D4F1F5"/>
          </w:tcPr>
          <w:p>
            <w:pPr>
              <w:jc w:val="right"/>
              <w:ind w:right="39"/>
              <w:spacing w:after="0"/>
              <w:rPr>
                <w:sz w:val="20"/>
                <w:szCs w:val="20"/>
                <w:color w:val="auto"/>
              </w:rPr>
            </w:pPr>
            <w:r>
              <w:rPr>
                <w:rFonts w:ascii="Arial" w:cs="Arial" w:eastAsia="Arial" w:hAnsi="Arial"/>
                <w:sz w:val="16"/>
                <w:szCs w:val="16"/>
                <w:color w:val="auto"/>
              </w:rPr>
              <w:t>15</w:t>
            </w:r>
          </w:p>
        </w:tc>
        <w:tc>
          <w:tcPr>
            <w:tcW w:w="1100" w:type="dxa"/>
            <w:vAlign w:val="bottom"/>
            <w:shd w:val="clear" w:color="auto" w:fill="D4F1F5"/>
          </w:tcPr>
          <w:p>
            <w:pPr>
              <w:jc w:val="right"/>
              <w:ind w:right="860"/>
              <w:spacing w:after="0"/>
              <w:rPr>
                <w:sz w:val="20"/>
                <w:szCs w:val="20"/>
                <w:color w:val="auto"/>
              </w:rPr>
            </w:pPr>
            <w:r>
              <w:rPr>
                <w:rFonts w:ascii="Arial" w:cs="Arial" w:eastAsia="Arial" w:hAnsi="Arial"/>
                <w:sz w:val="16"/>
                <w:szCs w:val="16"/>
                <w:color w:val="auto"/>
              </w:rPr>
              <w:t>$</w:t>
            </w:r>
          </w:p>
        </w:tc>
        <w:tc>
          <w:tcPr>
            <w:tcW w:w="360" w:type="dxa"/>
            <w:vAlign w:val="bottom"/>
            <w:shd w:val="clear" w:color="auto" w:fill="D4F1F5"/>
          </w:tcPr>
          <w:p>
            <w:pPr>
              <w:jc w:val="right"/>
              <w:spacing w:after="0"/>
              <w:rPr>
                <w:sz w:val="20"/>
                <w:szCs w:val="20"/>
                <w:color w:val="auto"/>
              </w:rPr>
            </w:pPr>
            <w:r>
              <w:rPr>
                <w:rFonts w:ascii="Arial" w:cs="Arial" w:eastAsia="Arial" w:hAnsi="Arial"/>
                <w:sz w:val="16"/>
                <w:szCs w:val="16"/>
                <w:color w:val="auto"/>
              </w:rPr>
              <w:t>18</w:t>
            </w:r>
          </w:p>
        </w:tc>
      </w:tr>
      <w:tr>
        <w:trPr>
          <w:trHeight w:val="215"/>
        </w:trPr>
        <w:tc>
          <w:tcPr>
            <w:tcW w:w="8320" w:type="dxa"/>
            <w:vAlign w:val="bottom"/>
          </w:tcPr>
          <w:p>
            <w:pPr>
              <w:ind w:left="20"/>
              <w:spacing w:after="0"/>
              <w:rPr>
                <w:sz w:val="20"/>
                <w:szCs w:val="20"/>
                <w:color w:val="auto"/>
              </w:rPr>
            </w:pPr>
            <w:r>
              <w:rPr>
                <w:rFonts w:ascii="Arial" w:cs="Arial" w:eastAsia="Arial" w:hAnsi="Arial"/>
                <w:sz w:val="16"/>
                <w:szCs w:val="16"/>
                <w:color w:val="auto"/>
              </w:rPr>
              <w:t>Non-service components of net periodic benefit cost</w:t>
            </w:r>
          </w:p>
        </w:tc>
        <w:tc>
          <w:tcPr>
            <w:tcW w:w="960" w:type="dxa"/>
            <w:vAlign w:val="bottom"/>
          </w:tcPr>
          <w:p>
            <w:pPr>
              <w:spacing w:after="0"/>
              <w:rPr>
                <w:sz w:val="18"/>
                <w:szCs w:val="18"/>
                <w:color w:val="auto"/>
              </w:rPr>
            </w:pPr>
          </w:p>
        </w:tc>
        <w:tc>
          <w:tcPr>
            <w:tcW w:w="500" w:type="dxa"/>
            <w:vAlign w:val="bottom"/>
          </w:tcPr>
          <w:p>
            <w:pPr>
              <w:jc w:val="right"/>
              <w:ind w:right="39"/>
              <w:spacing w:after="0"/>
              <w:rPr>
                <w:sz w:val="20"/>
                <w:szCs w:val="20"/>
                <w:color w:val="auto"/>
              </w:rPr>
            </w:pPr>
            <w:r>
              <w:rPr>
                <w:rFonts w:ascii="Arial" w:cs="Arial" w:eastAsia="Arial" w:hAnsi="Arial"/>
                <w:sz w:val="16"/>
                <w:szCs w:val="16"/>
                <w:color w:val="auto"/>
              </w:rPr>
              <w:t>21</w:t>
            </w:r>
          </w:p>
        </w:tc>
        <w:tc>
          <w:tcPr>
            <w:tcW w:w="110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6"/>
                <w:szCs w:val="16"/>
                <w:color w:val="auto"/>
              </w:rPr>
              <w:t>17</w:t>
            </w:r>
          </w:p>
        </w:tc>
      </w:tr>
      <w:tr>
        <w:trPr>
          <w:trHeight w:val="217"/>
        </w:trPr>
        <w:tc>
          <w:tcPr>
            <w:tcW w:w="8320" w:type="dxa"/>
            <w:vAlign w:val="bottom"/>
            <w:shd w:val="clear" w:color="auto" w:fill="D4F1F5"/>
          </w:tcPr>
          <w:p>
            <w:pPr>
              <w:ind w:left="20"/>
              <w:spacing w:after="0"/>
              <w:rPr>
                <w:sz w:val="20"/>
                <w:szCs w:val="20"/>
                <w:color w:val="auto"/>
              </w:rPr>
            </w:pPr>
            <w:r>
              <w:rPr>
                <w:rFonts w:ascii="Arial" w:cs="Arial" w:eastAsia="Arial" w:hAnsi="Arial"/>
                <w:sz w:val="16"/>
                <w:szCs w:val="16"/>
                <w:color w:val="auto"/>
              </w:rPr>
              <w:t>Interest on regulatory balancing accounts, net</w:t>
            </w:r>
          </w:p>
        </w:tc>
        <w:tc>
          <w:tcPr>
            <w:tcW w:w="960" w:type="dxa"/>
            <w:vAlign w:val="bottom"/>
            <w:shd w:val="clear" w:color="auto" w:fill="D4F1F5"/>
          </w:tcPr>
          <w:p>
            <w:pPr>
              <w:spacing w:after="0"/>
              <w:rPr>
                <w:sz w:val="18"/>
                <w:szCs w:val="18"/>
                <w:color w:val="auto"/>
              </w:rPr>
            </w:pPr>
          </w:p>
        </w:tc>
        <w:tc>
          <w:tcPr>
            <w:tcW w:w="500" w:type="dxa"/>
            <w:vAlign w:val="bottom"/>
            <w:shd w:val="clear" w:color="auto" w:fill="D4F1F5"/>
          </w:tcPr>
          <w:p>
            <w:pPr>
              <w:jc w:val="right"/>
              <w:ind w:right="39"/>
              <w:spacing w:after="0"/>
              <w:rPr>
                <w:sz w:val="20"/>
                <w:szCs w:val="20"/>
                <w:color w:val="auto"/>
              </w:rPr>
            </w:pPr>
            <w:r>
              <w:rPr>
                <w:rFonts w:ascii="Arial" w:cs="Arial" w:eastAsia="Arial" w:hAnsi="Arial"/>
                <w:sz w:val="16"/>
                <w:szCs w:val="16"/>
                <w:color w:val="auto"/>
              </w:rPr>
              <w:t>7</w:t>
            </w:r>
          </w:p>
        </w:tc>
        <w:tc>
          <w:tcPr>
            <w:tcW w:w="1100" w:type="dxa"/>
            <w:vAlign w:val="bottom"/>
            <w:shd w:val="clear" w:color="auto" w:fill="D4F1F5"/>
          </w:tcPr>
          <w:p>
            <w:pPr>
              <w:spacing w:after="0"/>
              <w:rPr>
                <w:sz w:val="18"/>
                <w:szCs w:val="18"/>
                <w:color w:val="auto"/>
              </w:rPr>
            </w:pPr>
          </w:p>
        </w:tc>
        <w:tc>
          <w:tcPr>
            <w:tcW w:w="360" w:type="dxa"/>
            <w:vAlign w:val="bottom"/>
            <w:shd w:val="clear" w:color="auto" w:fill="D4F1F5"/>
          </w:tcPr>
          <w:p>
            <w:pPr>
              <w:jc w:val="right"/>
              <w:spacing w:after="0"/>
              <w:rPr>
                <w:sz w:val="20"/>
                <w:szCs w:val="20"/>
                <w:color w:val="auto"/>
              </w:rPr>
            </w:pPr>
            <w:r>
              <w:rPr>
                <w:rFonts w:ascii="Arial" w:cs="Arial" w:eastAsia="Arial" w:hAnsi="Arial"/>
                <w:sz w:val="16"/>
                <w:szCs w:val="16"/>
                <w:color w:val="auto"/>
              </w:rPr>
              <w:t>10</w:t>
            </w:r>
          </w:p>
        </w:tc>
      </w:tr>
      <w:tr>
        <w:trPr>
          <w:trHeight w:val="215"/>
        </w:trPr>
        <w:tc>
          <w:tcPr>
            <w:tcW w:w="8320" w:type="dxa"/>
            <w:vAlign w:val="bottom"/>
            <w:tcBorders>
              <w:bottom w:val="single" w:sz="8" w:color="D4F1F5"/>
            </w:tcBorders>
          </w:tcPr>
          <w:p>
            <w:pPr>
              <w:ind w:left="20"/>
              <w:spacing w:after="0"/>
              <w:rPr>
                <w:sz w:val="20"/>
                <w:szCs w:val="20"/>
                <w:color w:val="auto"/>
              </w:rPr>
            </w:pPr>
            <w:r>
              <w:rPr>
                <w:rFonts w:ascii="Arial" w:cs="Arial" w:eastAsia="Arial" w:hAnsi="Arial"/>
                <w:sz w:val="16"/>
                <w:szCs w:val="16"/>
                <w:color w:val="auto"/>
              </w:rPr>
              <w:t>Sundry, net</w:t>
            </w:r>
          </w:p>
        </w:tc>
        <w:tc>
          <w:tcPr>
            <w:tcW w:w="96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w:t>
            </w:r>
          </w:p>
        </w:tc>
      </w:tr>
      <w:tr>
        <w:trPr>
          <w:trHeight w:val="217"/>
        </w:trPr>
        <w:tc>
          <w:tcPr>
            <w:tcW w:w="8320" w:type="dxa"/>
            <w:vAlign w:val="bottom"/>
            <w:tcBorders>
              <w:bottom w:val="single" w:sz="8" w:color="auto"/>
            </w:tcBorders>
            <w:shd w:val="clear" w:color="auto" w:fill="D4F1F5"/>
          </w:tcPr>
          <w:p>
            <w:pPr>
              <w:ind w:left="140"/>
              <w:spacing w:after="0"/>
              <w:rPr>
                <w:sz w:val="20"/>
                <w:szCs w:val="20"/>
                <w:color w:val="auto"/>
              </w:rPr>
            </w:pPr>
            <w:r>
              <w:rPr>
                <w:rFonts w:ascii="Arial" w:cs="Arial" w:eastAsia="Arial" w:hAnsi="Arial"/>
                <w:sz w:val="16"/>
                <w:szCs w:val="16"/>
                <w:color w:val="auto"/>
              </w:rPr>
              <w:t>Total</w:t>
            </w:r>
          </w:p>
        </w:tc>
        <w:tc>
          <w:tcPr>
            <w:tcW w:w="960" w:type="dxa"/>
            <w:vAlign w:val="bottom"/>
            <w:tcBorders>
              <w:bottom w:val="single" w:sz="8" w:color="auto"/>
            </w:tcBorders>
            <w:shd w:val="clear" w:color="auto" w:fill="D4F1F5"/>
          </w:tcPr>
          <w:p>
            <w:pPr>
              <w:jc w:val="right"/>
              <w:ind w:right="781"/>
              <w:spacing w:after="0"/>
              <w:rPr>
                <w:sz w:val="20"/>
                <w:szCs w:val="20"/>
                <w:color w:val="auto"/>
              </w:rPr>
            </w:pPr>
            <w:r>
              <w:rPr>
                <w:rFonts w:ascii="Arial" w:cs="Arial" w:eastAsia="Arial" w:hAnsi="Arial"/>
                <w:sz w:val="16"/>
                <w:szCs w:val="16"/>
                <w:color w:val="auto"/>
                <w:w w:val="89"/>
              </w:rPr>
              <w:t>$</w:t>
            </w:r>
          </w:p>
        </w:tc>
        <w:tc>
          <w:tcPr>
            <w:tcW w:w="500" w:type="dxa"/>
            <w:vAlign w:val="bottom"/>
            <w:tcBorders>
              <w:bottom w:val="single" w:sz="8" w:color="auto"/>
            </w:tcBorders>
            <w:shd w:val="clear" w:color="auto" w:fill="D4F1F5"/>
          </w:tcPr>
          <w:p>
            <w:pPr>
              <w:jc w:val="right"/>
              <w:ind w:right="39"/>
              <w:spacing w:after="0"/>
              <w:rPr>
                <w:sz w:val="20"/>
                <w:szCs w:val="20"/>
                <w:color w:val="auto"/>
              </w:rPr>
            </w:pPr>
            <w:r>
              <w:rPr>
                <w:rFonts w:ascii="Arial" w:cs="Arial" w:eastAsia="Arial" w:hAnsi="Arial"/>
                <w:sz w:val="16"/>
                <w:szCs w:val="16"/>
                <w:color w:val="auto"/>
              </w:rPr>
              <w:t>43</w:t>
            </w:r>
          </w:p>
        </w:tc>
        <w:tc>
          <w:tcPr>
            <w:tcW w:w="1100" w:type="dxa"/>
            <w:vAlign w:val="bottom"/>
            <w:tcBorders>
              <w:bottom w:val="single" w:sz="8" w:color="auto"/>
            </w:tcBorders>
            <w:shd w:val="clear" w:color="auto" w:fill="D4F1F5"/>
          </w:tcPr>
          <w:p>
            <w:pPr>
              <w:jc w:val="right"/>
              <w:ind w:right="860"/>
              <w:spacing w:after="0"/>
              <w:rPr>
                <w:sz w:val="20"/>
                <w:szCs w:val="20"/>
                <w:color w:val="auto"/>
              </w:rPr>
            </w:pPr>
            <w:r>
              <w:rPr>
                <w:rFonts w:ascii="Arial" w:cs="Arial" w:eastAsia="Arial" w:hAnsi="Arial"/>
                <w:sz w:val="16"/>
                <w:szCs w:val="16"/>
                <w:color w:val="auto"/>
              </w:rPr>
              <w:t>$</w:t>
            </w:r>
          </w:p>
        </w:tc>
        <w:tc>
          <w:tcPr>
            <w:tcW w:w="360" w:type="dxa"/>
            <w:vAlign w:val="bottom"/>
            <w:tcBorders>
              <w:bottom w:val="single" w:sz="8" w:color="auto"/>
            </w:tcBorders>
            <w:shd w:val="clear" w:color="auto" w:fill="D4F1F5"/>
          </w:tcPr>
          <w:p>
            <w:pPr>
              <w:jc w:val="right"/>
              <w:spacing w:after="0"/>
              <w:rPr>
                <w:sz w:val="20"/>
                <w:szCs w:val="20"/>
                <w:color w:val="auto"/>
              </w:rPr>
            </w:pPr>
            <w:r>
              <w:rPr>
                <w:rFonts w:ascii="Arial" w:cs="Arial" w:eastAsia="Arial" w:hAnsi="Arial"/>
                <w:sz w:val="16"/>
                <w:szCs w:val="16"/>
                <w:color w:val="auto"/>
              </w:rPr>
              <w:t>42</w:t>
            </w:r>
          </w:p>
        </w:tc>
      </w:tr>
    </w:tbl>
    <w:p>
      <w:pPr>
        <w:spacing w:after="0" w:line="141" w:lineRule="exact"/>
        <w:rPr>
          <w:sz w:val="20"/>
          <w:szCs w:val="20"/>
          <w:color w:val="auto"/>
        </w:rPr>
      </w:pPr>
    </w:p>
    <w:p>
      <w:pPr>
        <w:ind w:left="340" w:right="500" w:hanging="332"/>
        <w:spacing w:after="0" w:line="208" w:lineRule="auto"/>
        <w:tabs>
          <w:tab w:leader="none" w:pos="304" w:val="left"/>
        </w:tabs>
        <w:numPr>
          <w:ilvl w:val="0"/>
          <w:numId w:val="13"/>
        </w:numPr>
        <w:rPr>
          <w:rFonts w:ascii="Arial" w:cs="Arial" w:eastAsia="Arial" w:hAnsi="Arial"/>
          <w:sz w:val="21"/>
          <w:szCs w:val="21"/>
          <w:i w:val="1"/>
          <w:iCs w:val="1"/>
          <w:color w:val="auto"/>
          <w:vertAlign w:val="superscript"/>
        </w:rPr>
      </w:pPr>
      <w:r>
        <w:rPr>
          <w:rFonts w:ascii="Arial" w:cs="Arial" w:eastAsia="Arial" w:hAnsi="Arial"/>
          <w:sz w:val="14"/>
          <w:szCs w:val="14"/>
          <w:i w:val="1"/>
          <w:iCs w:val="1"/>
          <w:color w:val="auto"/>
        </w:rPr>
        <w:t>Represents net investment gains (losses) on dedicated assets in support of our executive retirement and deferred compensation plans. These amounts are offset by corresponding changes in compensation expense related to the plans, recorded in O&amp;M on the Condensed Consolidated Statements of Operations.</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150495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103505</wp:posOffset>
            </wp:positionV>
            <wp:extent cx="7132320" cy="3003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300355"/>
                    </a:xfrm>
                    <a:prstGeom prst="rect">
                      <a:avLst/>
                    </a:prstGeom>
                    <a:noFill/>
                  </pic:spPr>
                </pic:pic>
              </a:graphicData>
            </a:graphic>
          </wp:anchor>
        </w:drawing>
      </w:r>
    </w:p>
    <w:p>
      <w:pPr>
        <w:spacing w:after="0" w:line="156"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FFFFFF"/>
        </w:rPr>
        <w:t>INCOME TAX EXPENSE (BENEFIT) AND EFFECTIVE INCOME TAX RATES</w:t>
      </w:r>
    </w:p>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8100" w:type="dxa"/>
            <w:vAlign w:val="bottom"/>
          </w:tcPr>
          <w:p>
            <w:pPr>
              <w:ind w:left="20"/>
              <w:spacing w:after="0"/>
              <w:rPr>
                <w:sz w:val="20"/>
                <w:szCs w:val="20"/>
                <w:color w:val="auto"/>
              </w:rPr>
            </w:pPr>
            <w:r>
              <w:rPr>
                <w:rFonts w:ascii="Arial" w:cs="Arial" w:eastAsia="Arial" w:hAnsi="Arial"/>
                <w:sz w:val="14"/>
                <w:szCs w:val="14"/>
                <w:i w:val="1"/>
                <w:iCs w:val="1"/>
                <w:color w:val="FFFFFF"/>
              </w:rPr>
              <w:t>(Dollars in millions)</w:t>
            </w:r>
          </w:p>
        </w:tc>
        <w:tc>
          <w:tcPr>
            <w:tcW w:w="9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520" w:type="dxa"/>
            <w:vAlign w:val="bottom"/>
          </w:tcPr>
          <w:p>
            <w:pPr>
              <w:spacing w:after="0"/>
              <w:rPr>
                <w:sz w:val="16"/>
                <w:szCs w:val="16"/>
                <w:color w:val="auto"/>
              </w:rPr>
            </w:pPr>
          </w:p>
        </w:tc>
      </w:tr>
      <w:tr>
        <w:trPr>
          <w:trHeight w:val="233"/>
        </w:trPr>
        <w:tc>
          <w:tcPr>
            <w:tcW w:w="8100" w:type="dxa"/>
            <w:vAlign w:val="bottom"/>
          </w:tcPr>
          <w:p>
            <w:pPr>
              <w:spacing w:after="0"/>
              <w:rPr>
                <w:sz w:val="20"/>
                <w:szCs w:val="20"/>
                <w:color w:val="auto"/>
              </w:rPr>
            </w:pPr>
          </w:p>
        </w:tc>
        <w:tc>
          <w:tcPr>
            <w:tcW w:w="26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color w:val="auto"/>
              </w:rPr>
              <w:t>Three months ended March 31,</w:t>
            </w:r>
          </w:p>
        </w:tc>
        <w:tc>
          <w:tcPr>
            <w:tcW w:w="520" w:type="dxa"/>
            <w:vAlign w:val="bottom"/>
            <w:tcBorders>
              <w:bottom w:val="single" w:sz="8" w:color="auto"/>
            </w:tcBorders>
          </w:tcPr>
          <w:p>
            <w:pPr>
              <w:spacing w:after="0"/>
              <w:rPr>
                <w:sz w:val="20"/>
                <w:szCs w:val="20"/>
                <w:color w:val="auto"/>
              </w:rPr>
            </w:pPr>
          </w:p>
        </w:tc>
      </w:tr>
      <w:tr>
        <w:trPr>
          <w:trHeight w:val="210"/>
        </w:trPr>
        <w:tc>
          <w:tcPr>
            <w:tcW w:w="81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2026</w:t>
            </w:r>
          </w:p>
        </w:tc>
        <w:tc>
          <w:tcPr>
            <w:tcW w:w="5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2025</w:t>
            </w:r>
          </w:p>
        </w:tc>
        <w:tc>
          <w:tcPr>
            <w:tcW w:w="520" w:type="dxa"/>
            <w:vAlign w:val="bottom"/>
            <w:tcBorders>
              <w:bottom w:val="single" w:sz="8" w:color="auto"/>
            </w:tcBorders>
          </w:tcPr>
          <w:p>
            <w:pPr>
              <w:spacing w:after="0"/>
              <w:rPr>
                <w:sz w:val="18"/>
                <w:szCs w:val="18"/>
                <w:color w:val="auto"/>
              </w:rPr>
            </w:pPr>
          </w:p>
        </w:tc>
      </w:tr>
      <w:tr>
        <w:trPr>
          <w:trHeight w:val="213"/>
        </w:trPr>
        <w:tc>
          <w:tcPr>
            <w:tcW w:w="8100" w:type="dxa"/>
            <w:vAlign w:val="bottom"/>
            <w:shd w:val="clear" w:color="auto" w:fill="D4F1F5"/>
          </w:tcPr>
          <w:p>
            <w:pPr>
              <w:ind w:left="20"/>
              <w:spacing w:after="0"/>
              <w:rPr>
                <w:sz w:val="20"/>
                <w:szCs w:val="20"/>
                <w:color w:val="auto"/>
              </w:rPr>
            </w:pPr>
            <w:r>
              <w:rPr>
                <w:rFonts w:ascii="Arial" w:cs="Arial" w:eastAsia="Arial" w:hAnsi="Arial"/>
                <w:sz w:val="16"/>
                <w:szCs w:val="16"/>
                <w:b w:val="1"/>
                <w:bCs w:val="1"/>
                <w:color w:val="auto"/>
              </w:rPr>
              <w:t>Sempra:</w:t>
            </w:r>
          </w:p>
        </w:tc>
        <w:tc>
          <w:tcPr>
            <w:tcW w:w="980" w:type="dxa"/>
            <w:vAlign w:val="bottom"/>
            <w:shd w:val="clear" w:color="auto" w:fill="D4F1F5"/>
          </w:tcPr>
          <w:p>
            <w:pPr>
              <w:spacing w:after="0"/>
              <w:rPr>
                <w:sz w:val="18"/>
                <w:szCs w:val="18"/>
                <w:color w:val="auto"/>
              </w:rPr>
            </w:pPr>
          </w:p>
        </w:tc>
        <w:tc>
          <w:tcPr>
            <w:tcW w:w="580" w:type="dxa"/>
            <w:vAlign w:val="bottom"/>
            <w:shd w:val="clear" w:color="auto" w:fill="D4F1F5"/>
          </w:tcPr>
          <w:p>
            <w:pPr>
              <w:spacing w:after="0"/>
              <w:rPr>
                <w:sz w:val="18"/>
                <w:szCs w:val="18"/>
                <w:color w:val="auto"/>
              </w:rPr>
            </w:pPr>
          </w:p>
        </w:tc>
        <w:tc>
          <w:tcPr>
            <w:tcW w:w="1060" w:type="dxa"/>
            <w:vAlign w:val="bottom"/>
            <w:shd w:val="clear" w:color="auto" w:fill="D4F1F5"/>
          </w:tcPr>
          <w:p>
            <w:pPr>
              <w:spacing w:after="0"/>
              <w:rPr>
                <w:sz w:val="18"/>
                <w:szCs w:val="18"/>
                <w:color w:val="auto"/>
              </w:rPr>
            </w:pPr>
          </w:p>
        </w:tc>
        <w:tc>
          <w:tcPr>
            <w:tcW w:w="520" w:type="dxa"/>
            <w:vAlign w:val="bottom"/>
            <w:shd w:val="clear" w:color="auto" w:fill="D4F1F5"/>
          </w:tcPr>
          <w:p>
            <w:pPr>
              <w:spacing w:after="0"/>
              <w:rPr>
                <w:sz w:val="18"/>
                <w:szCs w:val="18"/>
                <w:color w:val="auto"/>
              </w:rPr>
            </w:pPr>
          </w:p>
        </w:tc>
      </w:tr>
      <w:tr>
        <w:trPr>
          <w:trHeight w:val="223"/>
        </w:trPr>
        <w:tc>
          <w:tcPr>
            <w:tcW w:w="8100" w:type="dxa"/>
            <w:vAlign w:val="bottom"/>
            <w:tcBorders>
              <w:bottom w:val="single" w:sz="8" w:color="D4F1F5"/>
            </w:tcBorders>
          </w:tcPr>
          <w:p>
            <w:pPr>
              <w:ind w:left="20"/>
              <w:spacing w:after="0"/>
              <w:rPr>
                <w:sz w:val="20"/>
                <w:szCs w:val="20"/>
                <w:color w:val="auto"/>
              </w:rPr>
            </w:pPr>
            <w:r>
              <w:rPr>
                <w:rFonts w:ascii="Arial" w:cs="Arial" w:eastAsia="Arial" w:hAnsi="Arial"/>
                <w:sz w:val="16"/>
                <w:szCs w:val="16"/>
                <w:color w:val="auto"/>
              </w:rPr>
              <w:t>Income tax expense</w:t>
            </w:r>
          </w:p>
        </w:tc>
        <w:tc>
          <w:tcPr>
            <w:tcW w:w="980" w:type="dxa"/>
            <w:vAlign w:val="bottom"/>
            <w:tcBorders>
              <w:bottom w:val="single" w:sz="8" w:color="auto"/>
            </w:tcBorders>
          </w:tcPr>
          <w:p>
            <w:pPr>
              <w:jc w:val="right"/>
              <w:ind w:right="801"/>
              <w:spacing w:after="0"/>
              <w:rPr>
                <w:sz w:val="20"/>
                <w:szCs w:val="20"/>
                <w:color w:val="auto"/>
              </w:rPr>
            </w:pPr>
            <w:r>
              <w:rPr>
                <w:rFonts w:ascii="Arial" w:cs="Arial" w:eastAsia="Arial" w:hAnsi="Arial"/>
                <w:sz w:val="16"/>
                <w:szCs w:val="16"/>
                <w:color w:val="auto"/>
                <w:w w:val="89"/>
              </w:rPr>
              <w:t>$</w:t>
            </w:r>
          </w:p>
        </w:tc>
        <w:tc>
          <w:tcPr>
            <w:tcW w:w="58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65</w:t>
            </w:r>
          </w:p>
        </w:tc>
        <w:tc>
          <w:tcPr>
            <w:tcW w:w="1060" w:type="dxa"/>
            <w:vAlign w:val="bottom"/>
            <w:tcBorders>
              <w:bottom w:val="single" w:sz="8" w:color="auto"/>
            </w:tcBorders>
          </w:tcPr>
          <w:p>
            <w:pPr>
              <w:jc w:val="right"/>
              <w:ind w:right="820"/>
              <w:spacing w:after="0"/>
              <w:rPr>
                <w:sz w:val="20"/>
                <w:szCs w:val="20"/>
                <w:color w:val="auto"/>
              </w:rPr>
            </w:pPr>
            <w:r>
              <w:rPr>
                <w:rFonts w:ascii="Arial" w:cs="Arial" w:eastAsia="Arial" w:hAnsi="Arial"/>
                <w:sz w:val="16"/>
                <w:szCs w:val="16"/>
                <w:color w:val="auto"/>
              </w:rPr>
              <w:t>$</w:t>
            </w:r>
          </w:p>
        </w:tc>
        <w:tc>
          <w:tcPr>
            <w:tcW w:w="5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57</w:t>
            </w:r>
          </w:p>
        </w:tc>
      </w:tr>
      <w:tr>
        <w:trPr>
          <w:trHeight w:val="203"/>
        </w:trPr>
        <w:tc>
          <w:tcPr>
            <w:tcW w:w="8100" w:type="dxa"/>
            <w:vAlign w:val="bottom"/>
            <w:shd w:val="clear" w:color="auto" w:fill="D4F1F5"/>
          </w:tcPr>
          <w:p>
            <w:pPr>
              <w:spacing w:after="0"/>
              <w:rPr>
                <w:sz w:val="17"/>
                <w:szCs w:val="17"/>
                <w:color w:val="auto"/>
              </w:rPr>
            </w:pPr>
          </w:p>
        </w:tc>
        <w:tc>
          <w:tcPr>
            <w:tcW w:w="980" w:type="dxa"/>
            <w:vAlign w:val="bottom"/>
            <w:shd w:val="clear" w:color="auto" w:fill="D4F1F5"/>
          </w:tcPr>
          <w:p>
            <w:pPr>
              <w:spacing w:after="0"/>
              <w:rPr>
                <w:sz w:val="17"/>
                <w:szCs w:val="17"/>
                <w:color w:val="auto"/>
              </w:rPr>
            </w:pPr>
          </w:p>
        </w:tc>
        <w:tc>
          <w:tcPr>
            <w:tcW w:w="580" w:type="dxa"/>
            <w:vAlign w:val="bottom"/>
            <w:shd w:val="clear" w:color="auto" w:fill="D4F1F5"/>
          </w:tcPr>
          <w:p>
            <w:pPr>
              <w:spacing w:after="0"/>
              <w:rPr>
                <w:sz w:val="17"/>
                <w:szCs w:val="17"/>
                <w:color w:val="auto"/>
              </w:rPr>
            </w:pPr>
          </w:p>
        </w:tc>
        <w:tc>
          <w:tcPr>
            <w:tcW w:w="1060" w:type="dxa"/>
            <w:vAlign w:val="bottom"/>
            <w:shd w:val="clear" w:color="auto" w:fill="D4F1F5"/>
          </w:tcPr>
          <w:p>
            <w:pPr>
              <w:spacing w:after="0"/>
              <w:rPr>
                <w:sz w:val="17"/>
                <w:szCs w:val="17"/>
                <w:color w:val="auto"/>
              </w:rPr>
            </w:pPr>
          </w:p>
        </w:tc>
        <w:tc>
          <w:tcPr>
            <w:tcW w:w="520" w:type="dxa"/>
            <w:vAlign w:val="bottom"/>
            <w:shd w:val="clear" w:color="auto" w:fill="D4F1F5"/>
          </w:tcPr>
          <w:p>
            <w:pPr>
              <w:spacing w:after="0"/>
              <w:rPr>
                <w:sz w:val="17"/>
                <w:szCs w:val="17"/>
                <w:color w:val="auto"/>
              </w:rPr>
            </w:pPr>
          </w:p>
        </w:tc>
      </w:tr>
      <w:tr>
        <w:trPr>
          <w:trHeight w:val="215"/>
        </w:trPr>
        <w:tc>
          <w:tcPr>
            <w:tcW w:w="8100" w:type="dxa"/>
            <w:vAlign w:val="bottom"/>
          </w:tcPr>
          <w:p>
            <w:pPr>
              <w:ind w:left="20"/>
              <w:spacing w:after="0"/>
              <w:rPr>
                <w:sz w:val="20"/>
                <w:szCs w:val="20"/>
                <w:color w:val="auto"/>
              </w:rPr>
            </w:pPr>
            <w:r>
              <w:rPr>
                <w:rFonts w:ascii="Arial" w:cs="Arial" w:eastAsia="Arial" w:hAnsi="Arial"/>
                <w:sz w:val="16"/>
                <w:szCs w:val="16"/>
                <w:color w:val="auto"/>
              </w:rPr>
              <w:t>Income before income taxes and equity earnings</w:t>
            </w:r>
          </w:p>
        </w:tc>
        <w:tc>
          <w:tcPr>
            <w:tcW w:w="980" w:type="dxa"/>
            <w:vAlign w:val="bottom"/>
          </w:tcPr>
          <w:p>
            <w:pPr>
              <w:jc w:val="right"/>
              <w:ind w:right="801"/>
              <w:spacing w:after="0"/>
              <w:rPr>
                <w:sz w:val="20"/>
                <w:szCs w:val="20"/>
                <w:color w:val="auto"/>
              </w:rPr>
            </w:pPr>
            <w:r>
              <w:rPr>
                <w:rFonts w:ascii="Arial" w:cs="Arial" w:eastAsia="Arial" w:hAnsi="Arial"/>
                <w:sz w:val="16"/>
                <w:szCs w:val="16"/>
                <w:color w:val="auto"/>
                <w:w w:val="89"/>
              </w:rPr>
              <w:t>$</w:t>
            </w:r>
          </w:p>
        </w:tc>
        <w:tc>
          <w:tcPr>
            <w:tcW w:w="580" w:type="dxa"/>
            <w:vAlign w:val="bottom"/>
          </w:tcPr>
          <w:p>
            <w:pPr>
              <w:jc w:val="right"/>
              <w:ind w:right="159"/>
              <w:spacing w:after="0"/>
              <w:rPr>
                <w:sz w:val="20"/>
                <w:szCs w:val="20"/>
                <w:color w:val="auto"/>
              </w:rPr>
            </w:pPr>
            <w:r>
              <w:rPr>
                <w:rFonts w:ascii="Arial" w:cs="Arial" w:eastAsia="Arial" w:hAnsi="Arial"/>
                <w:sz w:val="16"/>
                <w:szCs w:val="16"/>
                <w:color w:val="auto"/>
              </w:rPr>
              <w:t>848</w:t>
            </w:r>
          </w:p>
        </w:tc>
        <w:tc>
          <w:tcPr>
            <w:tcW w:w="1060" w:type="dxa"/>
            <w:vAlign w:val="bottom"/>
          </w:tcPr>
          <w:p>
            <w:pPr>
              <w:jc w:val="right"/>
              <w:ind w:right="820"/>
              <w:spacing w:after="0"/>
              <w:rPr>
                <w:sz w:val="20"/>
                <w:szCs w:val="20"/>
                <w:color w:val="auto"/>
              </w:rPr>
            </w:pPr>
            <w:r>
              <w:rPr>
                <w:rFonts w:ascii="Arial" w:cs="Arial" w:eastAsia="Arial" w:hAnsi="Arial"/>
                <w:sz w:val="16"/>
                <w:szCs w:val="16"/>
                <w:color w:val="auto"/>
              </w:rPr>
              <w:t>$</w:t>
            </w:r>
          </w:p>
        </w:tc>
        <w:tc>
          <w:tcPr>
            <w:tcW w:w="520" w:type="dxa"/>
            <w:vAlign w:val="bottom"/>
          </w:tcPr>
          <w:p>
            <w:pPr>
              <w:jc w:val="right"/>
              <w:ind w:right="119"/>
              <w:spacing w:after="0"/>
              <w:rPr>
                <w:sz w:val="20"/>
                <w:szCs w:val="20"/>
                <w:color w:val="auto"/>
              </w:rPr>
            </w:pPr>
            <w:r>
              <w:rPr>
                <w:rFonts w:ascii="Arial" w:cs="Arial" w:eastAsia="Arial" w:hAnsi="Arial"/>
                <w:sz w:val="16"/>
                <w:szCs w:val="16"/>
                <w:color w:val="auto"/>
              </w:rPr>
              <w:t>651</w:t>
            </w:r>
          </w:p>
        </w:tc>
      </w:tr>
      <w:tr>
        <w:trPr>
          <w:trHeight w:val="217"/>
        </w:trPr>
        <w:tc>
          <w:tcPr>
            <w:tcW w:w="8100" w:type="dxa"/>
            <w:vAlign w:val="bottom"/>
            <w:shd w:val="clear" w:color="auto" w:fill="D4F1F5"/>
          </w:tcPr>
          <w:p>
            <w:pPr>
              <w:ind w:left="20"/>
              <w:spacing w:after="0" w:line="217" w:lineRule="exact"/>
              <w:rPr>
                <w:sz w:val="20"/>
                <w:szCs w:val="20"/>
                <w:color w:val="auto"/>
              </w:rPr>
            </w:pPr>
            <w:r>
              <w:rPr>
                <w:rFonts w:ascii="Arial" w:cs="Arial" w:eastAsia="Arial" w:hAnsi="Arial"/>
                <w:sz w:val="16"/>
                <w:szCs w:val="16"/>
                <w:color w:val="auto"/>
              </w:rPr>
              <w:t>Equity earnings, before income tax</w:t>
            </w:r>
            <w:r>
              <w:rPr>
                <w:rFonts w:ascii="Arial" w:cs="Arial" w:eastAsia="Arial" w:hAnsi="Arial"/>
                <w:sz w:val="21"/>
                <w:szCs w:val="21"/>
                <w:color w:val="auto"/>
                <w:vertAlign w:val="superscript"/>
              </w:rPr>
              <w:t>(1)</w:t>
            </w:r>
          </w:p>
        </w:tc>
        <w:tc>
          <w:tcPr>
            <w:tcW w:w="980" w:type="dxa"/>
            <w:vAlign w:val="bottom"/>
            <w:tcBorders>
              <w:bottom w:val="single" w:sz="8" w:color="auto"/>
            </w:tcBorders>
            <w:shd w:val="clear" w:color="auto" w:fill="D4F1F5"/>
          </w:tcPr>
          <w:p>
            <w:pPr>
              <w:spacing w:after="0"/>
              <w:rPr>
                <w:sz w:val="18"/>
                <w:szCs w:val="18"/>
                <w:color w:val="auto"/>
              </w:rPr>
            </w:pPr>
          </w:p>
        </w:tc>
        <w:tc>
          <w:tcPr>
            <w:tcW w:w="580" w:type="dxa"/>
            <w:vAlign w:val="bottom"/>
            <w:tcBorders>
              <w:bottom w:val="single" w:sz="8" w:color="auto"/>
            </w:tcBorders>
            <w:shd w:val="clear" w:color="auto" w:fill="D4F1F5"/>
          </w:tcPr>
          <w:p>
            <w:pPr>
              <w:jc w:val="right"/>
              <w:ind w:right="159"/>
              <w:spacing w:after="0"/>
              <w:rPr>
                <w:sz w:val="20"/>
                <w:szCs w:val="20"/>
                <w:color w:val="auto"/>
              </w:rPr>
            </w:pPr>
            <w:r>
              <w:rPr>
                <w:rFonts w:ascii="Arial" w:cs="Arial" w:eastAsia="Arial" w:hAnsi="Arial"/>
                <w:sz w:val="16"/>
                <w:szCs w:val="16"/>
                <w:color w:val="auto"/>
              </w:rPr>
              <w:t>148</w:t>
            </w:r>
          </w:p>
        </w:tc>
        <w:tc>
          <w:tcPr>
            <w:tcW w:w="1060" w:type="dxa"/>
            <w:vAlign w:val="bottom"/>
            <w:tcBorders>
              <w:bottom w:val="single" w:sz="8" w:color="auto"/>
            </w:tcBorders>
            <w:shd w:val="clear" w:color="auto" w:fill="D4F1F5"/>
          </w:tcPr>
          <w:p>
            <w:pPr>
              <w:spacing w:after="0"/>
              <w:rPr>
                <w:sz w:val="18"/>
                <w:szCs w:val="18"/>
                <w:color w:val="auto"/>
              </w:rPr>
            </w:pPr>
          </w:p>
        </w:tc>
        <w:tc>
          <w:tcPr>
            <w:tcW w:w="520" w:type="dxa"/>
            <w:vAlign w:val="bottom"/>
            <w:tcBorders>
              <w:bottom w:val="single" w:sz="8" w:color="auto"/>
            </w:tcBorders>
            <w:shd w:val="clear" w:color="auto" w:fill="D4F1F5"/>
          </w:tcPr>
          <w:p>
            <w:pPr>
              <w:jc w:val="right"/>
              <w:ind w:right="119"/>
              <w:spacing w:after="0"/>
              <w:rPr>
                <w:sz w:val="20"/>
                <w:szCs w:val="20"/>
                <w:color w:val="auto"/>
              </w:rPr>
            </w:pPr>
            <w:r>
              <w:rPr>
                <w:rFonts w:ascii="Arial" w:cs="Arial" w:eastAsia="Arial" w:hAnsi="Arial"/>
                <w:sz w:val="16"/>
                <w:szCs w:val="16"/>
                <w:color w:val="auto"/>
              </w:rPr>
              <w:t>141</w:t>
            </w:r>
          </w:p>
        </w:tc>
      </w:tr>
      <w:tr>
        <w:trPr>
          <w:trHeight w:val="217"/>
        </w:trPr>
        <w:tc>
          <w:tcPr>
            <w:tcW w:w="8100" w:type="dxa"/>
            <w:vAlign w:val="bottom"/>
            <w:tcBorders>
              <w:bottom w:val="single" w:sz="8" w:color="D4F1F5"/>
            </w:tcBorders>
          </w:tcPr>
          <w:p>
            <w:pPr>
              <w:ind w:left="20"/>
              <w:spacing w:after="0"/>
              <w:rPr>
                <w:sz w:val="20"/>
                <w:szCs w:val="20"/>
                <w:color w:val="auto"/>
              </w:rPr>
            </w:pPr>
            <w:r>
              <w:rPr>
                <w:rFonts w:ascii="Arial" w:cs="Arial" w:eastAsia="Arial" w:hAnsi="Arial"/>
                <w:sz w:val="16"/>
                <w:szCs w:val="16"/>
                <w:color w:val="auto"/>
              </w:rPr>
              <w:t>Pretax income</w:t>
            </w:r>
          </w:p>
        </w:tc>
        <w:tc>
          <w:tcPr>
            <w:tcW w:w="980" w:type="dxa"/>
            <w:vAlign w:val="bottom"/>
            <w:tcBorders>
              <w:bottom w:val="single" w:sz="8" w:color="auto"/>
            </w:tcBorders>
          </w:tcPr>
          <w:p>
            <w:pPr>
              <w:jc w:val="right"/>
              <w:ind w:right="801"/>
              <w:spacing w:after="0"/>
              <w:rPr>
                <w:sz w:val="20"/>
                <w:szCs w:val="20"/>
                <w:color w:val="auto"/>
              </w:rPr>
            </w:pPr>
            <w:r>
              <w:rPr>
                <w:rFonts w:ascii="Arial" w:cs="Arial" w:eastAsia="Arial" w:hAnsi="Arial"/>
                <w:sz w:val="16"/>
                <w:szCs w:val="16"/>
                <w:color w:val="auto"/>
                <w:w w:val="89"/>
              </w:rPr>
              <w:t>$</w:t>
            </w:r>
          </w:p>
        </w:tc>
        <w:tc>
          <w:tcPr>
            <w:tcW w:w="58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996</w:t>
            </w:r>
          </w:p>
        </w:tc>
        <w:tc>
          <w:tcPr>
            <w:tcW w:w="1060" w:type="dxa"/>
            <w:vAlign w:val="bottom"/>
            <w:tcBorders>
              <w:bottom w:val="single" w:sz="8" w:color="auto"/>
            </w:tcBorders>
          </w:tcPr>
          <w:p>
            <w:pPr>
              <w:jc w:val="right"/>
              <w:ind w:right="820"/>
              <w:spacing w:after="0"/>
              <w:rPr>
                <w:sz w:val="20"/>
                <w:szCs w:val="20"/>
                <w:color w:val="auto"/>
              </w:rPr>
            </w:pPr>
            <w:r>
              <w:rPr>
                <w:rFonts w:ascii="Arial" w:cs="Arial" w:eastAsia="Arial" w:hAnsi="Arial"/>
                <w:sz w:val="16"/>
                <w:szCs w:val="16"/>
                <w:color w:val="auto"/>
              </w:rPr>
              <w:t>$</w:t>
            </w:r>
          </w:p>
        </w:tc>
        <w:tc>
          <w:tcPr>
            <w:tcW w:w="5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792</w:t>
            </w:r>
          </w:p>
        </w:tc>
      </w:tr>
      <w:tr>
        <w:trPr>
          <w:trHeight w:val="203"/>
        </w:trPr>
        <w:tc>
          <w:tcPr>
            <w:tcW w:w="8100" w:type="dxa"/>
            <w:vAlign w:val="bottom"/>
            <w:shd w:val="clear" w:color="auto" w:fill="D4F1F5"/>
          </w:tcPr>
          <w:p>
            <w:pPr>
              <w:spacing w:after="0"/>
              <w:rPr>
                <w:sz w:val="17"/>
                <w:szCs w:val="17"/>
                <w:color w:val="auto"/>
              </w:rPr>
            </w:pPr>
          </w:p>
        </w:tc>
        <w:tc>
          <w:tcPr>
            <w:tcW w:w="980" w:type="dxa"/>
            <w:vAlign w:val="bottom"/>
            <w:shd w:val="clear" w:color="auto" w:fill="D4F1F5"/>
          </w:tcPr>
          <w:p>
            <w:pPr>
              <w:spacing w:after="0"/>
              <w:rPr>
                <w:sz w:val="17"/>
                <w:szCs w:val="17"/>
                <w:color w:val="auto"/>
              </w:rPr>
            </w:pPr>
          </w:p>
        </w:tc>
        <w:tc>
          <w:tcPr>
            <w:tcW w:w="580" w:type="dxa"/>
            <w:vAlign w:val="bottom"/>
            <w:shd w:val="clear" w:color="auto" w:fill="D4F1F5"/>
          </w:tcPr>
          <w:p>
            <w:pPr>
              <w:spacing w:after="0"/>
              <w:rPr>
                <w:sz w:val="17"/>
                <w:szCs w:val="17"/>
                <w:color w:val="auto"/>
              </w:rPr>
            </w:pPr>
          </w:p>
        </w:tc>
        <w:tc>
          <w:tcPr>
            <w:tcW w:w="1060" w:type="dxa"/>
            <w:vAlign w:val="bottom"/>
            <w:shd w:val="clear" w:color="auto" w:fill="D4F1F5"/>
          </w:tcPr>
          <w:p>
            <w:pPr>
              <w:spacing w:after="0"/>
              <w:rPr>
                <w:sz w:val="17"/>
                <w:szCs w:val="17"/>
                <w:color w:val="auto"/>
              </w:rPr>
            </w:pPr>
          </w:p>
        </w:tc>
        <w:tc>
          <w:tcPr>
            <w:tcW w:w="520" w:type="dxa"/>
            <w:vAlign w:val="bottom"/>
            <w:shd w:val="clear" w:color="auto" w:fill="D4F1F5"/>
          </w:tcPr>
          <w:p>
            <w:pPr>
              <w:spacing w:after="0"/>
              <w:rPr>
                <w:sz w:val="17"/>
                <w:szCs w:val="17"/>
                <w:color w:val="auto"/>
              </w:rPr>
            </w:pPr>
          </w:p>
        </w:tc>
      </w:tr>
      <w:tr>
        <w:trPr>
          <w:trHeight w:val="223"/>
        </w:trPr>
        <w:tc>
          <w:tcPr>
            <w:tcW w:w="81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Effective income tax rate</w:t>
            </w:r>
          </w:p>
        </w:tc>
        <w:tc>
          <w:tcPr>
            <w:tcW w:w="9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7 %</w:t>
            </w:r>
          </w:p>
        </w:tc>
        <w:tc>
          <w:tcPr>
            <w:tcW w:w="106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7 %</w:t>
            </w:r>
          </w:p>
        </w:tc>
      </w:tr>
      <w:tr>
        <w:trPr>
          <w:trHeight w:val="216"/>
        </w:trPr>
        <w:tc>
          <w:tcPr>
            <w:tcW w:w="8100" w:type="dxa"/>
            <w:vAlign w:val="bottom"/>
            <w:shd w:val="clear" w:color="auto" w:fill="D4F1F5"/>
          </w:tcPr>
          <w:p>
            <w:pPr>
              <w:ind w:left="20"/>
              <w:spacing w:after="0"/>
              <w:rPr>
                <w:sz w:val="20"/>
                <w:szCs w:val="20"/>
                <w:color w:val="auto"/>
              </w:rPr>
            </w:pPr>
            <w:r>
              <w:rPr>
                <w:rFonts w:ascii="Arial" w:cs="Arial" w:eastAsia="Arial" w:hAnsi="Arial"/>
                <w:sz w:val="16"/>
                <w:szCs w:val="16"/>
                <w:b w:val="1"/>
                <w:bCs w:val="1"/>
                <w:color w:val="auto"/>
              </w:rPr>
              <w:t>SDG&amp;E:</w:t>
            </w:r>
          </w:p>
        </w:tc>
        <w:tc>
          <w:tcPr>
            <w:tcW w:w="980" w:type="dxa"/>
            <w:vAlign w:val="bottom"/>
            <w:shd w:val="clear" w:color="auto" w:fill="D4F1F5"/>
          </w:tcPr>
          <w:p>
            <w:pPr>
              <w:spacing w:after="0"/>
              <w:rPr>
                <w:sz w:val="18"/>
                <w:szCs w:val="18"/>
                <w:color w:val="auto"/>
              </w:rPr>
            </w:pPr>
          </w:p>
        </w:tc>
        <w:tc>
          <w:tcPr>
            <w:tcW w:w="580" w:type="dxa"/>
            <w:vAlign w:val="bottom"/>
            <w:shd w:val="clear" w:color="auto" w:fill="D4F1F5"/>
          </w:tcPr>
          <w:p>
            <w:pPr>
              <w:spacing w:after="0"/>
              <w:rPr>
                <w:sz w:val="18"/>
                <w:szCs w:val="18"/>
                <w:color w:val="auto"/>
              </w:rPr>
            </w:pPr>
          </w:p>
        </w:tc>
        <w:tc>
          <w:tcPr>
            <w:tcW w:w="1060" w:type="dxa"/>
            <w:vAlign w:val="bottom"/>
            <w:shd w:val="clear" w:color="auto" w:fill="D4F1F5"/>
          </w:tcPr>
          <w:p>
            <w:pPr>
              <w:spacing w:after="0"/>
              <w:rPr>
                <w:sz w:val="18"/>
                <w:szCs w:val="18"/>
                <w:color w:val="auto"/>
              </w:rPr>
            </w:pPr>
          </w:p>
        </w:tc>
        <w:tc>
          <w:tcPr>
            <w:tcW w:w="520" w:type="dxa"/>
            <w:vAlign w:val="bottom"/>
            <w:shd w:val="clear" w:color="auto" w:fill="D4F1F5"/>
          </w:tcPr>
          <w:p>
            <w:pPr>
              <w:spacing w:after="0"/>
              <w:rPr>
                <w:sz w:val="18"/>
                <w:szCs w:val="18"/>
                <w:color w:val="auto"/>
              </w:rPr>
            </w:pPr>
          </w:p>
        </w:tc>
      </w:tr>
      <w:tr>
        <w:trPr>
          <w:trHeight w:val="215"/>
        </w:trPr>
        <w:tc>
          <w:tcPr>
            <w:tcW w:w="8100" w:type="dxa"/>
            <w:vAlign w:val="bottom"/>
          </w:tcPr>
          <w:p>
            <w:pPr>
              <w:ind w:left="20"/>
              <w:spacing w:after="0"/>
              <w:rPr>
                <w:sz w:val="20"/>
                <w:szCs w:val="20"/>
                <w:color w:val="auto"/>
              </w:rPr>
            </w:pPr>
            <w:r>
              <w:rPr>
                <w:rFonts w:ascii="Arial" w:cs="Arial" w:eastAsia="Arial" w:hAnsi="Arial"/>
                <w:sz w:val="16"/>
                <w:szCs w:val="16"/>
                <w:color w:val="auto"/>
              </w:rPr>
              <w:t>Income tax expense</w:t>
            </w:r>
          </w:p>
        </w:tc>
        <w:tc>
          <w:tcPr>
            <w:tcW w:w="980" w:type="dxa"/>
            <w:vAlign w:val="bottom"/>
          </w:tcPr>
          <w:p>
            <w:pPr>
              <w:jc w:val="right"/>
              <w:ind w:right="801"/>
              <w:spacing w:after="0"/>
              <w:rPr>
                <w:sz w:val="20"/>
                <w:szCs w:val="20"/>
                <w:color w:val="auto"/>
              </w:rPr>
            </w:pPr>
            <w:r>
              <w:rPr>
                <w:rFonts w:ascii="Arial" w:cs="Arial" w:eastAsia="Arial" w:hAnsi="Arial"/>
                <w:sz w:val="16"/>
                <w:szCs w:val="16"/>
                <w:color w:val="auto"/>
                <w:w w:val="89"/>
              </w:rPr>
              <w:t>$</w:t>
            </w:r>
          </w:p>
        </w:tc>
        <w:tc>
          <w:tcPr>
            <w:tcW w:w="580" w:type="dxa"/>
            <w:vAlign w:val="bottom"/>
          </w:tcPr>
          <w:p>
            <w:pPr>
              <w:jc w:val="right"/>
              <w:ind w:right="159"/>
              <w:spacing w:after="0"/>
              <w:rPr>
                <w:sz w:val="20"/>
                <w:szCs w:val="20"/>
                <w:color w:val="auto"/>
              </w:rPr>
            </w:pPr>
            <w:r>
              <w:rPr>
                <w:rFonts w:ascii="Arial" w:cs="Arial" w:eastAsia="Arial" w:hAnsi="Arial"/>
                <w:sz w:val="16"/>
                <w:szCs w:val="16"/>
                <w:color w:val="auto"/>
              </w:rPr>
              <w:t>69</w:t>
            </w:r>
          </w:p>
        </w:tc>
        <w:tc>
          <w:tcPr>
            <w:tcW w:w="1060" w:type="dxa"/>
            <w:vAlign w:val="bottom"/>
          </w:tcPr>
          <w:p>
            <w:pPr>
              <w:jc w:val="right"/>
              <w:ind w:right="820"/>
              <w:spacing w:after="0"/>
              <w:rPr>
                <w:sz w:val="20"/>
                <w:szCs w:val="20"/>
                <w:color w:val="auto"/>
              </w:rPr>
            </w:pPr>
            <w:r>
              <w:rPr>
                <w:rFonts w:ascii="Arial" w:cs="Arial" w:eastAsia="Arial" w:hAnsi="Arial"/>
                <w:sz w:val="16"/>
                <w:szCs w:val="16"/>
                <w:color w:val="auto"/>
              </w:rPr>
              <w:t>$</w:t>
            </w:r>
          </w:p>
        </w:tc>
        <w:tc>
          <w:tcPr>
            <w:tcW w:w="520" w:type="dxa"/>
            <w:vAlign w:val="bottom"/>
          </w:tcPr>
          <w:p>
            <w:pPr>
              <w:jc w:val="right"/>
              <w:ind w:right="119"/>
              <w:spacing w:after="0"/>
              <w:rPr>
                <w:sz w:val="20"/>
                <w:szCs w:val="20"/>
                <w:color w:val="auto"/>
              </w:rPr>
            </w:pPr>
            <w:r>
              <w:rPr>
                <w:rFonts w:ascii="Arial" w:cs="Arial" w:eastAsia="Arial" w:hAnsi="Arial"/>
                <w:sz w:val="16"/>
                <w:szCs w:val="16"/>
                <w:color w:val="auto"/>
              </w:rPr>
              <w:t>14</w:t>
            </w:r>
          </w:p>
        </w:tc>
      </w:tr>
      <w:tr>
        <w:trPr>
          <w:trHeight w:val="217"/>
        </w:trPr>
        <w:tc>
          <w:tcPr>
            <w:tcW w:w="8100" w:type="dxa"/>
            <w:vAlign w:val="bottom"/>
            <w:shd w:val="clear" w:color="auto" w:fill="D4F1F5"/>
          </w:tcPr>
          <w:p>
            <w:pPr>
              <w:ind w:left="20"/>
              <w:spacing w:after="0"/>
              <w:rPr>
                <w:sz w:val="20"/>
                <w:szCs w:val="20"/>
                <w:color w:val="auto"/>
              </w:rPr>
            </w:pPr>
            <w:r>
              <w:rPr>
                <w:rFonts w:ascii="Arial" w:cs="Arial" w:eastAsia="Arial" w:hAnsi="Arial"/>
                <w:sz w:val="16"/>
                <w:szCs w:val="16"/>
                <w:color w:val="auto"/>
              </w:rPr>
              <w:t>Income before income taxes</w:t>
            </w:r>
          </w:p>
        </w:tc>
        <w:tc>
          <w:tcPr>
            <w:tcW w:w="980" w:type="dxa"/>
            <w:vAlign w:val="bottom"/>
            <w:shd w:val="clear" w:color="auto" w:fill="D4F1F5"/>
          </w:tcPr>
          <w:p>
            <w:pPr>
              <w:jc w:val="right"/>
              <w:ind w:right="801"/>
              <w:spacing w:after="0"/>
              <w:rPr>
                <w:sz w:val="20"/>
                <w:szCs w:val="20"/>
                <w:color w:val="auto"/>
              </w:rPr>
            </w:pPr>
            <w:r>
              <w:rPr>
                <w:rFonts w:ascii="Arial" w:cs="Arial" w:eastAsia="Arial" w:hAnsi="Arial"/>
                <w:sz w:val="16"/>
                <w:szCs w:val="16"/>
                <w:color w:val="auto"/>
                <w:w w:val="89"/>
              </w:rPr>
              <w:t>$</w:t>
            </w:r>
          </w:p>
        </w:tc>
        <w:tc>
          <w:tcPr>
            <w:tcW w:w="580" w:type="dxa"/>
            <w:vAlign w:val="bottom"/>
            <w:shd w:val="clear" w:color="auto" w:fill="D4F1F5"/>
          </w:tcPr>
          <w:p>
            <w:pPr>
              <w:jc w:val="right"/>
              <w:ind w:right="159"/>
              <w:spacing w:after="0"/>
              <w:rPr>
                <w:sz w:val="20"/>
                <w:szCs w:val="20"/>
                <w:color w:val="auto"/>
              </w:rPr>
            </w:pPr>
            <w:r>
              <w:rPr>
                <w:rFonts w:ascii="Arial" w:cs="Arial" w:eastAsia="Arial" w:hAnsi="Arial"/>
                <w:sz w:val="16"/>
                <w:szCs w:val="16"/>
                <w:color w:val="auto"/>
              </w:rPr>
              <w:t>365</w:t>
            </w:r>
          </w:p>
        </w:tc>
        <w:tc>
          <w:tcPr>
            <w:tcW w:w="1060" w:type="dxa"/>
            <w:vAlign w:val="bottom"/>
            <w:shd w:val="clear" w:color="auto" w:fill="D4F1F5"/>
          </w:tcPr>
          <w:p>
            <w:pPr>
              <w:jc w:val="right"/>
              <w:ind w:right="820"/>
              <w:spacing w:after="0"/>
              <w:rPr>
                <w:sz w:val="20"/>
                <w:szCs w:val="20"/>
                <w:color w:val="auto"/>
              </w:rPr>
            </w:pPr>
            <w:r>
              <w:rPr>
                <w:rFonts w:ascii="Arial" w:cs="Arial" w:eastAsia="Arial" w:hAnsi="Arial"/>
                <w:sz w:val="16"/>
                <w:szCs w:val="16"/>
                <w:color w:val="auto"/>
              </w:rPr>
              <w:t>$</w:t>
            </w:r>
          </w:p>
        </w:tc>
        <w:tc>
          <w:tcPr>
            <w:tcW w:w="520" w:type="dxa"/>
            <w:vAlign w:val="bottom"/>
            <w:shd w:val="clear" w:color="auto" w:fill="D4F1F5"/>
          </w:tcPr>
          <w:p>
            <w:pPr>
              <w:jc w:val="right"/>
              <w:ind w:right="119"/>
              <w:spacing w:after="0"/>
              <w:rPr>
                <w:sz w:val="20"/>
                <w:szCs w:val="20"/>
                <w:color w:val="auto"/>
              </w:rPr>
            </w:pPr>
            <w:r>
              <w:rPr>
                <w:rFonts w:ascii="Arial" w:cs="Arial" w:eastAsia="Arial" w:hAnsi="Arial"/>
                <w:sz w:val="16"/>
                <w:szCs w:val="16"/>
                <w:color w:val="auto"/>
              </w:rPr>
              <w:t>295</w:t>
            </w:r>
          </w:p>
        </w:tc>
      </w:tr>
      <w:tr>
        <w:trPr>
          <w:trHeight w:val="223"/>
        </w:trPr>
        <w:tc>
          <w:tcPr>
            <w:tcW w:w="81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Effective income tax rate</w:t>
            </w:r>
          </w:p>
        </w:tc>
        <w:tc>
          <w:tcPr>
            <w:tcW w:w="9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19 %</w:t>
            </w:r>
          </w:p>
        </w:tc>
        <w:tc>
          <w:tcPr>
            <w:tcW w:w="106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5 %</w:t>
            </w:r>
          </w:p>
        </w:tc>
      </w:tr>
      <w:tr>
        <w:trPr>
          <w:trHeight w:val="216"/>
        </w:trPr>
        <w:tc>
          <w:tcPr>
            <w:tcW w:w="8100" w:type="dxa"/>
            <w:vAlign w:val="bottom"/>
            <w:shd w:val="clear" w:color="auto" w:fill="D4F1F5"/>
          </w:tcPr>
          <w:p>
            <w:pPr>
              <w:ind w:left="20"/>
              <w:spacing w:after="0"/>
              <w:rPr>
                <w:sz w:val="20"/>
                <w:szCs w:val="20"/>
                <w:color w:val="auto"/>
              </w:rPr>
            </w:pPr>
            <w:r>
              <w:rPr>
                <w:rFonts w:ascii="Arial" w:cs="Arial" w:eastAsia="Arial" w:hAnsi="Arial"/>
                <w:sz w:val="16"/>
                <w:szCs w:val="16"/>
                <w:b w:val="1"/>
                <w:bCs w:val="1"/>
                <w:color w:val="auto"/>
              </w:rPr>
              <w:t>SoCalGas:</w:t>
            </w:r>
          </w:p>
        </w:tc>
        <w:tc>
          <w:tcPr>
            <w:tcW w:w="980" w:type="dxa"/>
            <w:vAlign w:val="bottom"/>
            <w:shd w:val="clear" w:color="auto" w:fill="D4F1F5"/>
          </w:tcPr>
          <w:p>
            <w:pPr>
              <w:spacing w:after="0"/>
              <w:rPr>
                <w:sz w:val="18"/>
                <w:szCs w:val="18"/>
                <w:color w:val="auto"/>
              </w:rPr>
            </w:pPr>
          </w:p>
        </w:tc>
        <w:tc>
          <w:tcPr>
            <w:tcW w:w="580" w:type="dxa"/>
            <w:vAlign w:val="bottom"/>
            <w:shd w:val="clear" w:color="auto" w:fill="D4F1F5"/>
          </w:tcPr>
          <w:p>
            <w:pPr>
              <w:spacing w:after="0"/>
              <w:rPr>
                <w:sz w:val="18"/>
                <w:szCs w:val="18"/>
                <w:color w:val="auto"/>
              </w:rPr>
            </w:pPr>
          </w:p>
        </w:tc>
        <w:tc>
          <w:tcPr>
            <w:tcW w:w="1060" w:type="dxa"/>
            <w:vAlign w:val="bottom"/>
            <w:shd w:val="clear" w:color="auto" w:fill="D4F1F5"/>
          </w:tcPr>
          <w:p>
            <w:pPr>
              <w:spacing w:after="0"/>
              <w:rPr>
                <w:sz w:val="18"/>
                <w:szCs w:val="18"/>
                <w:color w:val="auto"/>
              </w:rPr>
            </w:pPr>
          </w:p>
        </w:tc>
        <w:tc>
          <w:tcPr>
            <w:tcW w:w="520" w:type="dxa"/>
            <w:vAlign w:val="bottom"/>
            <w:shd w:val="clear" w:color="auto" w:fill="D4F1F5"/>
          </w:tcPr>
          <w:p>
            <w:pPr>
              <w:spacing w:after="0"/>
              <w:rPr>
                <w:sz w:val="18"/>
                <w:szCs w:val="18"/>
                <w:color w:val="auto"/>
              </w:rPr>
            </w:pPr>
          </w:p>
        </w:tc>
      </w:tr>
      <w:tr>
        <w:trPr>
          <w:trHeight w:val="215"/>
        </w:trPr>
        <w:tc>
          <w:tcPr>
            <w:tcW w:w="8100" w:type="dxa"/>
            <w:vAlign w:val="bottom"/>
          </w:tcPr>
          <w:p>
            <w:pPr>
              <w:ind w:left="20"/>
              <w:spacing w:after="0"/>
              <w:rPr>
                <w:sz w:val="20"/>
                <w:szCs w:val="20"/>
                <w:color w:val="auto"/>
              </w:rPr>
            </w:pPr>
            <w:r>
              <w:rPr>
                <w:rFonts w:ascii="Arial" w:cs="Arial" w:eastAsia="Arial" w:hAnsi="Arial"/>
                <w:sz w:val="16"/>
                <w:szCs w:val="16"/>
                <w:color w:val="auto"/>
              </w:rPr>
              <w:t>Income tax expense</w:t>
            </w:r>
          </w:p>
        </w:tc>
        <w:tc>
          <w:tcPr>
            <w:tcW w:w="980" w:type="dxa"/>
            <w:vAlign w:val="bottom"/>
          </w:tcPr>
          <w:p>
            <w:pPr>
              <w:jc w:val="right"/>
              <w:ind w:right="801"/>
              <w:spacing w:after="0"/>
              <w:rPr>
                <w:sz w:val="20"/>
                <w:szCs w:val="20"/>
                <w:color w:val="auto"/>
              </w:rPr>
            </w:pPr>
            <w:r>
              <w:rPr>
                <w:rFonts w:ascii="Arial" w:cs="Arial" w:eastAsia="Arial" w:hAnsi="Arial"/>
                <w:sz w:val="16"/>
                <w:szCs w:val="16"/>
                <w:color w:val="auto"/>
                <w:w w:val="89"/>
              </w:rPr>
              <w:t>$</w:t>
            </w:r>
          </w:p>
        </w:tc>
        <w:tc>
          <w:tcPr>
            <w:tcW w:w="580" w:type="dxa"/>
            <w:vAlign w:val="bottom"/>
          </w:tcPr>
          <w:p>
            <w:pPr>
              <w:jc w:val="right"/>
              <w:ind w:right="159"/>
              <w:spacing w:after="0"/>
              <w:rPr>
                <w:sz w:val="20"/>
                <w:szCs w:val="20"/>
                <w:color w:val="auto"/>
              </w:rPr>
            </w:pPr>
            <w:r>
              <w:rPr>
                <w:rFonts w:ascii="Arial" w:cs="Arial" w:eastAsia="Arial" w:hAnsi="Arial"/>
                <w:sz w:val="16"/>
                <w:szCs w:val="16"/>
                <w:color w:val="auto"/>
              </w:rPr>
              <w:t>20</w:t>
            </w:r>
          </w:p>
        </w:tc>
        <w:tc>
          <w:tcPr>
            <w:tcW w:w="1060" w:type="dxa"/>
            <w:vAlign w:val="bottom"/>
          </w:tcPr>
          <w:p>
            <w:pPr>
              <w:jc w:val="right"/>
              <w:ind w:right="820"/>
              <w:spacing w:after="0"/>
              <w:rPr>
                <w:sz w:val="20"/>
                <w:szCs w:val="20"/>
                <w:color w:val="auto"/>
              </w:rPr>
            </w:pPr>
            <w:r>
              <w:rPr>
                <w:rFonts w:ascii="Arial" w:cs="Arial" w:eastAsia="Arial" w:hAnsi="Arial"/>
                <w:sz w:val="16"/>
                <w:szCs w:val="16"/>
                <w:color w:val="auto"/>
              </w:rPr>
              <w:t>$</w:t>
            </w:r>
          </w:p>
        </w:tc>
        <w:tc>
          <w:tcPr>
            <w:tcW w:w="520" w:type="dxa"/>
            <w:vAlign w:val="bottom"/>
          </w:tcPr>
          <w:p>
            <w:pPr>
              <w:jc w:val="right"/>
              <w:ind w:right="119"/>
              <w:spacing w:after="0"/>
              <w:rPr>
                <w:sz w:val="20"/>
                <w:szCs w:val="20"/>
                <w:color w:val="auto"/>
              </w:rPr>
            </w:pPr>
            <w:r>
              <w:rPr>
                <w:rFonts w:ascii="Arial" w:cs="Arial" w:eastAsia="Arial" w:hAnsi="Arial"/>
                <w:sz w:val="16"/>
                <w:szCs w:val="16"/>
                <w:color w:val="auto"/>
              </w:rPr>
              <w:t>38</w:t>
            </w:r>
          </w:p>
        </w:tc>
      </w:tr>
      <w:tr>
        <w:trPr>
          <w:trHeight w:val="217"/>
        </w:trPr>
        <w:tc>
          <w:tcPr>
            <w:tcW w:w="8100" w:type="dxa"/>
            <w:vAlign w:val="bottom"/>
            <w:shd w:val="clear" w:color="auto" w:fill="D4F1F5"/>
          </w:tcPr>
          <w:p>
            <w:pPr>
              <w:ind w:left="20"/>
              <w:spacing w:after="0"/>
              <w:rPr>
                <w:sz w:val="20"/>
                <w:szCs w:val="20"/>
                <w:color w:val="auto"/>
              </w:rPr>
            </w:pPr>
            <w:r>
              <w:rPr>
                <w:rFonts w:ascii="Arial" w:cs="Arial" w:eastAsia="Arial" w:hAnsi="Arial"/>
                <w:sz w:val="16"/>
                <w:szCs w:val="16"/>
                <w:color w:val="auto"/>
              </w:rPr>
              <w:t>Income before income taxes</w:t>
            </w:r>
          </w:p>
        </w:tc>
        <w:tc>
          <w:tcPr>
            <w:tcW w:w="980" w:type="dxa"/>
            <w:vAlign w:val="bottom"/>
            <w:shd w:val="clear" w:color="auto" w:fill="D4F1F5"/>
          </w:tcPr>
          <w:p>
            <w:pPr>
              <w:jc w:val="right"/>
              <w:ind w:right="801"/>
              <w:spacing w:after="0"/>
              <w:rPr>
                <w:sz w:val="20"/>
                <w:szCs w:val="20"/>
                <w:color w:val="auto"/>
              </w:rPr>
            </w:pPr>
            <w:r>
              <w:rPr>
                <w:rFonts w:ascii="Arial" w:cs="Arial" w:eastAsia="Arial" w:hAnsi="Arial"/>
                <w:sz w:val="16"/>
                <w:szCs w:val="16"/>
                <w:color w:val="auto"/>
                <w:w w:val="89"/>
              </w:rPr>
              <w:t>$</w:t>
            </w:r>
          </w:p>
        </w:tc>
        <w:tc>
          <w:tcPr>
            <w:tcW w:w="580" w:type="dxa"/>
            <w:vAlign w:val="bottom"/>
            <w:shd w:val="clear" w:color="auto" w:fill="D4F1F5"/>
          </w:tcPr>
          <w:p>
            <w:pPr>
              <w:jc w:val="right"/>
              <w:ind w:right="159"/>
              <w:spacing w:after="0"/>
              <w:rPr>
                <w:sz w:val="20"/>
                <w:szCs w:val="20"/>
                <w:color w:val="auto"/>
              </w:rPr>
            </w:pPr>
            <w:r>
              <w:rPr>
                <w:rFonts w:ascii="Arial" w:cs="Arial" w:eastAsia="Arial" w:hAnsi="Arial"/>
                <w:sz w:val="16"/>
                <w:szCs w:val="16"/>
                <w:color w:val="auto"/>
              </w:rPr>
              <w:t>444</w:t>
            </w:r>
          </w:p>
        </w:tc>
        <w:tc>
          <w:tcPr>
            <w:tcW w:w="1060" w:type="dxa"/>
            <w:vAlign w:val="bottom"/>
            <w:shd w:val="clear" w:color="auto" w:fill="D4F1F5"/>
          </w:tcPr>
          <w:p>
            <w:pPr>
              <w:jc w:val="right"/>
              <w:ind w:right="820"/>
              <w:spacing w:after="0"/>
              <w:rPr>
                <w:sz w:val="20"/>
                <w:szCs w:val="20"/>
                <w:color w:val="auto"/>
              </w:rPr>
            </w:pPr>
            <w:r>
              <w:rPr>
                <w:rFonts w:ascii="Arial" w:cs="Arial" w:eastAsia="Arial" w:hAnsi="Arial"/>
                <w:sz w:val="16"/>
                <w:szCs w:val="16"/>
                <w:color w:val="auto"/>
              </w:rPr>
              <w:t>$</w:t>
            </w:r>
          </w:p>
        </w:tc>
        <w:tc>
          <w:tcPr>
            <w:tcW w:w="520" w:type="dxa"/>
            <w:vAlign w:val="bottom"/>
            <w:shd w:val="clear" w:color="auto" w:fill="D4F1F5"/>
          </w:tcPr>
          <w:p>
            <w:pPr>
              <w:jc w:val="right"/>
              <w:ind w:right="119"/>
              <w:spacing w:after="0"/>
              <w:rPr>
                <w:sz w:val="20"/>
                <w:szCs w:val="20"/>
                <w:color w:val="auto"/>
              </w:rPr>
            </w:pPr>
            <w:r>
              <w:rPr>
                <w:rFonts w:ascii="Arial" w:cs="Arial" w:eastAsia="Arial" w:hAnsi="Arial"/>
                <w:sz w:val="16"/>
                <w:szCs w:val="16"/>
                <w:color w:val="auto"/>
              </w:rPr>
              <w:t>481</w:t>
            </w:r>
          </w:p>
        </w:tc>
      </w:tr>
      <w:tr>
        <w:trPr>
          <w:trHeight w:val="223"/>
        </w:trPr>
        <w:tc>
          <w:tcPr>
            <w:tcW w:w="81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Effective income tax rate</w:t>
            </w:r>
          </w:p>
        </w:tc>
        <w:tc>
          <w:tcPr>
            <w:tcW w:w="9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5 %</w:t>
            </w:r>
          </w:p>
        </w:tc>
        <w:tc>
          <w:tcPr>
            <w:tcW w:w="106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8 %</w:t>
            </w:r>
          </w:p>
        </w:tc>
      </w:tr>
    </w:tbl>
    <w:p>
      <w:pPr>
        <w:spacing w:after="0" w:line="88" w:lineRule="exact"/>
        <w:rPr>
          <w:sz w:val="20"/>
          <w:szCs w:val="20"/>
          <w:color w:val="auto"/>
        </w:rPr>
      </w:pPr>
    </w:p>
    <w:p>
      <w:pPr>
        <w:ind w:left="260" w:hanging="252"/>
        <w:spacing w:after="0"/>
        <w:tabs>
          <w:tab w:leader="none" w:pos="260" w:val="left"/>
        </w:tabs>
        <w:numPr>
          <w:ilvl w:val="0"/>
          <w:numId w:val="14"/>
        </w:numPr>
        <w:rPr>
          <w:rFonts w:ascii="Arial" w:cs="Arial" w:eastAsia="Arial" w:hAnsi="Arial"/>
          <w:sz w:val="21"/>
          <w:szCs w:val="21"/>
          <w:i w:val="1"/>
          <w:iCs w:val="1"/>
          <w:color w:val="auto"/>
          <w:vertAlign w:val="superscript"/>
        </w:rPr>
      </w:pPr>
      <w:r>
        <w:rPr>
          <w:rFonts w:ascii="Arial" w:cs="Arial" w:eastAsia="Arial" w:hAnsi="Arial"/>
          <w:sz w:val="14"/>
          <w:szCs w:val="14"/>
          <w:i w:val="1"/>
          <w:iCs w:val="1"/>
          <w:color w:val="auto"/>
        </w:rPr>
        <w:t>We discuss how we recognize equity earnings in Note 5 of the Notes to Consolidated Financial Statements in the Annual Report.</w:t>
      </w:r>
    </w:p>
    <w:p>
      <w:pPr>
        <w:spacing w:after="0" w:line="125" w:lineRule="exact"/>
        <w:rPr>
          <w:sz w:val="20"/>
          <w:szCs w:val="20"/>
          <w:color w:val="auto"/>
        </w:rPr>
      </w:pPr>
    </w:p>
    <w:p>
      <w:pPr>
        <w:ind w:right="320"/>
        <w:spacing w:after="0" w:line="329" w:lineRule="auto"/>
        <w:rPr>
          <w:sz w:val="20"/>
          <w:szCs w:val="20"/>
          <w:color w:val="auto"/>
        </w:rPr>
      </w:pPr>
      <w:r>
        <w:rPr>
          <w:rFonts w:ascii="Times New Roman" w:cs="Times New Roman" w:eastAsia="Times New Roman" w:hAnsi="Times New Roman"/>
          <w:sz w:val="17"/>
          <w:szCs w:val="17"/>
          <w:color w:val="auto"/>
        </w:rPr>
        <w:t>Sempra, SDG&amp;E and SoCalGas record income taxes for interim periods utilizing a forecasted ETR anticipated for the full year. Unusual and infrequent items and items that cannot be reliably estimated are recorded in the interim period in which they occur, which can result in variability in the ETR.</w:t>
      </w:r>
    </w:p>
    <w:p>
      <w:pPr>
        <w:spacing w:after="0" w:line="31"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For SDG&amp;E and SoCalGas, the CPUC requires flow-through rate-making treatment for the current income tax benefit or expense arising from certain property-related and other temporary differences between the treatment for financial reporting and income tax, which will reverse over time. Under the regulatory accounting treatment required for these flow-through temporary differences, deferred income tax assets and liabilities are not recorded to deferred income tax expense, but rather to a regulatory asset or liability that will be flowed through to customers in the future, which impacts the ETR. As a result, changes in the relative size of these items compared to pretax income, from period to period, can cause variations in the ETR. Items subject to flow-through treatment include:</w:t>
      </w:r>
    </w:p>
    <w:p>
      <w:pPr>
        <w:spacing w:after="0" w:line="28" w:lineRule="exact"/>
        <w:rPr>
          <w:sz w:val="20"/>
          <w:szCs w:val="20"/>
          <w:color w:val="auto"/>
        </w:rPr>
      </w:pPr>
    </w:p>
    <w:p>
      <w:pPr>
        <w:ind w:left="160" w:hanging="152"/>
        <w:spacing w:after="0"/>
        <w:tabs>
          <w:tab w:leader="none" w:pos="1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repairs expenditures related to certain utility plant fixed assets</w:t>
      </w:r>
    </w:p>
    <w:p>
      <w:pPr>
        <w:spacing w:after="0" w:line="49" w:lineRule="exact"/>
        <w:rPr>
          <w:rFonts w:ascii="Times New Roman" w:cs="Times New Roman" w:eastAsia="Times New Roman" w:hAnsi="Times New Roman"/>
          <w:sz w:val="18"/>
          <w:szCs w:val="18"/>
          <w:color w:val="auto"/>
        </w:rPr>
      </w:pPr>
    </w:p>
    <w:p>
      <w:pPr>
        <w:ind w:left="160" w:hanging="152"/>
        <w:spacing w:after="0"/>
        <w:tabs>
          <w:tab w:leader="none" w:pos="1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equity component of AFUDC, which is non-taxable</w:t>
      </w:r>
    </w:p>
    <w:p>
      <w:pPr>
        <w:spacing w:after="0" w:line="49" w:lineRule="exact"/>
        <w:rPr>
          <w:rFonts w:ascii="Times New Roman" w:cs="Times New Roman" w:eastAsia="Times New Roman" w:hAnsi="Times New Roman"/>
          <w:sz w:val="18"/>
          <w:szCs w:val="18"/>
          <w:color w:val="auto"/>
        </w:rPr>
      </w:pPr>
    </w:p>
    <w:p>
      <w:pPr>
        <w:ind w:left="160" w:hanging="152"/>
        <w:spacing w:after="0"/>
        <w:tabs>
          <w:tab w:leader="none" w:pos="1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 of removal related to certain utility plant assets</w:t>
      </w:r>
    </w:p>
    <w:p>
      <w:pPr>
        <w:spacing w:after="0" w:line="63" w:lineRule="exact"/>
        <w:rPr>
          <w:rFonts w:ascii="Times New Roman" w:cs="Times New Roman" w:eastAsia="Times New Roman" w:hAnsi="Times New Roman"/>
          <w:sz w:val="18"/>
          <w:szCs w:val="18"/>
          <w:color w:val="auto"/>
        </w:rPr>
      </w:pPr>
    </w:p>
    <w:p>
      <w:pPr>
        <w:ind w:left="160" w:hanging="152"/>
        <w:spacing w:after="0"/>
        <w:tabs>
          <w:tab w:leader="none" w:pos="1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utility self-developed software expenditures</w:t>
      </w:r>
    </w:p>
    <w:p>
      <w:pPr>
        <w:spacing w:after="0" w:line="49" w:lineRule="exact"/>
        <w:rPr>
          <w:rFonts w:ascii="Times New Roman" w:cs="Times New Roman" w:eastAsia="Times New Roman" w:hAnsi="Times New Roman"/>
          <w:sz w:val="18"/>
          <w:szCs w:val="18"/>
          <w:color w:val="auto"/>
        </w:rPr>
      </w:pPr>
    </w:p>
    <w:p>
      <w:pPr>
        <w:ind w:left="160" w:hanging="152"/>
        <w:spacing w:after="0"/>
        <w:tabs>
          <w:tab w:leader="none" w:pos="1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depreciation related to certain utility plant assets</w:t>
      </w:r>
    </w:p>
    <w:p>
      <w:pPr>
        <w:spacing w:after="0" w:line="49" w:lineRule="exact"/>
        <w:rPr>
          <w:rFonts w:ascii="Times New Roman" w:cs="Times New Roman" w:eastAsia="Times New Roman" w:hAnsi="Times New Roman"/>
          <w:sz w:val="18"/>
          <w:szCs w:val="18"/>
          <w:color w:val="auto"/>
        </w:rPr>
      </w:pPr>
    </w:p>
    <w:p>
      <w:pPr>
        <w:ind w:left="160" w:hanging="152"/>
        <w:spacing w:after="0"/>
        <w:tabs>
          <w:tab w:leader="none" w:pos="1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state income taxes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AFUDC related to equity recorded for regulated construction projects at Sempra Infrastructure has similar flow-through treatment.</w:t>
      </w:r>
    </w:p>
    <w:p>
      <w:pPr>
        <w:spacing w:after="0" w:line="117" w:lineRule="exact"/>
        <w:rPr>
          <w:sz w:val="20"/>
          <w:szCs w:val="20"/>
          <w:color w:val="auto"/>
        </w:rPr>
      </w:pPr>
    </w:p>
    <w:p>
      <w:pPr>
        <w:ind w:right="80"/>
        <w:spacing w:after="0" w:line="271" w:lineRule="auto"/>
        <w:rPr>
          <w:sz w:val="20"/>
          <w:szCs w:val="20"/>
          <w:color w:val="auto"/>
        </w:rPr>
      </w:pPr>
      <w:r>
        <w:rPr>
          <w:rFonts w:ascii="Times New Roman" w:cs="Times New Roman" w:eastAsia="Times New Roman" w:hAnsi="Times New Roman"/>
          <w:sz w:val="18"/>
          <w:szCs w:val="18"/>
          <w:color w:val="auto"/>
        </w:rPr>
        <w:t>In the three months ended March 31, 2026, we recognized an income tax benefit of $33 million to adjust deferred income tax liabilities primarily related to outside basis differences in our investment in SI Partners for foreign subsidiaries that are no longer considered to be indefinitely reinvested and an income tax benefit of $3 million ($2 million after NCI) for a Mexican deferred income tax liability on our outside basis difference in Ecogas as a result of classifying these assets as held for sale, which we discuss in Note 6.</w:t>
      </w: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150495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711835</wp:posOffset>
            </wp:positionV>
            <wp:extent cx="713232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20"/>
          <w:szCs w:val="20"/>
          <w:color w:val="auto"/>
        </w:rPr>
        <w:t>NOTE 2. NEW ACCOUNTING STANDARDS</w:t>
      </w:r>
    </w:p>
    <w:p>
      <w:pPr>
        <w:spacing w:after="0" w:line="97"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We describe below recent accounting pronouncements that have had or may have a significant effect on our results of operations, financial condition, cash flows or disclosures.</w:t>
      </w:r>
    </w:p>
    <w:p>
      <w:pPr>
        <w:spacing w:after="0" w:line="63"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b w:val="1"/>
          <w:bCs w:val="1"/>
          <w:i w:val="1"/>
          <w:iCs w:val="1"/>
          <w:color w:val="auto"/>
        </w:rPr>
        <w:t xml:space="preserve">ASU 2024-03, “Disaggregation of Income Statement Expenses”: </w:t>
      </w:r>
      <w:r>
        <w:rPr>
          <w:rFonts w:ascii="Times New Roman" w:cs="Times New Roman" w:eastAsia="Times New Roman" w:hAnsi="Times New Roman"/>
          <w:sz w:val="18"/>
          <w:szCs w:val="18"/>
          <w:color w:val="auto"/>
        </w:rPr>
        <w:t>ASU 2024-03 mandates detailed disclosures on the disaggregation of income statement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expenses. Public business entities are required to disclose in the notes to financial statements the amounts of purchases of inventory, employee compensation, depreciation and intangible asset amortization included in each relevant expense caption. The standard also requires disclosure of the amount, and a qualitative description of, other items remaining in relevant expense captions that are not separately disaggregated. ASU 2024-03 is effective for annual reporting periods beginning after December 15, 2026, and interim periods within annual reporting periods beginning after December 15, 2027. Early adoption is permitted, and entities may adopt the standard on either a prospective or retrospective basis. We intend to adopt the standard on January 1, 2027 on a prospective basis.</w:t>
      </w: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150495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643255</wp:posOffset>
            </wp:positionV>
            <wp:extent cx="713232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20"/>
          <w:szCs w:val="20"/>
          <w:color w:val="auto"/>
        </w:rPr>
        <w:t>NOTE 3. REVENUES</w:t>
      </w:r>
    </w:p>
    <w:p>
      <w:pPr>
        <w:spacing w:after="0" w:line="111" w:lineRule="exact"/>
        <w:rPr>
          <w:sz w:val="20"/>
          <w:szCs w:val="20"/>
          <w:color w:val="auto"/>
        </w:rPr>
      </w:pPr>
    </w:p>
    <w:p>
      <w:pPr>
        <w:ind w:right="80"/>
        <w:spacing w:after="0" w:line="297" w:lineRule="auto"/>
        <w:rPr>
          <w:sz w:val="20"/>
          <w:szCs w:val="20"/>
          <w:color w:val="auto"/>
        </w:rPr>
      </w:pPr>
      <w:r>
        <w:rPr>
          <w:rFonts w:ascii="Times New Roman" w:cs="Times New Roman" w:eastAsia="Times New Roman" w:hAnsi="Times New Roman"/>
          <w:sz w:val="18"/>
          <w:szCs w:val="18"/>
          <w:color w:val="auto"/>
        </w:rPr>
        <w:t>We discuss revenue recognition for revenues from contracts with customers and from sources other than contracts with customers in Note 3 of the Notes to Consolidated Financial Statements in the Annual Report.</w:t>
      </w:r>
    </w:p>
    <w:p>
      <w:pPr>
        <w:spacing w:after="0" w:line="41" w:lineRule="exact"/>
        <w:rPr>
          <w:sz w:val="20"/>
          <w:szCs w:val="20"/>
          <w:color w:val="auto"/>
        </w:rPr>
      </w:pPr>
    </w:p>
    <w:p>
      <w:pPr>
        <w:ind w:right="220"/>
        <w:spacing w:after="0" w:line="297" w:lineRule="auto"/>
        <w:rPr>
          <w:sz w:val="20"/>
          <w:szCs w:val="20"/>
          <w:color w:val="auto"/>
        </w:rPr>
      </w:pPr>
      <w:r>
        <w:rPr>
          <w:rFonts w:ascii="Times New Roman" w:cs="Times New Roman" w:eastAsia="Times New Roman" w:hAnsi="Times New Roman"/>
          <w:sz w:val="18"/>
          <w:szCs w:val="18"/>
          <w:color w:val="auto"/>
        </w:rPr>
        <w:t>The following tables disaggregate our revenues from contracts with customers by major service line and market. We also provide a reconciliation to total revenues by segment for Sempra. The majority of our revenue is recognized over time.</w:t>
      </w:r>
    </w:p>
    <w:p>
      <w:pPr>
        <w:spacing w:after="0" w:line="99"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FFFFFF"/>
        </w:rPr>
        <w:t>DISAGGREGATED REVENUES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-115570</wp:posOffset>
            </wp:positionV>
            <wp:extent cx="7132320" cy="26606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320" cy="266065"/>
                    </a:xfrm>
                    <a:prstGeom prst="rect">
                      <a:avLst/>
                    </a:prstGeom>
                    <a:noFill/>
                  </pic:spPr>
                </pic:pic>
              </a:graphicData>
            </a:graphic>
          </wp:anchor>
        </w:drawing>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5700" w:type="dxa"/>
            <w:vAlign w:val="bottom"/>
          </w:tcPr>
          <w:p>
            <w:pPr>
              <w:ind w:left="20"/>
              <w:spacing w:after="0"/>
              <w:rPr>
                <w:sz w:val="20"/>
                <w:szCs w:val="20"/>
                <w:color w:val="auto"/>
              </w:rPr>
            </w:pPr>
            <w:r>
              <w:rPr>
                <w:rFonts w:ascii="Arial" w:cs="Arial" w:eastAsia="Arial" w:hAnsi="Arial"/>
                <w:sz w:val="14"/>
                <w:szCs w:val="14"/>
                <w:i w:val="1"/>
                <w:iCs w:val="1"/>
                <w:color w:val="FFFFFF"/>
              </w:rPr>
              <w:t>(Dollars in millions)</w:t>
            </w:r>
          </w:p>
        </w:tc>
        <w:tc>
          <w:tcPr>
            <w:tcW w:w="4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5700" w:type="dxa"/>
            <w:vAlign w:val="bottom"/>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2620" w:type="dxa"/>
            <w:vAlign w:val="bottom"/>
            <w:tcBorders>
              <w:bottom w:val="single" w:sz="8" w:color="auto"/>
            </w:tcBorders>
            <w:gridSpan w:val="3"/>
          </w:tcPr>
          <w:p>
            <w:pPr>
              <w:jc w:val="right"/>
              <w:ind w:right="1081"/>
              <w:spacing w:after="0"/>
              <w:rPr>
                <w:sz w:val="20"/>
                <w:szCs w:val="20"/>
                <w:color w:val="auto"/>
              </w:rPr>
            </w:pPr>
            <w:r>
              <w:rPr>
                <w:rFonts w:ascii="Arial" w:cs="Arial" w:eastAsia="Arial" w:hAnsi="Arial"/>
                <w:sz w:val="14"/>
                <w:szCs w:val="14"/>
                <w:color w:val="auto"/>
              </w:rPr>
              <w:t>Sempra</w:t>
            </w:r>
          </w:p>
        </w:tc>
        <w:tc>
          <w:tcPr>
            <w:tcW w:w="3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46"/>
        </w:trPr>
        <w:tc>
          <w:tcPr>
            <w:tcW w:w="57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40" w:type="dxa"/>
            <w:vAlign w:val="bottom"/>
          </w:tcPr>
          <w:p>
            <w:pPr>
              <w:jc w:val="center"/>
              <w:ind w:right="81"/>
              <w:spacing w:after="0" w:line="146" w:lineRule="exact"/>
              <w:rPr>
                <w:sz w:val="20"/>
                <w:szCs w:val="20"/>
                <w:color w:val="auto"/>
              </w:rPr>
            </w:pPr>
            <w:r>
              <w:rPr>
                <w:rFonts w:ascii="Arial" w:cs="Arial" w:eastAsia="Arial" w:hAnsi="Arial"/>
                <w:sz w:val="14"/>
                <w:szCs w:val="14"/>
                <w:color w:val="auto"/>
              </w:rPr>
              <w:t>Consolidating</w:t>
            </w:r>
          </w:p>
        </w:tc>
        <w:tc>
          <w:tcPr>
            <w:tcW w:w="3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57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40" w:type="dxa"/>
            <w:vAlign w:val="bottom"/>
          </w:tcPr>
          <w:p>
            <w:pPr>
              <w:jc w:val="center"/>
              <w:ind w:right="81"/>
              <w:spacing w:after="0" w:line="139" w:lineRule="exact"/>
              <w:rPr>
                <w:sz w:val="20"/>
                <w:szCs w:val="20"/>
                <w:color w:val="auto"/>
              </w:rPr>
            </w:pPr>
            <w:r>
              <w:rPr>
                <w:rFonts w:ascii="Arial" w:cs="Arial" w:eastAsia="Arial" w:hAnsi="Arial"/>
                <w:sz w:val="14"/>
                <w:szCs w:val="14"/>
                <w:color w:val="auto"/>
              </w:rPr>
              <w:t>adjustments and</w:t>
            </w:r>
          </w:p>
        </w:tc>
        <w:tc>
          <w:tcPr>
            <w:tcW w:w="3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5700" w:type="dxa"/>
            <w:vAlign w:val="bottom"/>
          </w:tcPr>
          <w:p>
            <w:pPr>
              <w:spacing w:after="0"/>
              <w:rPr>
                <w:sz w:val="13"/>
                <w:szCs w:val="13"/>
                <w:color w:val="auto"/>
              </w:rPr>
            </w:pPr>
          </w:p>
        </w:tc>
        <w:tc>
          <w:tcPr>
            <w:tcW w:w="1360" w:type="dxa"/>
            <w:vAlign w:val="bottom"/>
            <w:gridSpan w:val="2"/>
            <w:vMerge w:val="restart"/>
          </w:tcPr>
          <w:p>
            <w:pPr>
              <w:jc w:val="right"/>
              <w:ind w:right="59"/>
              <w:spacing w:after="0"/>
              <w:rPr>
                <w:sz w:val="20"/>
                <w:szCs w:val="20"/>
                <w:color w:val="auto"/>
              </w:rPr>
            </w:pPr>
            <w:r>
              <w:rPr>
                <w:rFonts w:ascii="Arial" w:cs="Arial" w:eastAsia="Arial" w:hAnsi="Arial"/>
                <w:sz w:val="14"/>
                <w:szCs w:val="14"/>
                <w:color w:val="auto"/>
              </w:rPr>
              <w:t>Sempra California</w:t>
            </w:r>
          </w:p>
        </w:tc>
        <w:tc>
          <w:tcPr>
            <w:tcW w:w="200" w:type="dxa"/>
            <w:vAlign w:val="bottom"/>
          </w:tcPr>
          <w:p>
            <w:pPr>
              <w:spacing w:after="0"/>
              <w:rPr>
                <w:sz w:val="13"/>
                <w:szCs w:val="13"/>
                <w:color w:val="auto"/>
              </w:rPr>
            </w:pPr>
          </w:p>
        </w:tc>
        <w:tc>
          <w:tcPr>
            <w:tcW w:w="1180" w:type="dxa"/>
            <w:vAlign w:val="bottom"/>
          </w:tcPr>
          <w:p>
            <w:pPr>
              <w:jc w:val="right"/>
              <w:ind w:right="341"/>
              <w:spacing w:after="0" w:line="158" w:lineRule="exact"/>
              <w:rPr>
                <w:sz w:val="20"/>
                <w:szCs w:val="20"/>
                <w:color w:val="auto"/>
              </w:rPr>
            </w:pPr>
            <w:r>
              <w:rPr>
                <w:rFonts w:ascii="Arial" w:cs="Arial" w:eastAsia="Arial" w:hAnsi="Arial"/>
                <w:sz w:val="14"/>
                <w:szCs w:val="14"/>
                <w:color w:val="auto"/>
              </w:rPr>
              <w:t>Sempra</w:t>
            </w:r>
          </w:p>
        </w:tc>
        <w:tc>
          <w:tcPr>
            <w:tcW w:w="200" w:type="dxa"/>
            <w:vAlign w:val="bottom"/>
          </w:tcPr>
          <w:p>
            <w:pPr>
              <w:spacing w:after="0"/>
              <w:rPr>
                <w:sz w:val="13"/>
                <w:szCs w:val="13"/>
                <w:color w:val="auto"/>
              </w:rPr>
            </w:pPr>
          </w:p>
        </w:tc>
        <w:tc>
          <w:tcPr>
            <w:tcW w:w="1240" w:type="dxa"/>
            <w:vAlign w:val="bottom"/>
          </w:tcPr>
          <w:p>
            <w:pPr>
              <w:jc w:val="center"/>
              <w:ind w:right="121"/>
              <w:spacing w:after="0" w:line="158" w:lineRule="exact"/>
              <w:rPr>
                <w:sz w:val="20"/>
                <w:szCs w:val="20"/>
                <w:color w:val="auto"/>
              </w:rPr>
            </w:pPr>
            <w:r>
              <w:rPr>
                <w:rFonts w:ascii="Arial" w:cs="Arial" w:eastAsia="Arial" w:hAnsi="Arial"/>
                <w:sz w:val="14"/>
                <w:szCs w:val="14"/>
                <w:color w:val="auto"/>
              </w:rPr>
              <w:t>Parent</w:t>
            </w:r>
          </w:p>
        </w:tc>
        <w:tc>
          <w:tcPr>
            <w:tcW w:w="320" w:type="dxa"/>
            <w:vAlign w:val="bottom"/>
          </w:tcPr>
          <w:p>
            <w:pPr>
              <w:spacing w:after="0"/>
              <w:rPr>
                <w:sz w:val="13"/>
                <w:szCs w:val="13"/>
                <w:color w:val="auto"/>
              </w:rPr>
            </w:pPr>
          </w:p>
        </w:tc>
        <w:tc>
          <w:tcPr>
            <w:tcW w:w="1040" w:type="dxa"/>
            <w:vAlign w:val="bottom"/>
            <w:vMerge w:val="restart"/>
          </w:tcPr>
          <w:p>
            <w:pPr>
              <w:jc w:val="right"/>
              <w:ind w:right="319"/>
              <w:spacing w:after="0"/>
              <w:rPr>
                <w:sz w:val="20"/>
                <w:szCs w:val="20"/>
                <w:color w:val="auto"/>
              </w:rPr>
            </w:pPr>
            <w:r>
              <w:rPr>
                <w:rFonts w:ascii="Arial" w:cs="Arial" w:eastAsia="Arial" w:hAnsi="Arial"/>
                <w:sz w:val="14"/>
                <w:szCs w:val="14"/>
                <w:color w:val="auto"/>
              </w:rPr>
              <w:t>Sempra</w:t>
            </w:r>
          </w:p>
        </w:tc>
        <w:tc>
          <w:tcPr>
            <w:tcW w:w="0" w:type="dxa"/>
            <w:vAlign w:val="bottom"/>
          </w:tcPr>
          <w:p>
            <w:pPr>
              <w:spacing w:after="0"/>
              <w:rPr>
                <w:sz w:val="1"/>
                <w:szCs w:val="1"/>
                <w:color w:val="auto"/>
              </w:rPr>
            </w:pPr>
          </w:p>
        </w:tc>
      </w:tr>
      <w:tr>
        <w:trPr>
          <w:trHeight w:val="189"/>
        </w:trPr>
        <w:tc>
          <w:tcPr>
            <w:tcW w:w="5700" w:type="dxa"/>
            <w:vAlign w:val="bottom"/>
          </w:tcPr>
          <w:p>
            <w:pPr>
              <w:spacing w:after="0"/>
              <w:rPr>
                <w:sz w:val="16"/>
                <w:szCs w:val="16"/>
                <w:color w:val="auto"/>
              </w:rPr>
            </w:pPr>
          </w:p>
        </w:tc>
        <w:tc>
          <w:tcPr>
            <w:tcW w:w="1360" w:type="dxa"/>
            <w:vAlign w:val="bottom"/>
            <w:tcBorders>
              <w:bottom w:val="single" w:sz="8" w:color="auto"/>
            </w:tcBorders>
            <w:gridSpan w:val="2"/>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181"/>
              <w:spacing w:after="0"/>
              <w:rPr>
                <w:sz w:val="20"/>
                <w:szCs w:val="20"/>
                <w:color w:val="auto"/>
              </w:rPr>
            </w:pPr>
            <w:r>
              <w:rPr>
                <w:rFonts w:ascii="Arial" w:cs="Arial" w:eastAsia="Arial" w:hAnsi="Arial"/>
                <w:sz w:val="14"/>
                <w:szCs w:val="14"/>
                <w:color w:val="auto"/>
              </w:rPr>
              <w:t>Infrastructure</w:t>
            </w:r>
          </w:p>
        </w:tc>
        <w:tc>
          <w:tcPr>
            <w:tcW w:w="2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center"/>
              <w:ind w:right="81"/>
              <w:spacing w:after="0"/>
              <w:rPr>
                <w:sz w:val="20"/>
                <w:szCs w:val="20"/>
                <w:color w:val="auto"/>
              </w:rPr>
            </w:pPr>
            <w:r>
              <w:rPr>
                <w:rFonts w:ascii="Arial" w:cs="Arial" w:eastAsia="Arial" w:hAnsi="Arial"/>
                <w:sz w:val="14"/>
                <w:szCs w:val="14"/>
                <w:color w:val="auto"/>
              </w:rPr>
              <w:t>and other</w:t>
            </w: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570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620" w:type="dxa"/>
            <w:vAlign w:val="bottom"/>
            <w:tcBorders>
              <w:bottom w:val="single" w:sz="8" w:color="auto"/>
            </w:tcBorders>
            <w:gridSpan w:val="3"/>
          </w:tcPr>
          <w:p>
            <w:pPr>
              <w:jc w:val="right"/>
              <w:ind w:right="141"/>
              <w:spacing w:after="0"/>
              <w:rPr>
                <w:sz w:val="20"/>
                <w:szCs w:val="20"/>
                <w:color w:val="auto"/>
              </w:rPr>
            </w:pPr>
            <w:r>
              <w:rPr>
                <w:rFonts w:ascii="Arial" w:cs="Arial" w:eastAsia="Arial" w:hAnsi="Arial"/>
                <w:sz w:val="14"/>
                <w:szCs w:val="14"/>
                <w:color w:val="auto"/>
              </w:rPr>
              <w:t>Three months ended March 31, 2026</w:t>
            </w: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5700" w:type="dxa"/>
            <w:vAlign w:val="bottom"/>
            <w:shd w:val="clear" w:color="auto" w:fill="D4F1F5"/>
          </w:tcPr>
          <w:p>
            <w:pPr>
              <w:ind w:left="20"/>
              <w:spacing w:after="0"/>
              <w:rPr>
                <w:sz w:val="20"/>
                <w:szCs w:val="20"/>
                <w:color w:val="auto"/>
              </w:rPr>
            </w:pPr>
            <w:r>
              <w:rPr>
                <w:rFonts w:ascii="Arial" w:cs="Arial" w:eastAsia="Arial" w:hAnsi="Arial"/>
                <w:sz w:val="16"/>
                <w:szCs w:val="16"/>
                <w:b w:val="1"/>
                <w:bCs w:val="1"/>
                <w:color w:val="auto"/>
              </w:rPr>
              <w:t>By major service line:</w:t>
            </w:r>
          </w:p>
        </w:tc>
        <w:tc>
          <w:tcPr>
            <w:tcW w:w="460" w:type="dxa"/>
            <w:vAlign w:val="bottom"/>
            <w:shd w:val="clear" w:color="auto" w:fill="D4F1F5"/>
          </w:tcPr>
          <w:p>
            <w:pPr>
              <w:spacing w:after="0"/>
              <w:rPr>
                <w:sz w:val="18"/>
                <w:szCs w:val="18"/>
                <w:color w:val="auto"/>
              </w:rPr>
            </w:pPr>
          </w:p>
        </w:tc>
        <w:tc>
          <w:tcPr>
            <w:tcW w:w="900" w:type="dxa"/>
            <w:vAlign w:val="bottom"/>
            <w:shd w:val="clear" w:color="auto" w:fill="D4F1F5"/>
          </w:tcPr>
          <w:p>
            <w:pPr>
              <w:spacing w:after="0"/>
              <w:rPr>
                <w:sz w:val="18"/>
                <w:szCs w:val="18"/>
                <w:color w:val="auto"/>
              </w:rPr>
            </w:pPr>
          </w:p>
        </w:tc>
        <w:tc>
          <w:tcPr>
            <w:tcW w:w="200" w:type="dxa"/>
            <w:vAlign w:val="bottom"/>
            <w:shd w:val="clear" w:color="auto" w:fill="D4F1F5"/>
          </w:tcPr>
          <w:p>
            <w:pPr>
              <w:spacing w:after="0"/>
              <w:rPr>
                <w:sz w:val="18"/>
                <w:szCs w:val="18"/>
                <w:color w:val="auto"/>
              </w:rPr>
            </w:pPr>
          </w:p>
        </w:tc>
        <w:tc>
          <w:tcPr>
            <w:tcW w:w="1180" w:type="dxa"/>
            <w:vAlign w:val="bottom"/>
            <w:shd w:val="clear" w:color="auto" w:fill="D4F1F5"/>
          </w:tcPr>
          <w:p>
            <w:pPr>
              <w:spacing w:after="0"/>
              <w:rPr>
                <w:sz w:val="18"/>
                <w:szCs w:val="18"/>
                <w:color w:val="auto"/>
              </w:rPr>
            </w:pPr>
          </w:p>
        </w:tc>
        <w:tc>
          <w:tcPr>
            <w:tcW w:w="200" w:type="dxa"/>
            <w:vAlign w:val="bottom"/>
            <w:shd w:val="clear" w:color="auto" w:fill="D4F1F5"/>
          </w:tcPr>
          <w:p>
            <w:pPr>
              <w:spacing w:after="0"/>
              <w:rPr>
                <w:sz w:val="18"/>
                <w:szCs w:val="18"/>
                <w:color w:val="auto"/>
              </w:rPr>
            </w:pPr>
          </w:p>
        </w:tc>
        <w:tc>
          <w:tcPr>
            <w:tcW w:w="1240" w:type="dxa"/>
            <w:vAlign w:val="bottom"/>
            <w:shd w:val="clear" w:color="auto" w:fill="D4F1F5"/>
          </w:tcPr>
          <w:p>
            <w:pPr>
              <w:spacing w:after="0"/>
              <w:rPr>
                <w:sz w:val="18"/>
                <w:szCs w:val="18"/>
                <w:color w:val="auto"/>
              </w:rPr>
            </w:pPr>
          </w:p>
        </w:tc>
        <w:tc>
          <w:tcPr>
            <w:tcW w:w="320" w:type="dxa"/>
            <w:vAlign w:val="bottom"/>
            <w:shd w:val="clear" w:color="auto" w:fill="D4F1F5"/>
          </w:tcPr>
          <w:p>
            <w:pPr>
              <w:spacing w:after="0"/>
              <w:rPr>
                <w:sz w:val="18"/>
                <w:szCs w:val="18"/>
                <w:color w:val="auto"/>
              </w:rPr>
            </w:pPr>
          </w:p>
        </w:tc>
        <w:tc>
          <w:tcPr>
            <w:tcW w:w="1040" w:type="dxa"/>
            <w:vAlign w:val="bottom"/>
            <w:shd w:val="clear" w:color="auto" w:fill="D4F1F5"/>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700" w:type="dxa"/>
            <w:vAlign w:val="bottom"/>
          </w:tcPr>
          <w:p>
            <w:pPr>
              <w:ind w:left="140"/>
              <w:spacing w:after="0"/>
              <w:rPr>
                <w:sz w:val="20"/>
                <w:szCs w:val="20"/>
                <w:color w:val="auto"/>
              </w:rPr>
            </w:pPr>
            <w:r>
              <w:rPr>
                <w:rFonts w:ascii="Arial" w:cs="Arial" w:eastAsia="Arial" w:hAnsi="Arial"/>
                <w:sz w:val="16"/>
                <w:szCs w:val="16"/>
                <w:color w:val="auto"/>
              </w:rPr>
              <w:t>Utilities</w:t>
            </w:r>
          </w:p>
        </w:tc>
        <w:tc>
          <w:tcPr>
            <w:tcW w:w="460" w:type="dxa"/>
            <w:vAlign w:val="bottom"/>
          </w:tcPr>
          <w:p>
            <w:pPr>
              <w:jc w:val="right"/>
              <w:ind w:right="260"/>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59"/>
              <w:spacing w:after="0"/>
              <w:rPr>
                <w:sz w:val="20"/>
                <w:szCs w:val="20"/>
                <w:color w:val="auto"/>
              </w:rPr>
            </w:pPr>
            <w:r>
              <w:rPr>
                <w:rFonts w:ascii="Arial" w:cs="Arial" w:eastAsia="Arial" w:hAnsi="Arial"/>
                <w:sz w:val="16"/>
                <w:szCs w:val="16"/>
                <w:color w:val="auto"/>
              </w:rPr>
              <w:t>3,220</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21"/>
              <w:spacing w:after="0"/>
              <w:rPr>
                <w:sz w:val="20"/>
                <w:szCs w:val="20"/>
                <w:color w:val="auto"/>
              </w:rPr>
            </w:pPr>
            <w:r>
              <w:rPr>
                <w:rFonts w:ascii="Arial" w:cs="Arial" w:eastAsia="Arial" w:hAnsi="Arial"/>
                <w:sz w:val="16"/>
                <w:szCs w:val="16"/>
                <w:color w:val="auto"/>
              </w:rPr>
              <w:t>27</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1"/>
              <w:spacing w:after="0"/>
              <w:rPr>
                <w:sz w:val="20"/>
                <w:szCs w:val="20"/>
                <w:color w:val="auto"/>
              </w:rPr>
            </w:pPr>
            <w:r>
              <w:rPr>
                <w:rFonts w:ascii="Arial" w:cs="Arial" w:eastAsia="Arial" w:hAnsi="Arial"/>
                <w:sz w:val="16"/>
                <w:szCs w:val="16"/>
                <w:color w:val="auto"/>
              </w:rPr>
              <w:t>(9)</w:t>
            </w:r>
          </w:p>
        </w:tc>
        <w:tc>
          <w:tcPr>
            <w:tcW w:w="32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3,238</w:t>
            </w:r>
          </w:p>
        </w:tc>
        <w:tc>
          <w:tcPr>
            <w:tcW w:w="0" w:type="dxa"/>
            <w:vAlign w:val="bottom"/>
          </w:tcPr>
          <w:p>
            <w:pPr>
              <w:spacing w:after="0"/>
              <w:rPr>
                <w:sz w:val="1"/>
                <w:szCs w:val="1"/>
                <w:color w:val="auto"/>
              </w:rPr>
            </w:pPr>
          </w:p>
        </w:tc>
      </w:tr>
      <w:tr>
        <w:trPr>
          <w:trHeight w:val="216"/>
        </w:trPr>
        <w:tc>
          <w:tcPr>
            <w:tcW w:w="5700" w:type="dxa"/>
            <w:vAlign w:val="bottom"/>
            <w:shd w:val="clear" w:color="auto" w:fill="D4F1F5"/>
          </w:tcPr>
          <w:p>
            <w:pPr>
              <w:ind w:left="140"/>
              <w:spacing w:after="0"/>
              <w:rPr>
                <w:sz w:val="20"/>
                <w:szCs w:val="20"/>
                <w:color w:val="auto"/>
              </w:rPr>
            </w:pPr>
            <w:r>
              <w:rPr>
                <w:rFonts w:ascii="Arial" w:cs="Arial" w:eastAsia="Arial" w:hAnsi="Arial"/>
                <w:sz w:val="16"/>
                <w:szCs w:val="16"/>
                <w:color w:val="auto"/>
              </w:rPr>
              <w:t>Energy-related businesses</w:t>
            </w:r>
          </w:p>
        </w:tc>
        <w:tc>
          <w:tcPr>
            <w:tcW w:w="460" w:type="dxa"/>
            <w:vAlign w:val="bottom"/>
            <w:tcBorders>
              <w:bottom w:val="single" w:sz="8" w:color="auto"/>
            </w:tcBorders>
            <w:shd w:val="clear" w:color="auto" w:fill="D4F1F5"/>
          </w:tcPr>
          <w:p>
            <w:pPr>
              <w:spacing w:after="0"/>
              <w:rPr>
                <w:sz w:val="18"/>
                <w:szCs w:val="18"/>
                <w:color w:val="auto"/>
              </w:rPr>
            </w:pPr>
          </w:p>
        </w:tc>
        <w:tc>
          <w:tcPr>
            <w:tcW w:w="900" w:type="dxa"/>
            <w:vAlign w:val="bottom"/>
            <w:tcBorders>
              <w:bottom w:val="single" w:sz="8" w:color="auto"/>
            </w:tcBorders>
            <w:shd w:val="clear" w:color="auto" w:fill="D4F1F5"/>
          </w:tcPr>
          <w:p>
            <w:pPr>
              <w:jc w:val="right"/>
              <w:ind w:right="59"/>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auto"/>
            </w:tcBorders>
            <w:shd w:val="clear" w:color="auto" w:fill="D4F1F5"/>
          </w:tcPr>
          <w:p>
            <w:pPr>
              <w:spacing w:after="0"/>
              <w:rPr>
                <w:sz w:val="18"/>
                <w:szCs w:val="18"/>
                <w:color w:val="auto"/>
              </w:rPr>
            </w:pPr>
          </w:p>
        </w:tc>
        <w:tc>
          <w:tcPr>
            <w:tcW w:w="1180" w:type="dxa"/>
            <w:vAlign w:val="bottom"/>
            <w:tcBorders>
              <w:bottom w:val="single" w:sz="8" w:color="auto"/>
            </w:tcBorders>
            <w:shd w:val="clear" w:color="auto" w:fill="D4F1F5"/>
          </w:tcPr>
          <w:p>
            <w:pPr>
              <w:jc w:val="right"/>
              <w:ind w:right="21"/>
              <w:spacing w:after="0"/>
              <w:rPr>
                <w:sz w:val="20"/>
                <w:szCs w:val="20"/>
                <w:color w:val="auto"/>
              </w:rPr>
            </w:pPr>
            <w:r>
              <w:rPr>
                <w:rFonts w:ascii="Arial" w:cs="Arial" w:eastAsia="Arial" w:hAnsi="Arial"/>
                <w:sz w:val="16"/>
                <w:szCs w:val="16"/>
                <w:color w:val="auto"/>
              </w:rPr>
              <w:t>203</w:t>
            </w:r>
          </w:p>
        </w:tc>
        <w:tc>
          <w:tcPr>
            <w:tcW w:w="200" w:type="dxa"/>
            <w:vAlign w:val="bottom"/>
            <w:tcBorders>
              <w:bottom w:val="single" w:sz="8" w:color="auto"/>
            </w:tcBorders>
            <w:shd w:val="clear" w:color="auto" w:fill="D4F1F5"/>
          </w:tcPr>
          <w:p>
            <w:pPr>
              <w:spacing w:after="0"/>
              <w:rPr>
                <w:sz w:val="18"/>
                <w:szCs w:val="18"/>
                <w:color w:val="auto"/>
              </w:rPr>
            </w:pPr>
          </w:p>
        </w:tc>
        <w:tc>
          <w:tcPr>
            <w:tcW w:w="1240" w:type="dxa"/>
            <w:vAlign w:val="bottom"/>
            <w:tcBorders>
              <w:bottom w:val="single" w:sz="8" w:color="auto"/>
            </w:tcBorders>
            <w:shd w:val="clear" w:color="auto" w:fill="D4F1F5"/>
          </w:tcPr>
          <w:p>
            <w:pPr>
              <w:jc w:val="right"/>
              <w:ind w:right="1"/>
              <w:spacing w:after="0"/>
              <w:rPr>
                <w:sz w:val="20"/>
                <w:szCs w:val="20"/>
                <w:color w:val="auto"/>
              </w:rPr>
            </w:pPr>
            <w:r>
              <w:rPr>
                <w:rFonts w:ascii="Arial" w:cs="Arial" w:eastAsia="Arial" w:hAnsi="Arial"/>
                <w:sz w:val="16"/>
                <w:szCs w:val="16"/>
                <w:color w:val="auto"/>
              </w:rPr>
              <w:t>(13)</w:t>
            </w:r>
          </w:p>
        </w:tc>
        <w:tc>
          <w:tcPr>
            <w:tcW w:w="320" w:type="dxa"/>
            <w:vAlign w:val="bottom"/>
            <w:tcBorders>
              <w:bottom w:val="single" w:sz="8" w:color="auto"/>
            </w:tcBorders>
            <w:shd w:val="clear" w:color="auto" w:fill="D4F1F5"/>
          </w:tcPr>
          <w:p>
            <w:pPr>
              <w:spacing w:after="0"/>
              <w:rPr>
                <w:sz w:val="18"/>
                <w:szCs w:val="18"/>
                <w:color w:val="auto"/>
              </w:rPr>
            </w:pPr>
          </w:p>
        </w:tc>
        <w:tc>
          <w:tcPr>
            <w:tcW w:w="1040" w:type="dxa"/>
            <w:vAlign w:val="bottom"/>
            <w:tcBorders>
              <w:bottom w:val="single" w:sz="8" w:color="auto"/>
            </w:tcBorders>
            <w:shd w:val="clear" w:color="auto" w:fill="D4F1F5"/>
          </w:tcPr>
          <w:p>
            <w:pPr>
              <w:jc w:val="right"/>
              <w:spacing w:after="0"/>
              <w:rPr>
                <w:sz w:val="20"/>
                <w:szCs w:val="20"/>
                <w:color w:val="auto"/>
              </w:rPr>
            </w:pPr>
            <w:r>
              <w:rPr>
                <w:rFonts w:ascii="Arial" w:cs="Arial" w:eastAsia="Arial" w:hAnsi="Arial"/>
                <w:sz w:val="16"/>
                <w:szCs w:val="16"/>
                <w:color w:val="auto"/>
              </w:rPr>
              <w:t>190</w:t>
            </w:r>
          </w:p>
        </w:tc>
        <w:tc>
          <w:tcPr>
            <w:tcW w:w="0" w:type="dxa"/>
            <w:vAlign w:val="bottom"/>
          </w:tcPr>
          <w:p>
            <w:pPr>
              <w:spacing w:after="0"/>
              <w:rPr>
                <w:sz w:val="1"/>
                <w:szCs w:val="1"/>
                <w:color w:val="auto"/>
              </w:rPr>
            </w:pPr>
          </w:p>
        </w:tc>
      </w:tr>
      <w:tr>
        <w:trPr>
          <w:trHeight w:val="217"/>
        </w:trPr>
        <w:tc>
          <w:tcPr>
            <w:tcW w:w="5700" w:type="dxa"/>
            <w:vAlign w:val="bottom"/>
            <w:tcBorders>
              <w:bottom w:val="single" w:sz="8" w:color="D4F1F5"/>
            </w:tcBorders>
          </w:tcPr>
          <w:p>
            <w:pPr>
              <w:ind w:left="220"/>
              <w:spacing w:after="0"/>
              <w:rPr>
                <w:sz w:val="20"/>
                <w:szCs w:val="20"/>
                <w:color w:val="auto"/>
              </w:rPr>
            </w:pPr>
            <w:r>
              <w:rPr>
                <w:rFonts w:ascii="Arial" w:cs="Arial" w:eastAsia="Arial" w:hAnsi="Arial"/>
                <w:sz w:val="16"/>
                <w:szCs w:val="16"/>
                <w:color w:val="auto"/>
              </w:rPr>
              <w:t>Revenues from contracts with customers</w:t>
            </w:r>
          </w:p>
        </w:tc>
        <w:tc>
          <w:tcPr>
            <w:tcW w:w="460" w:type="dxa"/>
            <w:vAlign w:val="bottom"/>
            <w:tcBorders>
              <w:bottom w:val="single" w:sz="8" w:color="auto"/>
            </w:tcBorders>
          </w:tcPr>
          <w:p>
            <w:pPr>
              <w:jc w:val="right"/>
              <w:ind w:right="260"/>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3,220</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230</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(22)</w:t>
            </w:r>
          </w:p>
        </w:tc>
        <w:tc>
          <w:tcPr>
            <w:tcW w:w="3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3,428</w:t>
            </w:r>
          </w:p>
        </w:tc>
        <w:tc>
          <w:tcPr>
            <w:tcW w:w="0" w:type="dxa"/>
            <w:vAlign w:val="bottom"/>
          </w:tcPr>
          <w:p>
            <w:pPr>
              <w:spacing w:after="0"/>
              <w:rPr>
                <w:sz w:val="1"/>
                <w:szCs w:val="1"/>
                <w:color w:val="auto"/>
              </w:rPr>
            </w:pPr>
          </w:p>
        </w:tc>
      </w:tr>
      <w:tr>
        <w:trPr>
          <w:trHeight w:val="203"/>
        </w:trPr>
        <w:tc>
          <w:tcPr>
            <w:tcW w:w="5700" w:type="dxa"/>
            <w:vAlign w:val="bottom"/>
            <w:shd w:val="clear" w:color="auto" w:fill="D4F1F5"/>
          </w:tcPr>
          <w:p>
            <w:pPr>
              <w:ind w:left="20"/>
              <w:spacing w:after="0"/>
              <w:rPr>
                <w:sz w:val="20"/>
                <w:szCs w:val="20"/>
                <w:color w:val="auto"/>
              </w:rPr>
            </w:pPr>
            <w:r>
              <w:rPr>
                <w:rFonts w:ascii="Arial" w:cs="Arial" w:eastAsia="Arial" w:hAnsi="Arial"/>
                <w:sz w:val="16"/>
                <w:szCs w:val="16"/>
                <w:b w:val="1"/>
                <w:bCs w:val="1"/>
                <w:color w:val="auto"/>
              </w:rPr>
              <w:t>By market:</w:t>
            </w:r>
          </w:p>
        </w:tc>
        <w:tc>
          <w:tcPr>
            <w:tcW w:w="460" w:type="dxa"/>
            <w:vAlign w:val="bottom"/>
            <w:shd w:val="clear" w:color="auto" w:fill="D4F1F5"/>
          </w:tcPr>
          <w:p>
            <w:pPr>
              <w:spacing w:after="0"/>
              <w:rPr>
                <w:sz w:val="17"/>
                <w:szCs w:val="17"/>
                <w:color w:val="auto"/>
              </w:rPr>
            </w:pPr>
          </w:p>
        </w:tc>
        <w:tc>
          <w:tcPr>
            <w:tcW w:w="900" w:type="dxa"/>
            <w:vAlign w:val="bottom"/>
            <w:shd w:val="clear" w:color="auto" w:fill="D4F1F5"/>
          </w:tcPr>
          <w:p>
            <w:pPr>
              <w:spacing w:after="0"/>
              <w:rPr>
                <w:sz w:val="17"/>
                <w:szCs w:val="17"/>
                <w:color w:val="auto"/>
              </w:rPr>
            </w:pPr>
          </w:p>
        </w:tc>
        <w:tc>
          <w:tcPr>
            <w:tcW w:w="200" w:type="dxa"/>
            <w:vAlign w:val="bottom"/>
            <w:shd w:val="clear" w:color="auto" w:fill="D4F1F5"/>
          </w:tcPr>
          <w:p>
            <w:pPr>
              <w:spacing w:after="0"/>
              <w:rPr>
                <w:sz w:val="17"/>
                <w:szCs w:val="17"/>
                <w:color w:val="auto"/>
              </w:rPr>
            </w:pPr>
          </w:p>
        </w:tc>
        <w:tc>
          <w:tcPr>
            <w:tcW w:w="1180" w:type="dxa"/>
            <w:vAlign w:val="bottom"/>
            <w:shd w:val="clear" w:color="auto" w:fill="D4F1F5"/>
          </w:tcPr>
          <w:p>
            <w:pPr>
              <w:spacing w:after="0"/>
              <w:rPr>
                <w:sz w:val="17"/>
                <w:szCs w:val="17"/>
                <w:color w:val="auto"/>
              </w:rPr>
            </w:pPr>
          </w:p>
        </w:tc>
        <w:tc>
          <w:tcPr>
            <w:tcW w:w="200" w:type="dxa"/>
            <w:vAlign w:val="bottom"/>
            <w:shd w:val="clear" w:color="auto" w:fill="D4F1F5"/>
          </w:tcPr>
          <w:p>
            <w:pPr>
              <w:spacing w:after="0"/>
              <w:rPr>
                <w:sz w:val="17"/>
                <w:szCs w:val="17"/>
                <w:color w:val="auto"/>
              </w:rPr>
            </w:pPr>
          </w:p>
        </w:tc>
        <w:tc>
          <w:tcPr>
            <w:tcW w:w="1240" w:type="dxa"/>
            <w:vAlign w:val="bottom"/>
            <w:shd w:val="clear" w:color="auto" w:fill="D4F1F5"/>
          </w:tcPr>
          <w:p>
            <w:pPr>
              <w:spacing w:after="0"/>
              <w:rPr>
                <w:sz w:val="17"/>
                <w:szCs w:val="17"/>
                <w:color w:val="auto"/>
              </w:rPr>
            </w:pPr>
          </w:p>
        </w:tc>
        <w:tc>
          <w:tcPr>
            <w:tcW w:w="320" w:type="dxa"/>
            <w:vAlign w:val="bottom"/>
            <w:shd w:val="clear" w:color="auto" w:fill="D4F1F5"/>
          </w:tcPr>
          <w:p>
            <w:pPr>
              <w:spacing w:after="0"/>
              <w:rPr>
                <w:sz w:val="17"/>
                <w:szCs w:val="17"/>
                <w:color w:val="auto"/>
              </w:rPr>
            </w:pPr>
          </w:p>
        </w:tc>
        <w:tc>
          <w:tcPr>
            <w:tcW w:w="1040" w:type="dxa"/>
            <w:vAlign w:val="bottom"/>
            <w:shd w:val="clear" w:color="auto" w:fill="D4F1F5"/>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5700" w:type="dxa"/>
            <w:vAlign w:val="bottom"/>
          </w:tcPr>
          <w:p>
            <w:pPr>
              <w:ind w:left="140"/>
              <w:spacing w:after="0"/>
              <w:rPr>
                <w:sz w:val="20"/>
                <w:szCs w:val="20"/>
                <w:color w:val="auto"/>
              </w:rPr>
            </w:pPr>
            <w:r>
              <w:rPr>
                <w:rFonts w:ascii="Arial" w:cs="Arial" w:eastAsia="Arial" w:hAnsi="Arial"/>
                <w:sz w:val="16"/>
                <w:szCs w:val="16"/>
                <w:color w:val="auto"/>
              </w:rPr>
              <w:t>Gas</w:t>
            </w:r>
          </w:p>
        </w:tc>
        <w:tc>
          <w:tcPr>
            <w:tcW w:w="460" w:type="dxa"/>
            <w:vAlign w:val="bottom"/>
          </w:tcPr>
          <w:p>
            <w:pPr>
              <w:jc w:val="right"/>
              <w:ind w:right="260"/>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59"/>
              <w:spacing w:after="0"/>
              <w:rPr>
                <w:sz w:val="20"/>
                <w:szCs w:val="20"/>
                <w:color w:val="auto"/>
              </w:rPr>
            </w:pPr>
            <w:r>
              <w:rPr>
                <w:rFonts w:ascii="Arial" w:cs="Arial" w:eastAsia="Arial" w:hAnsi="Arial"/>
                <w:sz w:val="16"/>
                <w:szCs w:val="16"/>
                <w:color w:val="auto"/>
              </w:rPr>
              <w:t>1,988</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21"/>
              <w:spacing w:after="0"/>
              <w:rPr>
                <w:sz w:val="20"/>
                <w:szCs w:val="20"/>
                <w:color w:val="auto"/>
              </w:rPr>
            </w:pPr>
            <w:r>
              <w:rPr>
                <w:rFonts w:ascii="Arial" w:cs="Arial" w:eastAsia="Arial" w:hAnsi="Arial"/>
                <w:sz w:val="16"/>
                <w:szCs w:val="16"/>
                <w:color w:val="auto"/>
              </w:rPr>
              <w:t>135</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1"/>
              <w:spacing w:after="0"/>
              <w:rPr>
                <w:sz w:val="20"/>
                <w:szCs w:val="20"/>
                <w:color w:val="auto"/>
              </w:rPr>
            </w:pPr>
            <w:r>
              <w:rPr>
                <w:rFonts w:ascii="Arial" w:cs="Arial" w:eastAsia="Arial" w:hAnsi="Arial"/>
                <w:sz w:val="16"/>
                <w:szCs w:val="16"/>
                <w:color w:val="auto"/>
              </w:rPr>
              <w:t>(7)</w:t>
            </w:r>
          </w:p>
        </w:tc>
        <w:tc>
          <w:tcPr>
            <w:tcW w:w="32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2,116</w:t>
            </w:r>
          </w:p>
        </w:tc>
        <w:tc>
          <w:tcPr>
            <w:tcW w:w="0" w:type="dxa"/>
            <w:vAlign w:val="bottom"/>
          </w:tcPr>
          <w:p>
            <w:pPr>
              <w:spacing w:after="0"/>
              <w:rPr>
                <w:sz w:val="1"/>
                <w:szCs w:val="1"/>
                <w:color w:val="auto"/>
              </w:rPr>
            </w:pPr>
          </w:p>
        </w:tc>
      </w:tr>
      <w:tr>
        <w:trPr>
          <w:trHeight w:val="216"/>
        </w:trPr>
        <w:tc>
          <w:tcPr>
            <w:tcW w:w="5700" w:type="dxa"/>
            <w:vAlign w:val="bottom"/>
            <w:shd w:val="clear" w:color="auto" w:fill="D4F1F5"/>
          </w:tcPr>
          <w:p>
            <w:pPr>
              <w:ind w:left="140"/>
              <w:spacing w:after="0"/>
              <w:rPr>
                <w:sz w:val="20"/>
                <w:szCs w:val="20"/>
                <w:color w:val="auto"/>
              </w:rPr>
            </w:pPr>
            <w:r>
              <w:rPr>
                <w:rFonts w:ascii="Arial" w:cs="Arial" w:eastAsia="Arial" w:hAnsi="Arial"/>
                <w:sz w:val="16"/>
                <w:szCs w:val="16"/>
                <w:color w:val="auto"/>
              </w:rPr>
              <w:t>Electric</w:t>
            </w:r>
          </w:p>
        </w:tc>
        <w:tc>
          <w:tcPr>
            <w:tcW w:w="460" w:type="dxa"/>
            <w:vAlign w:val="bottom"/>
            <w:tcBorders>
              <w:bottom w:val="single" w:sz="8" w:color="auto"/>
            </w:tcBorders>
            <w:shd w:val="clear" w:color="auto" w:fill="D4F1F5"/>
          </w:tcPr>
          <w:p>
            <w:pPr>
              <w:spacing w:after="0"/>
              <w:rPr>
                <w:sz w:val="18"/>
                <w:szCs w:val="18"/>
                <w:color w:val="auto"/>
              </w:rPr>
            </w:pPr>
          </w:p>
        </w:tc>
        <w:tc>
          <w:tcPr>
            <w:tcW w:w="900" w:type="dxa"/>
            <w:vAlign w:val="bottom"/>
            <w:tcBorders>
              <w:bottom w:val="single" w:sz="8" w:color="auto"/>
            </w:tcBorders>
            <w:shd w:val="clear" w:color="auto" w:fill="D4F1F5"/>
          </w:tcPr>
          <w:p>
            <w:pPr>
              <w:jc w:val="right"/>
              <w:ind w:right="59"/>
              <w:spacing w:after="0"/>
              <w:rPr>
                <w:sz w:val="20"/>
                <w:szCs w:val="20"/>
                <w:color w:val="auto"/>
              </w:rPr>
            </w:pPr>
            <w:r>
              <w:rPr>
                <w:rFonts w:ascii="Arial" w:cs="Arial" w:eastAsia="Arial" w:hAnsi="Arial"/>
                <w:sz w:val="16"/>
                <w:szCs w:val="16"/>
                <w:color w:val="auto"/>
              </w:rPr>
              <w:t>1,232</w:t>
            </w:r>
          </w:p>
        </w:tc>
        <w:tc>
          <w:tcPr>
            <w:tcW w:w="200" w:type="dxa"/>
            <w:vAlign w:val="bottom"/>
            <w:tcBorders>
              <w:bottom w:val="single" w:sz="8" w:color="auto"/>
            </w:tcBorders>
            <w:shd w:val="clear" w:color="auto" w:fill="D4F1F5"/>
          </w:tcPr>
          <w:p>
            <w:pPr>
              <w:spacing w:after="0"/>
              <w:rPr>
                <w:sz w:val="18"/>
                <w:szCs w:val="18"/>
                <w:color w:val="auto"/>
              </w:rPr>
            </w:pPr>
          </w:p>
        </w:tc>
        <w:tc>
          <w:tcPr>
            <w:tcW w:w="1180" w:type="dxa"/>
            <w:vAlign w:val="bottom"/>
            <w:tcBorders>
              <w:bottom w:val="single" w:sz="8" w:color="auto"/>
            </w:tcBorders>
            <w:shd w:val="clear" w:color="auto" w:fill="D4F1F5"/>
          </w:tcPr>
          <w:p>
            <w:pPr>
              <w:jc w:val="right"/>
              <w:ind w:right="21"/>
              <w:spacing w:after="0"/>
              <w:rPr>
                <w:sz w:val="20"/>
                <w:szCs w:val="20"/>
                <w:color w:val="auto"/>
              </w:rPr>
            </w:pPr>
            <w:r>
              <w:rPr>
                <w:rFonts w:ascii="Arial" w:cs="Arial" w:eastAsia="Arial" w:hAnsi="Arial"/>
                <w:sz w:val="16"/>
                <w:szCs w:val="16"/>
                <w:color w:val="auto"/>
              </w:rPr>
              <w:t>95</w:t>
            </w:r>
          </w:p>
        </w:tc>
        <w:tc>
          <w:tcPr>
            <w:tcW w:w="200" w:type="dxa"/>
            <w:vAlign w:val="bottom"/>
            <w:tcBorders>
              <w:bottom w:val="single" w:sz="8" w:color="auto"/>
            </w:tcBorders>
            <w:shd w:val="clear" w:color="auto" w:fill="D4F1F5"/>
          </w:tcPr>
          <w:p>
            <w:pPr>
              <w:spacing w:after="0"/>
              <w:rPr>
                <w:sz w:val="18"/>
                <w:szCs w:val="18"/>
                <w:color w:val="auto"/>
              </w:rPr>
            </w:pPr>
          </w:p>
        </w:tc>
        <w:tc>
          <w:tcPr>
            <w:tcW w:w="1240" w:type="dxa"/>
            <w:vAlign w:val="bottom"/>
            <w:tcBorders>
              <w:bottom w:val="single" w:sz="8" w:color="auto"/>
            </w:tcBorders>
            <w:shd w:val="clear" w:color="auto" w:fill="D4F1F5"/>
          </w:tcPr>
          <w:p>
            <w:pPr>
              <w:jc w:val="right"/>
              <w:ind w:right="1"/>
              <w:spacing w:after="0"/>
              <w:rPr>
                <w:sz w:val="20"/>
                <w:szCs w:val="20"/>
                <w:color w:val="auto"/>
              </w:rPr>
            </w:pPr>
            <w:r>
              <w:rPr>
                <w:rFonts w:ascii="Arial" w:cs="Arial" w:eastAsia="Arial" w:hAnsi="Arial"/>
                <w:sz w:val="16"/>
                <w:szCs w:val="16"/>
                <w:color w:val="auto"/>
              </w:rPr>
              <w:t>(15)</w:t>
            </w:r>
          </w:p>
        </w:tc>
        <w:tc>
          <w:tcPr>
            <w:tcW w:w="320" w:type="dxa"/>
            <w:vAlign w:val="bottom"/>
            <w:tcBorders>
              <w:bottom w:val="single" w:sz="8" w:color="auto"/>
            </w:tcBorders>
            <w:shd w:val="clear" w:color="auto" w:fill="D4F1F5"/>
          </w:tcPr>
          <w:p>
            <w:pPr>
              <w:spacing w:after="0"/>
              <w:rPr>
                <w:sz w:val="18"/>
                <w:szCs w:val="18"/>
                <w:color w:val="auto"/>
              </w:rPr>
            </w:pPr>
          </w:p>
        </w:tc>
        <w:tc>
          <w:tcPr>
            <w:tcW w:w="1040" w:type="dxa"/>
            <w:vAlign w:val="bottom"/>
            <w:tcBorders>
              <w:bottom w:val="single" w:sz="8" w:color="auto"/>
            </w:tcBorders>
            <w:shd w:val="clear" w:color="auto" w:fill="D4F1F5"/>
          </w:tcPr>
          <w:p>
            <w:pPr>
              <w:jc w:val="right"/>
              <w:spacing w:after="0"/>
              <w:rPr>
                <w:sz w:val="20"/>
                <w:szCs w:val="20"/>
                <w:color w:val="auto"/>
              </w:rPr>
            </w:pPr>
            <w:r>
              <w:rPr>
                <w:rFonts w:ascii="Arial" w:cs="Arial" w:eastAsia="Arial" w:hAnsi="Arial"/>
                <w:sz w:val="16"/>
                <w:szCs w:val="16"/>
                <w:color w:val="auto"/>
              </w:rPr>
              <w:t>1,312</w:t>
            </w:r>
          </w:p>
        </w:tc>
        <w:tc>
          <w:tcPr>
            <w:tcW w:w="0" w:type="dxa"/>
            <w:vAlign w:val="bottom"/>
          </w:tcPr>
          <w:p>
            <w:pPr>
              <w:spacing w:after="0"/>
              <w:rPr>
                <w:sz w:val="1"/>
                <w:szCs w:val="1"/>
                <w:color w:val="auto"/>
              </w:rPr>
            </w:pPr>
          </w:p>
        </w:tc>
      </w:tr>
      <w:tr>
        <w:trPr>
          <w:trHeight w:val="217"/>
        </w:trPr>
        <w:tc>
          <w:tcPr>
            <w:tcW w:w="5700" w:type="dxa"/>
            <w:vAlign w:val="bottom"/>
            <w:tcBorders>
              <w:bottom w:val="single" w:sz="8" w:color="D4F1F5"/>
            </w:tcBorders>
          </w:tcPr>
          <w:p>
            <w:pPr>
              <w:ind w:left="220"/>
              <w:spacing w:after="0"/>
              <w:rPr>
                <w:sz w:val="20"/>
                <w:szCs w:val="20"/>
                <w:color w:val="auto"/>
              </w:rPr>
            </w:pPr>
            <w:r>
              <w:rPr>
                <w:rFonts w:ascii="Arial" w:cs="Arial" w:eastAsia="Arial" w:hAnsi="Arial"/>
                <w:sz w:val="16"/>
                <w:szCs w:val="16"/>
                <w:color w:val="auto"/>
              </w:rPr>
              <w:t>Revenues from contracts with customers</w:t>
            </w:r>
          </w:p>
        </w:tc>
        <w:tc>
          <w:tcPr>
            <w:tcW w:w="460" w:type="dxa"/>
            <w:vAlign w:val="bottom"/>
            <w:tcBorders>
              <w:bottom w:val="single" w:sz="8" w:color="auto"/>
            </w:tcBorders>
          </w:tcPr>
          <w:p>
            <w:pPr>
              <w:jc w:val="right"/>
              <w:ind w:right="260"/>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3,220</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230</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(22)</w:t>
            </w:r>
          </w:p>
        </w:tc>
        <w:tc>
          <w:tcPr>
            <w:tcW w:w="3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3,428</w:t>
            </w:r>
          </w:p>
        </w:tc>
        <w:tc>
          <w:tcPr>
            <w:tcW w:w="0" w:type="dxa"/>
            <w:vAlign w:val="bottom"/>
          </w:tcPr>
          <w:p>
            <w:pPr>
              <w:spacing w:after="0"/>
              <w:rPr>
                <w:sz w:val="1"/>
                <w:szCs w:val="1"/>
                <w:color w:val="auto"/>
              </w:rPr>
            </w:pPr>
          </w:p>
        </w:tc>
      </w:tr>
      <w:tr>
        <w:trPr>
          <w:trHeight w:val="203"/>
        </w:trPr>
        <w:tc>
          <w:tcPr>
            <w:tcW w:w="5700" w:type="dxa"/>
            <w:vAlign w:val="bottom"/>
            <w:shd w:val="clear" w:color="auto" w:fill="D4F1F5"/>
          </w:tcPr>
          <w:p>
            <w:pPr>
              <w:spacing w:after="0"/>
              <w:rPr>
                <w:sz w:val="17"/>
                <w:szCs w:val="17"/>
                <w:color w:val="auto"/>
              </w:rPr>
            </w:pPr>
          </w:p>
        </w:tc>
        <w:tc>
          <w:tcPr>
            <w:tcW w:w="460" w:type="dxa"/>
            <w:vAlign w:val="bottom"/>
            <w:shd w:val="clear" w:color="auto" w:fill="D4F1F5"/>
          </w:tcPr>
          <w:p>
            <w:pPr>
              <w:spacing w:after="0"/>
              <w:rPr>
                <w:sz w:val="17"/>
                <w:szCs w:val="17"/>
                <w:color w:val="auto"/>
              </w:rPr>
            </w:pPr>
          </w:p>
        </w:tc>
        <w:tc>
          <w:tcPr>
            <w:tcW w:w="900" w:type="dxa"/>
            <w:vAlign w:val="bottom"/>
            <w:shd w:val="clear" w:color="auto" w:fill="D4F1F5"/>
          </w:tcPr>
          <w:p>
            <w:pPr>
              <w:spacing w:after="0"/>
              <w:rPr>
                <w:sz w:val="17"/>
                <w:szCs w:val="17"/>
                <w:color w:val="auto"/>
              </w:rPr>
            </w:pPr>
          </w:p>
        </w:tc>
        <w:tc>
          <w:tcPr>
            <w:tcW w:w="200" w:type="dxa"/>
            <w:vAlign w:val="bottom"/>
            <w:shd w:val="clear" w:color="auto" w:fill="D4F1F5"/>
          </w:tcPr>
          <w:p>
            <w:pPr>
              <w:spacing w:after="0"/>
              <w:rPr>
                <w:sz w:val="17"/>
                <w:szCs w:val="17"/>
                <w:color w:val="auto"/>
              </w:rPr>
            </w:pPr>
          </w:p>
        </w:tc>
        <w:tc>
          <w:tcPr>
            <w:tcW w:w="1180" w:type="dxa"/>
            <w:vAlign w:val="bottom"/>
            <w:shd w:val="clear" w:color="auto" w:fill="D4F1F5"/>
          </w:tcPr>
          <w:p>
            <w:pPr>
              <w:spacing w:after="0"/>
              <w:rPr>
                <w:sz w:val="17"/>
                <w:szCs w:val="17"/>
                <w:color w:val="auto"/>
              </w:rPr>
            </w:pPr>
          </w:p>
        </w:tc>
        <w:tc>
          <w:tcPr>
            <w:tcW w:w="200" w:type="dxa"/>
            <w:vAlign w:val="bottom"/>
            <w:shd w:val="clear" w:color="auto" w:fill="D4F1F5"/>
          </w:tcPr>
          <w:p>
            <w:pPr>
              <w:spacing w:after="0"/>
              <w:rPr>
                <w:sz w:val="17"/>
                <w:szCs w:val="17"/>
                <w:color w:val="auto"/>
              </w:rPr>
            </w:pPr>
          </w:p>
        </w:tc>
        <w:tc>
          <w:tcPr>
            <w:tcW w:w="1240" w:type="dxa"/>
            <w:vAlign w:val="bottom"/>
            <w:shd w:val="clear" w:color="auto" w:fill="D4F1F5"/>
          </w:tcPr>
          <w:p>
            <w:pPr>
              <w:spacing w:after="0"/>
              <w:rPr>
                <w:sz w:val="17"/>
                <w:szCs w:val="17"/>
                <w:color w:val="auto"/>
              </w:rPr>
            </w:pPr>
          </w:p>
        </w:tc>
        <w:tc>
          <w:tcPr>
            <w:tcW w:w="320" w:type="dxa"/>
            <w:vAlign w:val="bottom"/>
            <w:shd w:val="clear" w:color="auto" w:fill="D4F1F5"/>
          </w:tcPr>
          <w:p>
            <w:pPr>
              <w:spacing w:after="0"/>
              <w:rPr>
                <w:sz w:val="17"/>
                <w:szCs w:val="17"/>
                <w:color w:val="auto"/>
              </w:rPr>
            </w:pPr>
          </w:p>
        </w:tc>
        <w:tc>
          <w:tcPr>
            <w:tcW w:w="1040" w:type="dxa"/>
            <w:vAlign w:val="bottom"/>
            <w:shd w:val="clear" w:color="auto" w:fill="D4F1F5"/>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5700" w:type="dxa"/>
            <w:vAlign w:val="bottom"/>
          </w:tcPr>
          <w:p>
            <w:pPr>
              <w:ind w:left="20"/>
              <w:spacing w:after="0"/>
              <w:rPr>
                <w:sz w:val="20"/>
                <w:szCs w:val="20"/>
                <w:color w:val="auto"/>
              </w:rPr>
            </w:pPr>
            <w:r>
              <w:rPr>
                <w:rFonts w:ascii="Arial" w:cs="Arial" w:eastAsia="Arial" w:hAnsi="Arial"/>
                <w:sz w:val="16"/>
                <w:szCs w:val="16"/>
                <w:color w:val="auto"/>
              </w:rPr>
              <w:t>Revenues from contracts with customers</w:t>
            </w:r>
          </w:p>
        </w:tc>
        <w:tc>
          <w:tcPr>
            <w:tcW w:w="460" w:type="dxa"/>
            <w:vAlign w:val="bottom"/>
          </w:tcPr>
          <w:p>
            <w:pPr>
              <w:jc w:val="right"/>
              <w:ind w:right="260"/>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59"/>
              <w:spacing w:after="0"/>
              <w:rPr>
                <w:sz w:val="20"/>
                <w:szCs w:val="20"/>
                <w:color w:val="auto"/>
              </w:rPr>
            </w:pPr>
            <w:r>
              <w:rPr>
                <w:rFonts w:ascii="Arial" w:cs="Arial" w:eastAsia="Arial" w:hAnsi="Arial"/>
                <w:sz w:val="16"/>
                <w:szCs w:val="16"/>
                <w:color w:val="auto"/>
              </w:rPr>
              <w:t>3,220</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21"/>
              <w:spacing w:after="0"/>
              <w:rPr>
                <w:sz w:val="20"/>
                <w:szCs w:val="20"/>
                <w:color w:val="auto"/>
              </w:rPr>
            </w:pPr>
            <w:r>
              <w:rPr>
                <w:rFonts w:ascii="Arial" w:cs="Arial" w:eastAsia="Arial" w:hAnsi="Arial"/>
                <w:sz w:val="16"/>
                <w:szCs w:val="16"/>
                <w:color w:val="auto"/>
              </w:rPr>
              <w:t>230</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1"/>
              <w:spacing w:after="0"/>
              <w:rPr>
                <w:sz w:val="20"/>
                <w:szCs w:val="20"/>
                <w:color w:val="auto"/>
              </w:rPr>
            </w:pPr>
            <w:r>
              <w:rPr>
                <w:rFonts w:ascii="Arial" w:cs="Arial" w:eastAsia="Arial" w:hAnsi="Arial"/>
                <w:sz w:val="16"/>
                <w:szCs w:val="16"/>
                <w:color w:val="auto"/>
              </w:rPr>
              <w:t>(22)</w:t>
            </w:r>
          </w:p>
        </w:tc>
        <w:tc>
          <w:tcPr>
            <w:tcW w:w="32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3,428</w:t>
            </w:r>
          </w:p>
        </w:tc>
        <w:tc>
          <w:tcPr>
            <w:tcW w:w="0" w:type="dxa"/>
            <w:vAlign w:val="bottom"/>
          </w:tcPr>
          <w:p>
            <w:pPr>
              <w:spacing w:after="0"/>
              <w:rPr>
                <w:sz w:val="1"/>
                <w:szCs w:val="1"/>
                <w:color w:val="auto"/>
              </w:rPr>
            </w:pPr>
          </w:p>
        </w:tc>
      </w:tr>
      <w:tr>
        <w:trPr>
          <w:trHeight w:val="217"/>
        </w:trPr>
        <w:tc>
          <w:tcPr>
            <w:tcW w:w="5700" w:type="dxa"/>
            <w:vAlign w:val="bottom"/>
            <w:shd w:val="clear" w:color="auto" w:fill="D4F1F5"/>
          </w:tcPr>
          <w:p>
            <w:pPr>
              <w:ind w:left="20"/>
              <w:spacing w:after="0"/>
              <w:rPr>
                <w:sz w:val="20"/>
                <w:szCs w:val="20"/>
                <w:color w:val="auto"/>
              </w:rPr>
            </w:pPr>
            <w:r>
              <w:rPr>
                <w:rFonts w:ascii="Arial" w:cs="Arial" w:eastAsia="Arial" w:hAnsi="Arial"/>
                <w:sz w:val="16"/>
                <w:szCs w:val="16"/>
                <w:color w:val="auto"/>
              </w:rPr>
              <w:t>Utilities regulatory revenues</w:t>
            </w:r>
          </w:p>
        </w:tc>
        <w:tc>
          <w:tcPr>
            <w:tcW w:w="460" w:type="dxa"/>
            <w:vAlign w:val="bottom"/>
            <w:shd w:val="clear" w:color="auto" w:fill="D4F1F5"/>
          </w:tcPr>
          <w:p>
            <w:pPr>
              <w:spacing w:after="0"/>
              <w:rPr>
                <w:sz w:val="18"/>
                <w:szCs w:val="18"/>
                <w:color w:val="auto"/>
              </w:rPr>
            </w:pPr>
          </w:p>
        </w:tc>
        <w:tc>
          <w:tcPr>
            <w:tcW w:w="900" w:type="dxa"/>
            <w:vAlign w:val="bottom"/>
            <w:shd w:val="clear" w:color="auto" w:fill="D4F1F5"/>
          </w:tcPr>
          <w:p>
            <w:pPr>
              <w:jc w:val="right"/>
              <w:ind w:right="59"/>
              <w:spacing w:after="0"/>
              <w:rPr>
                <w:sz w:val="20"/>
                <w:szCs w:val="20"/>
                <w:color w:val="auto"/>
              </w:rPr>
            </w:pPr>
            <w:r>
              <w:rPr>
                <w:rFonts w:ascii="Arial" w:cs="Arial" w:eastAsia="Arial" w:hAnsi="Arial"/>
                <w:sz w:val="16"/>
                <w:szCs w:val="16"/>
                <w:color w:val="auto"/>
              </w:rPr>
              <w:t>11</w:t>
            </w:r>
          </w:p>
        </w:tc>
        <w:tc>
          <w:tcPr>
            <w:tcW w:w="200" w:type="dxa"/>
            <w:vAlign w:val="bottom"/>
            <w:shd w:val="clear" w:color="auto" w:fill="D4F1F5"/>
          </w:tcPr>
          <w:p>
            <w:pPr>
              <w:spacing w:after="0"/>
              <w:rPr>
                <w:sz w:val="18"/>
                <w:szCs w:val="18"/>
                <w:color w:val="auto"/>
              </w:rPr>
            </w:pPr>
          </w:p>
        </w:tc>
        <w:tc>
          <w:tcPr>
            <w:tcW w:w="1180" w:type="dxa"/>
            <w:vAlign w:val="bottom"/>
            <w:shd w:val="clear" w:color="auto" w:fill="D4F1F5"/>
          </w:tcPr>
          <w:p>
            <w:pPr>
              <w:jc w:val="right"/>
              <w:ind w:right="21"/>
              <w:spacing w:after="0"/>
              <w:rPr>
                <w:sz w:val="20"/>
                <w:szCs w:val="20"/>
                <w:color w:val="auto"/>
              </w:rPr>
            </w:pPr>
            <w:r>
              <w:rPr>
                <w:rFonts w:ascii="Arial" w:cs="Arial" w:eastAsia="Arial" w:hAnsi="Arial"/>
                <w:sz w:val="16"/>
                <w:szCs w:val="16"/>
                <w:color w:val="auto"/>
              </w:rPr>
              <w:t>—</w:t>
            </w:r>
          </w:p>
        </w:tc>
        <w:tc>
          <w:tcPr>
            <w:tcW w:w="200" w:type="dxa"/>
            <w:vAlign w:val="bottom"/>
            <w:shd w:val="clear" w:color="auto" w:fill="D4F1F5"/>
          </w:tcPr>
          <w:p>
            <w:pPr>
              <w:spacing w:after="0"/>
              <w:rPr>
                <w:sz w:val="18"/>
                <w:szCs w:val="18"/>
                <w:color w:val="auto"/>
              </w:rPr>
            </w:pPr>
          </w:p>
        </w:tc>
        <w:tc>
          <w:tcPr>
            <w:tcW w:w="1240" w:type="dxa"/>
            <w:vAlign w:val="bottom"/>
            <w:shd w:val="clear" w:color="auto" w:fill="D4F1F5"/>
          </w:tcPr>
          <w:p>
            <w:pPr>
              <w:jc w:val="right"/>
              <w:ind w:right="41"/>
              <w:spacing w:after="0"/>
              <w:rPr>
                <w:sz w:val="20"/>
                <w:szCs w:val="20"/>
                <w:color w:val="auto"/>
              </w:rPr>
            </w:pPr>
            <w:r>
              <w:rPr>
                <w:rFonts w:ascii="Arial" w:cs="Arial" w:eastAsia="Arial" w:hAnsi="Arial"/>
                <w:sz w:val="16"/>
                <w:szCs w:val="16"/>
                <w:color w:val="auto"/>
              </w:rPr>
              <w:t>—</w:t>
            </w:r>
          </w:p>
        </w:tc>
        <w:tc>
          <w:tcPr>
            <w:tcW w:w="320" w:type="dxa"/>
            <w:vAlign w:val="bottom"/>
            <w:shd w:val="clear" w:color="auto" w:fill="D4F1F5"/>
          </w:tcPr>
          <w:p>
            <w:pPr>
              <w:spacing w:after="0"/>
              <w:rPr>
                <w:sz w:val="18"/>
                <w:szCs w:val="18"/>
                <w:color w:val="auto"/>
              </w:rPr>
            </w:pPr>
          </w:p>
        </w:tc>
        <w:tc>
          <w:tcPr>
            <w:tcW w:w="1040" w:type="dxa"/>
            <w:vAlign w:val="bottom"/>
            <w:shd w:val="clear" w:color="auto" w:fill="D4F1F5"/>
          </w:tcPr>
          <w:p>
            <w:pPr>
              <w:jc w:val="right"/>
              <w:spacing w:after="0"/>
              <w:rPr>
                <w:sz w:val="20"/>
                <w:szCs w:val="20"/>
                <w:color w:val="auto"/>
              </w:rPr>
            </w:pPr>
            <w:r>
              <w:rPr>
                <w:rFonts w:ascii="Arial" w:cs="Arial" w:eastAsia="Arial" w:hAnsi="Arial"/>
                <w:sz w:val="16"/>
                <w:szCs w:val="16"/>
                <w:color w:val="auto"/>
              </w:rPr>
              <w:t>11</w:t>
            </w:r>
          </w:p>
        </w:tc>
        <w:tc>
          <w:tcPr>
            <w:tcW w:w="0" w:type="dxa"/>
            <w:vAlign w:val="bottom"/>
          </w:tcPr>
          <w:p>
            <w:pPr>
              <w:spacing w:after="0"/>
              <w:rPr>
                <w:sz w:val="1"/>
                <w:szCs w:val="1"/>
                <w:color w:val="auto"/>
              </w:rPr>
            </w:pPr>
          </w:p>
        </w:tc>
      </w:tr>
      <w:tr>
        <w:trPr>
          <w:trHeight w:val="215"/>
        </w:trPr>
        <w:tc>
          <w:tcPr>
            <w:tcW w:w="5700" w:type="dxa"/>
            <w:vAlign w:val="bottom"/>
            <w:tcBorders>
              <w:bottom w:val="single" w:sz="8" w:color="D4F1F5"/>
            </w:tcBorders>
          </w:tcPr>
          <w:p>
            <w:pPr>
              <w:ind w:left="20"/>
              <w:spacing w:after="0"/>
              <w:rPr>
                <w:sz w:val="20"/>
                <w:szCs w:val="20"/>
                <w:color w:val="auto"/>
              </w:rPr>
            </w:pPr>
            <w:r>
              <w:rPr>
                <w:rFonts w:ascii="Arial" w:cs="Arial" w:eastAsia="Arial" w:hAnsi="Arial"/>
                <w:sz w:val="16"/>
                <w:szCs w:val="16"/>
                <w:color w:val="auto"/>
              </w:rPr>
              <w:t>Other revenues</w:t>
            </w:r>
          </w:p>
        </w:tc>
        <w:tc>
          <w:tcPr>
            <w:tcW w:w="4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213</w:t>
            </w:r>
          </w:p>
        </w:tc>
        <w:tc>
          <w:tcPr>
            <w:tcW w:w="2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3</w:t>
            </w: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216</w:t>
            </w:r>
          </w:p>
        </w:tc>
        <w:tc>
          <w:tcPr>
            <w:tcW w:w="0" w:type="dxa"/>
            <w:vAlign w:val="bottom"/>
          </w:tcPr>
          <w:p>
            <w:pPr>
              <w:spacing w:after="0"/>
              <w:rPr>
                <w:sz w:val="1"/>
                <w:szCs w:val="1"/>
                <w:color w:val="auto"/>
              </w:rPr>
            </w:pPr>
          </w:p>
        </w:tc>
      </w:tr>
      <w:tr>
        <w:trPr>
          <w:trHeight w:val="217"/>
        </w:trPr>
        <w:tc>
          <w:tcPr>
            <w:tcW w:w="5700" w:type="dxa"/>
            <w:vAlign w:val="bottom"/>
            <w:tcBorders>
              <w:bottom w:val="single" w:sz="8" w:color="auto"/>
            </w:tcBorders>
            <w:shd w:val="clear" w:color="auto" w:fill="D4F1F5"/>
          </w:tcPr>
          <w:p>
            <w:pPr>
              <w:ind w:left="220"/>
              <w:spacing w:after="0"/>
              <w:rPr>
                <w:sz w:val="20"/>
                <w:szCs w:val="20"/>
                <w:color w:val="auto"/>
              </w:rPr>
            </w:pPr>
            <w:r>
              <w:rPr>
                <w:rFonts w:ascii="Arial" w:cs="Arial" w:eastAsia="Arial" w:hAnsi="Arial"/>
                <w:sz w:val="16"/>
                <w:szCs w:val="16"/>
                <w:color w:val="auto"/>
              </w:rPr>
              <w:t>Total revenues</w:t>
            </w:r>
          </w:p>
        </w:tc>
        <w:tc>
          <w:tcPr>
            <w:tcW w:w="460" w:type="dxa"/>
            <w:vAlign w:val="bottom"/>
            <w:tcBorders>
              <w:bottom w:val="single" w:sz="8" w:color="auto"/>
            </w:tcBorders>
            <w:shd w:val="clear" w:color="auto" w:fill="D4F1F5"/>
          </w:tcPr>
          <w:p>
            <w:pPr>
              <w:jc w:val="right"/>
              <w:ind w:right="260"/>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shd w:val="clear" w:color="auto" w:fill="D4F1F5"/>
          </w:tcPr>
          <w:p>
            <w:pPr>
              <w:jc w:val="right"/>
              <w:ind w:right="59"/>
              <w:spacing w:after="0"/>
              <w:rPr>
                <w:sz w:val="20"/>
                <w:szCs w:val="20"/>
                <w:color w:val="auto"/>
              </w:rPr>
            </w:pPr>
            <w:r>
              <w:rPr>
                <w:rFonts w:ascii="Arial" w:cs="Arial" w:eastAsia="Arial" w:hAnsi="Arial"/>
                <w:sz w:val="16"/>
                <w:szCs w:val="16"/>
                <w:color w:val="auto"/>
              </w:rPr>
              <w:t>3,231</w:t>
            </w:r>
          </w:p>
        </w:tc>
        <w:tc>
          <w:tcPr>
            <w:tcW w:w="200" w:type="dxa"/>
            <w:vAlign w:val="bottom"/>
            <w:tcBorders>
              <w:bottom w:val="single" w:sz="8" w:color="auto"/>
            </w:tcBorders>
            <w:shd w:val="clear" w:color="auto" w:fill="D4F1F5"/>
          </w:tcPr>
          <w:p>
            <w:pPr>
              <w:jc w:val="right"/>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shd w:val="clear" w:color="auto" w:fill="D4F1F5"/>
          </w:tcPr>
          <w:p>
            <w:pPr>
              <w:jc w:val="right"/>
              <w:ind w:right="21"/>
              <w:spacing w:after="0"/>
              <w:rPr>
                <w:sz w:val="20"/>
                <w:szCs w:val="20"/>
                <w:color w:val="auto"/>
              </w:rPr>
            </w:pPr>
            <w:r>
              <w:rPr>
                <w:rFonts w:ascii="Arial" w:cs="Arial" w:eastAsia="Arial" w:hAnsi="Arial"/>
                <w:sz w:val="16"/>
                <w:szCs w:val="16"/>
                <w:color w:val="auto"/>
              </w:rPr>
              <w:t>443</w:t>
            </w:r>
          </w:p>
        </w:tc>
        <w:tc>
          <w:tcPr>
            <w:tcW w:w="200" w:type="dxa"/>
            <w:vAlign w:val="bottom"/>
            <w:tcBorders>
              <w:bottom w:val="single" w:sz="8" w:color="auto"/>
            </w:tcBorders>
            <w:shd w:val="clear" w:color="auto" w:fill="D4F1F5"/>
          </w:tcPr>
          <w:p>
            <w:pPr>
              <w:jc w:val="right"/>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shd w:val="clear" w:color="auto" w:fill="D4F1F5"/>
          </w:tcPr>
          <w:p>
            <w:pPr>
              <w:jc w:val="right"/>
              <w:ind w:right="1"/>
              <w:spacing w:after="0"/>
              <w:rPr>
                <w:sz w:val="20"/>
                <w:szCs w:val="20"/>
                <w:color w:val="auto"/>
              </w:rPr>
            </w:pPr>
            <w:r>
              <w:rPr>
                <w:rFonts w:ascii="Arial" w:cs="Arial" w:eastAsia="Arial" w:hAnsi="Arial"/>
                <w:sz w:val="16"/>
                <w:szCs w:val="16"/>
                <w:color w:val="auto"/>
              </w:rPr>
              <w:t>(19)</w:t>
            </w:r>
          </w:p>
        </w:tc>
        <w:tc>
          <w:tcPr>
            <w:tcW w:w="320" w:type="dxa"/>
            <w:vAlign w:val="bottom"/>
            <w:tcBorders>
              <w:bottom w:val="single" w:sz="8" w:color="auto"/>
            </w:tcBorders>
            <w:shd w:val="clear" w:color="auto" w:fill="D4F1F5"/>
          </w:tcPr>
          <w:p>
            <w:pPr>
              <w:jc w:val="right"/>
              <w:ind w:right="5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shd w:val="clear" w:color="auto" w:fill="D4F1F5"/>
          </w:tcPr>
          <w:p>
            <w:pPr>
              <w:jc w:val="right"/>
              <w:spacing w:after="0"/>
              <w:rPr>
                <w:sz w:val="20"/>
                <w:szCs w:val="20"/>
                <w:color w:val="auto"/>
              </w:rPr>
            </w:pPr>
            <w:r>
              <w:rPr>
                <w:rFonts w:ascii="Arial" w:cs="Arial" w:eastAsia="Arial" w:hAnsi="Arial"/>
                <w:sz w:val="16"/>
                <w:szCs w:val="16"/>
                <w:color w:val="auto"/>
              </w:rPr>
              <w:t>3,655</w:t>
            </w:r>
          </w:p>
        </w:tc>
        <w:tc>
          <w:tcPr>
            <w:tcW w:w="0" w:type="dxa"/>
            <w:vAlign w:val="bottom"/>
          </w:tcPr>
          <w:p>
            <w:pPr>
              <w:spacing w:after="0"/>
              <w:rPr>
                <w:sz w:val="1"/>
                <w:szCs w:val="1"/>
                <w:color w:val="auto"/>
              </w:rPr>
            </w:pPr>
          </w:p>
        </w:tc>
      </w:tr>
      <w:tr>
        <w:trPr>
          <w:trHeight w:val="401"/>
        </w:trPr>
        <w:tc>
          <w:tcPr>
            <w:tcW w:w="570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620" w:type="dxa"/>
            <w:vAlign w:val="bottom"/>
            <w:tcBorders>
              <w:bottom w:val="single" w:sz="8" w:color="auto"/>
            </w:tcBorders>
            <w:gridSpan w:val="3"/>
          </w:tcPr>
          <w:p>
            <w:pPr>
              <w:jc w:val="right"/>
              <w:ind w:right="141"/>
              <w:spacing w:after="0"/>
              <w:rPr>
                <w:sz w:val="20"/>
                <w:szCs w:val="20"/>
                <w:color w:val="auto"/>
              </w:rPr>
            </w:pPr>
            <w:r>
              <w:rPr>
                <w:rFonts w:ascii="Arial" w:cs="Arial" w:eastAsia="Arial" w:hAnsi="Arial"/>
                <w:sz w:val="14"/>
                <w:szCs w:val="14"/>
                <w:color w:val="auto"/>
              </w:rPr>
              <w:t>Three months ended March 31, 2025</w:t>
            </w:r>
          </w:p>
        </w:tc>
        <w:tc>
          <w:tcPr>
            <w:tcW w:w="3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5700" w:type="dxa"/>
            <w:vAlign w:val="bottom"/>
            <w:shd w:val="clear" w:color="auto" w:fill="D4F1F5"/>
          </w:tcPr>
          <w:p>
            <w:pPr>
              <w:ind w:left="20"/>
              <w:spacing w:after="0"/>
              <w:rPr>
                <w:sz w:val="20"/>
                <w:szCs w:val="20"/>
                <w:color w:val="auto"/>
              </w:rPr>
            </w:pPr>
            <w:r>
              <w:rPr>
                <w:rFonts w:ascii="Arial" w:cs="Arial" w:eastAsia="Arial" w:hAnsi="Arial"/>
                <w:sz w:val="16"/>
                <w:szCs w:val="16"/>
                <w:b w:val="1"/>
                <w:bCs w:val="1"/>
                <w:color w:val="auto"/>
              </w:rPr>
              <w:t>By major service line:</w:t>
            </w:r>
          </w:p>
        </w:tc>
        <w:tc>
          <w:tcPr>
            <w:tcW w:w="460" w:type="dxa"/>
            <w:vAlign w:val="bottom"/>
            <w:shd w:val="clear" w:color="auto" w:fill="D4F1F5"/>
          </w:tcPr>
          <w:p>
            <w:pPr>
              <w:spacing w:after="0"/>
              <w:rPr>
                <w:sz w:val="18"/>
                <w:szCs w:val="18"/>
                <w:color w:val="auto"/>
              </w:rPr>
            </w:pPr>
          </w:p>
        </w:tc>
        <w:tc>
          <w:tcPr>
            <w:tcW w:w="900" w:type="dxa"/>
            <w:vAlign w:val="bottom"/>
            <w:shd w:val="clear" w:color="auto" w:fill="D4F1F5"/>
          </w:tcPr>
          <w:p>
            <w:pPr>
              <w:spacing w:after="0"/>
              <w:rPr>
                <w:sz w:val="18"/>
                <w:szCs w:val="18"/>
                <w:color w:val="auto"/>
              </w:rPr>
            </w:pPr>
          </w:p>
        </w:tc>
        <w:tc>
          <w:tcPr>
            <w:tcW w:w="200" w:type="dxa"/>
            <w:vAlign w:val="bottom"/>
            <w:shd w:val="clear" w:color="auto" w:fill="D4F1F5"/>
          </w:tcPr>
          <w:p>
            <w:pPr>
              <w:spacing w:after="0"/>
              <w:rPr>
                <w:sz w:val="18"/>
                <w:szCs w:val="18"/>
                <w:color w:val="auto"/>
              </w:rPr>
            </w:pPr>
          </w:p>
        </w:tc>
        <w:tc>
          <w:tcPr>
            <w:tcW w:w="1180" w:type="dxa"/>
            <w:vAlign w:val="bottom"/>
            <w:shd w:val="clear" w:color="auto" w:fill="D4F1F5"/>
          </w:tcPr>
          <w:p>
            <w:pPr>
              <w:spacing w:after="0"/>
              <w:rPr>
                <w:sz w:val="18"/>
                <w:szCs w:val="18"/>
                <w:color w:val="auto"/>
              </w:rPr>
            </w:pPr>
          </w:p>
        </w:tc>
        <w:tc>
          <w:tcPr>
            <w:tcW w:w="200" w:type="dxa"/>
            <w:vAlign w:val="bottom"/>
            <w:shd w:val="clear" w:color="auto" w:fill="D4F1F5"/>
          </w:tcPr>
          <w:p>
            <w:pPr>
              <w:spacing w:after="0"/>
              <w:rPr>
                <w:sz w:val="18"/>
                <w:szCs w:val="18"/>
                <w:color w:val="auto"/>
              </w:rPr>
            </w:pPr>
          </w:p>
        </w:tc>
        <w:tc>
          <w:tcPr>
            <w:tcW w:w="1240" w:type="dxa"/>
            <w:vAlign w:val="bottom"/>
            <w:shd w:val="clear" w:color="auto" w:fill="D4F1F5"/>
          </w:tcPr>
          <w:p>
            <w:pPr>
              <w:spacing w:after="0"/>
              <w:rPr>
                <w:sz w:val="18"/>
                <w:szCs w:val="18"/>
                <w:color w:val="auto"/>
              </w:rPr>
            </w:pPr>
          </w:p>
        </w:tc>
        <w:tc>
          <w:tcPr>
            <w:tcW w:w="320" w:type="dxa"/>
            <w:vAlign w:val="bottom"/>
            <w:shd w:val="clear" w:color="auto" w:fill="D4F1F5"/>
          </w:tcPr>
          <w:p>
            <w:pPr>
              <w:spacing w:after="0"/>
              <w:rPr>
                <w:sz w:val="18"/>
                <w:szCs w:val="18"/>
                <w:color w:val="auto"/>
              </w:rPr>
            </w:pPr>
          </w:p>
        </w:tc>
        <w:tc>
          <w:tcPr>
            <w:tcW w:w="1040" w:type="dxa"/>
            <w:vAlign w:val="bottom"/>
            <w:shd w:val="clear" w:color="auto" w:fill="D4F1F5"/>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700" w:type="dxa"/>
            <w:vAlign w:val="bottom"/>
          </w:tcPr>
          <w:p>
            <w:pPr>
              <w:ind w:left="140"/>
              <w:spacing w:after="0"/>
              <w:rPr>
                <w:sz w:val="20"/>
                <w:szCs w:val="20"/>
                <w:color w:val="auto"/>
              </w:rPr>
            </w:pPr>
            <w:r>
              <w:rPr>
                <w:rFonts w:ascii="Arial" w:cs="Arial" w:eastAsia="Arial" w:hAnsi="Arial"/>
                <w:sz w:val="16"/>
                <w:szCs w:val="16"/>
                <w:color w:val="auto"/>
              </w:rPr>
              <w:t>Utilities</w:t>
            </w:r>
          </w:p>
        </w:tc>
        <w:tc>
          <w:tcPr>
            <w:tcW w:w="460" w:type="dxa"/>
            <w:vAlign w:val="bottom"/>
          </w:tcPr>
          <w:p>
            <w:pPr>
              <w:jc w:val="right"/>
              <w:ind w:right="260"/>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59"/>
              <w:spacing w:after="0"/>
              <w:rPr>
                <w:sz w:val="20"/>
                <w:szCs w:val="20"/>
                <w:color w:val="auto"/>
              </w:rPr>
            </w:pPr>
            <w:r>
              <w:rPr>
                <w:rFonts w:ascii="Arial" w:cs="Arial" w:eastAsia="Arial" w:hAnsi="Arial"/>
                <w:sz w:val="16"/>
                <w:szCs w:val="16"/>
                <w:color w:val="auto"/>
              </w:rPr>
              <w:t>3,463</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21"/>
              <w:spacing w:after="0"/>
              <w:rPr>
                <w:sz w:val="20"/>
                <w:szCs w:val="20"/>
                <w:color w:val="auto"/>
              </w:rPr>
            </w:pPr>
            <w:r>
              <w:rPr>
                <w:rFonts w:ascii="Arial" w:cs="Arial" w:eastAsia="Arial" w:hAnsi="Arial"/>
                <w:sz w:val="16"/>
                <w:szCs w:val="16"/>
                <w:color w:val="auto"/>
              </w:rPr>
              <w:t>26</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1"/>
              <w:spacing w:after="0"/>
              <w:rPr>
                <w:sz w:val="20"/>
                <w:szCs w:val="20"/>
                <w:color w:val="auto"/>
              </w:rPr>
            </w:pPr>
            <w:r>
              <w:rPr>
                <w:rFonts w:ascii="Arial" w:cs="Arial" w:eastAsia="Arial" w:hAnsi="Arial"/>
                <w:sz w:val="16"/>
                <w:szCs w:val="16"/>
                <w:color w:val="auto"/>
              </w:rPr>
              <w:t>(6)</w:t>
            </w:r>
          </w:p>
        </w:tc>
        <w:tc>
          <w:tcPr>
            <w:tcW w:w="32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3,483</w:t>
            </w:r>
          </w:p>
        </w:tc>
        <w:tc>
          <w:tcPr>
            <w:tcW w:w="0" w:type="dxa"/>
            <w:vAlign w:val="bottom"/>
          </w:tcPr>
          <w:p>
            <w:pPr>
              <w:spacing w:after="0"/>
              <w:rPr>
                <w:sz w:val="1"/>
                <w:szCs w:val="1"/>
                <w:color w:val="auto"/>
              </w:rPr>
            </w:pPr>
          </w:p>
        </w:tc>
      </w:tr>
      <w:tr>
        <w:trPr>
          <w:trHeight w:val="216"/>
        </w:trPr>
        <w:tc>
          <w:tcPr>
            <w:tcW w:w="5700" w:type="dxa"/>
            <w:vAlign w:val="bottom"/>
            <w:shd w:val="clear" w:color="auto" w:fill="D4F1F5"/>
          </w:tcPr>
          <w:p>
            <w:pPr>
              <w:ind w:left="140"/>
              <w:spacing w:after="0"/>
              <w:rPr>
                <w:sz w:val="20"/>
                <w:szCs w:val="20"/>
                <w:color w:val="auto"/>
              </w:rPr>
            </w:pPr>
            <w:r>
              <w:rPr>
                <w:rFonts w:ascii="Arial" w:cs="Arial" w:eastAsia="Arial" w:hAnsi="Arial"/>
                <w:sz w:val="16"/>
                <w:szCs w:val="16"/>
                <w:color w:val="auto"/>
              </w:rPr>
              <w:t>Energy-related businesses</w:t>
            </w:r>
          </w:p>
        </w:tc>
        <w:tc>
          <w:tcPr>
            <w:tcW w:w="460" w:type="dxa"/>
            <w:vAlign w:val="bottom"/>
            <w:tcBorders>
              <w:bottom w:val="single" w:sz="8" w:color="auto"/>
            </w:tcBorders>
            <w:shd w:val="clear" w:color="auto" w:fill="D4F1F5"/>
          </w:tcPr>
          <w:p>
            <w:pPr>
              <w:spacing w:after="0"/>
              <w:rPr>
                <w:sz w:val="18"/>
                <w:szCs w:val="18"/>
                <w:color w:val="auto"/>
              </w:rPr>
            </w:pPr>
          </w:p>
        </w:tc>
        <w:tc>
          <w:tcPr>
            <w:tcW w:w="900" w:type="dxa"/>
            <w:vAlign w:val="bottom"/>
            <w:tcBorders>
              <w:bottom w:val="single" w:sz="8" w:color="auto"/>
            </w:tcBorders>
            <w:shd w:val="clear" w:color="auto" w:fill="D4F1F5"/>
          </w:tcPr>
          <w:p>
            <w:pPr>
              <w:jc w:val="right"/>
              <w:ind w:right="59"/>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auto"/>
            </w:tcBorders>
            <w:shd w:val="clear" w:color="auto" w:fill="D4F1F5"/>
          </w:tcPr>
          <w:p>
            <w:pPr>
              <w:spacing w:after="0"/>
              <w:rPr>
                <w:sz w:val="18"/>
                <w:szCs w:val="18"/>
                <w:color w:val="auto"/>
              </w:rPr>
            </w:pPr>
          </w:p>
        </w:tc>
        <w:tc>
          <w:tcPr>
            <w:tcW w:w="1180" w:type="dxa"/>
            <w:vAlign w:val="bottom"/>
            <w:tcBorders>
              <w:bottom w:val="single" w:sz="8" w:color="auto"/>
            </w:tcBorders>
            <w:shd w:val="clear" w:color="auto" w:fill="D4F1F5"/>
          </w:tcPr>
          <w:p>
            <w:pPr>
              <w:jc w:val="right"/>
              <w:ind w:right="21"/>
              <w:spacing w:after="0"/>
              <w:rPr>
                <w:sz w:val="20"/>
                <w:szCs w:val="20"/>
                <w:color w:val="auto"/>
              </w:rPr>
            </w:pPr>
            <w:r>
              <w:rPr>
                <w:rFonts w:ascii="Arial" w:cs="Arial" w:eastAsia="Arial" w:hAnsi="Arial"/>
                <w:sz w:val="16"/>
                <w:szCs w:val="16"/>
                <w:color w:val="auto"/>
              </w:rPr>
              <w:t>218</w:t>
            </w:r>
          </w:p>
        </w:tc>
        <w:tc>
          <w:tcPr>
            <w:tcW w:w="200" w:type="dxa"/>
            <w:vAlign w:val="bottom"/>
            <w:tcBorders>
              <w:bottom w:val="single" w:sz="8" w:color="auto"/>
            </w:tcBorders>
            <w:shd w:val="clear" w:color="auto" w:fill="D4F1F5"/>
          </w:tcPr>
          <w:p>
            <w:pPr>
              <w:spacing w:after="0"/>
              <w:rPr>
                <w:sz w:val="18"/>
                <w:szCs w:val="18"/>
                <w:color w:val="auto"/>
              </w:rPr>
            </w:pPr>
          </w:p>
        </w:tc>
        <w:tc>
          <w:tcPr>
            <w:tcW w:w="1240" w:type="dxa"/>
            <w:vAlign w:val="bottom"/>
            <w:tcBorders>
              <w:bottom w:val="single" w:sz="8" w:color="auto"/>
            </w:tcBorders>
            <w:shd w:val="clear" w:color="auto" w:fill="D4F1F5"/>
          </w:tcPr>
          <w:p>
            <w:pPr>
              <w:jc w:val="right"/>
              <w:ind w:right="1"/>
              <w:spacing w:after="0"/>
              <w:rPr>
                <w:sz w:val="20"/>
                <w:szCs w:val="20"/>
                <w:color w:val="auto"/>
              </w:rPr>
            </w:pPr>
            <w:r>
              <w:rPr>
                <w:rFonts w:ascii="Arial" w:cs="Arial" w:eastAsia="Arial" w:hAnsi="Arial"/>
                <w:sz w:val="16"/>
                <w:szCs w:val="16"/>
                <w:color w:val="auto"/>
              </w:rPr>
              <w:t>(20)</w:t>
            </w:r>
          </w:p>
        </w:tc>
        <w:tc>
          <w:tcPr>
            <w:tcW w:w="320" w:type="dxa"/>
            <w:vAlign w:val="bottom"/>
            <w:tcBorders>
              <w:bottom w:val="single" w:sz="8" w:color="auto"/>
            </w:tcBorders>
            <w:shd w:val="clear" w:color="auto" w:fill="D4F1F5"/>
          </w:tcPr>
          <w:p>
            <w:pPr>
              <w:spacing w:after="0"/>
              <w:rPr>
                <w:sz w:val="18"/>
                <w:szCs w:val="18"/>
                <w:color w:val="auto"/>
              </w:rPr>
            </w:pPr>
          </w:p>
        </w:tc>
        <w:tc>
          <w:tcPr>
            <w:tcW w:w="1040" w:type="dxa"/>
            <w:vAlign w:val="bottom"/>
            <w:tcBorders>
              <w:bottom w:val="single" w:sz="8" w:color="auto"/>
            </w:tcBorders>
            <w:shd w:val="clear" w:color="auto" w:fill="D4F1F5"/>
          </w:tcPr>
          <w:p>
            <w:pPr>
              <w:jc w:val="right"/>
              <w:spacing w:after="0"/>
              <w:rPr>
                <w:sz w:val="20"/>
                <w:szCs w:val="20"/>
                <w:color w:val="auto"/>
              </w:rPr>
            </w:pPr>
            <w:r>
              <w:rPr>
                <w:rFonts w:ascii="Arial" w:cs="Arial" w:eastAsia="Arial" w:hAnsi="Arial"/>
                <w:sz w:val="16"/>
                <w:szCs w:val="16"/>
                <w:color w:val="auto"/>
              </w:rPr>
              <w:t>198</w:t>
            </w:r>
          </w:p>
        </w:tc>
        <w:tc>
          <w:tcPr>
            <w:tcW w:w="0" w:type="dxa"/>
            <w:vAlign w:val="bottom"/>
          </w:tcPr>
          <w:p>
            <w:pPr>
              <w:spacing w:after="0"/>
              <w:rPr>
                <w:sz w:val="1"/>
                <w:szCs w:val="1"/>
                <w:color w:val="auto"/>
              </w:rPr>
            </w:pPr>
          </w:p>
        </w:tc>
      </w:tr>
      <w:tr>
        <w:trPr>
          <w:trHeight w:val="217"/>
        </w:trPr>
        <w:tc>
          <w:tcPr>
            <w:tcW w:w="5700" w:type="dxa"/>
            <w:vAlign w:val="bottom"/>
            <w:tcBorders>
              <w:bottom w:val="single" w:sz="8" w:color="D4F1F5"/>
            </w:tcBorders>
          </w:tcPr>
          <w:p>
            <w:pPr>
              <w:ind w:left="220"/>
              <w:spacing w:after="0"/>
              <w:rPr>
                <w:sz w:val="20"/>
                <w:szCs w:val="20"/>
                <w:color w:val="auto"/>
              </w:rPr>
            </w:pPr>
            <w:r>
              <w:rPr>
                <w:rFonts w:ascii="Arial" w:cs="Arial" w:eastAsia="Arial" w:hAnsi="Arial"/>
                <w:sz w:val="16"/>
                <w:szCs w:val="16"/>
                <w:color w:val="auto"/>
              </w:rPr>
              <w:t>Revenues from contracts with customers</w:t>
            </w:r>
          </w:p>
        </w:tc>
        <w:tc>
          <w:tcPr>
            <w:tcW w:w="460" w:type="dxa"/>
            <w:vAlign w:val="bottom"/>
            <w:tcBorders>
              <w:bottom w:val="single" w:sz="8" w:color="auto"/>
            </w:tcBorders>
          </w:tcPr>
          <w:p>
            <w:pPr>
              <w:jc w:val="right"/>
              <w:ind w:right="260"/>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3,463</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244</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(26)</w:t>
            </w:r>
          </w:p>
        </w:tc>
        <w:tc>
          <w:tcPr>
            <w:tcW w:w="3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3,681</w:t>
            </w:r>
          </w:p>
        </w:tc>
        <w:tc>
          <w:tcPr>
            <w:tcW w:w="0" w:type="dxa"/>
            <w:vAlign w:val="bottom"/>
          </w:tcPr>
          <w:p>
            <w:pPr>
              <w:spacing w:after="0"/>
              <w:rPr>
                <w:sz w:val="1"/>
                <w:szCs w:val="1"/>
                <w:color w:val="auto"/>
              </w:rPr>
            </w:pPr>
          </w:p>
        </w:tc>
      </w:tr>
      <w:tr>
        <w:trPr>
          <w:trHeight w:val="203"/>
        </w:trPr>
        <w:tc>
          <w:tcPr>
            <w:tcW w:w="5700" w:type="dxa"/>
            <w:vAlign w:val="bottom"/>
            <w:shd w:val="clear" w:color="auto" w:fill="D4F1F5"/>
          </w:tcPr>
          <w:p>
            <w:pPr>
              <w:ind w:left="20"/>
              <w:spacing w:after="0"/>
              <w:rPr>
                <w:sz w:val="20"/>
                <w:szCs w:val="20"/>
                <w:color w:val="auto"/>
              </w:rPr>
            </w:pPr>
            <w:r>
              <w:rPr>
                <w:rFonts w:ascii="Arial" w:cs="Arial" w:eastAsia="Arial" w:hAnsi="Arial"/>
                <w:sz w:val="16"/>
                <w:szCs w:val="16"/>
                <w:b w:val="1"/>
                <w:bCs w:val="1"/>
                <w:color w:val="auto"/>
              </w:rPr>
              <w:t>By market:</w:t>
            </w:r>
          </w:p>
        </w:tc>
        <w:tc>
          <w:tcPr>
            <w:tcW w:w="460" w:type="dxa"/>
            <w:vAlign w:val="bottom"/>
            <w:shd w:val="clear" w:color="auto" w:fill="D4F1F5"/>
          </w:tcPr>
          <w:p>
            <w:pPr>
              <w:spacing w:after="0"/>
              <w:rPr>
                <w:sz w:val="17"/>
                <w:szCs w:val="17"/>
                <w:color w:val="auto"/>
              </w:rPr>
            </w:pPr>
          </w:p>
        </w:tc>
        <w:tc>
          <w:tcPr>
            <w:tcW w:w="900" w:type="dxa"/>
            <w:vAlign w:val="bottom"/>
            <w:shd w:val="clear" w:color="auto" w:fill="D4F1F5"/>
          </w:tcPr>
          <w:p>
            <w:pPr>
              <w:spacing w:after="0"/>
              <w:rPr>
                <w:sz w:val="17"/>
                <w:szCs w:val="17"/>
                <w:color w:val="auto"/>
              </w:rPr>
            </w:pPr>
          </w:p>
        </w:tc>
        <w:tc>
          <w:tcPr>
            <w:tcW w:w="200" w:type="dxa"/>
            <w:vAlign w:val="bottom"/>
            <w:shd w:val="clear" w:color="auto" w:fill="D4F1F5"/>
          </w:tcPr>
          <w:p>
            <w:pPr>
              <w:spacing w:after="0"/>
              <w:rPr>
                <w:sz w:val="17"/>
                <w:szCs w:val="17"/>
                <w:color w:val="auto"/>
              </w:rPr>
            </w:pPr>
          </w:p>
        </w:tc>
        <w:tc>
          <w:tcPr>
            <w:tcW w:w="1180" w:type="dxa"/>
            <w:vAlign w:val="bottom"/>
            <w:shd w:val="clear" w:color="auto" w:fill="D4F1F5"/>
          </w:tcPr>
          <w:p>
            <w:pPr>
              <w:spacing w:after="0"/>
              <w:rPr>
                <w:sz w:val="17"/>
                <w:szCs w:val="17"/>
                <w:color w:val="auto"/>
              </w:rPr>
            </w:pPr>
          </w:p>
        </w:tc>
        <w:tc>
          <w:tcPr>
            <w:tcW w:w="200" w:type="dxa"/>
            <w:vAlign w:val="bottom"/>
            <w:shd w:val="clear" w:color="auto" w:fill="D4F1F5"/>
          </w:tcPr>
          <w:p>
            <w:pPr>
              <w:spacing w:after="0"/>
              <w:rPr>
                <w:sz w:val="17"/>
                <w:szCs w:val="17"/>
                <w:color w:val="auto"/>
              </w:rPr>
            </w:pPr>
          </w:p>
        </w:tc>
        <w:tc>
          <w:tcPr>
            <w:tcW w:w="1240" w:type="dxa"/>
            <w:vAlign w:val="bottom"/>
            <w:shd w:val="clear" w:color="auto" w:fill="D4F1F5"/>
          </w:tcPr>
          <w:p>
            <w:pPr>
              <w:spacing w:after="0"/>
              <w:rPr>
                <w:sz w:val="17"/>
                <w:szCs w:val="17"/>
                <w:color w:val="auto"/>
              </w:rPr>
            </w:pPr>
          </w:p>
        </w:tc>
        <w:tc>
          <w:tcPr>
            <w:tcW w:w="320" w:type="dxa"/>
            <w:vAlign w:val="bottom"/>
            <w:shd w:val="clear" w:color="auto" w:fill="D4F1F5"/>
          </w:tcPr>
          <w:p>
            <w:pPr>
              <w:spacing w:after="0"/>
              <w:rPr>
                <w:sz w:val="17"/>
                <w:szCs w:val="17"/>
                <w:color w:val="auto"/>
              </w:rPr>
            </w:pPr>
          </w:p>
        </w:tc>
        <w:tc>
          <w:tcPr>
            <w:tcW w:w="1040" w:type="dxa"/>
            <w:vAlign w:val="bottom"/>
            <w:shd w:val="clear" w:color="auto" w:fill="D4F1F5"/>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5700" w:type="dxa"/>
            <w:vAlign w:val="bottom"/>
          </w:tcPr>
          <w:p>
            <w:pPr>
              <w:ind w:left="140"/>
              <w:spacing w:after="0"/>
              <w:rPr>
                <w:sz w:val="20"/>
                <w:szCs w:val="20"/>
                <w:color w:val="auto"/>
              </w:rPr>
            </w:pPr>
            <w:r>
              <w:rPr>
                <w:rFonts w:ascii="Arial" w:cs="Arial" w:eastAsia="Arial" w:hAnsi="Arial"/>
                <w:sz w:val="16"/>
                <w:szCs w:val="16"/>
                <w:color w:val="auto"/>
              </w:rPr>
              <w:t>Gas</w:t>
            </w:r>
          </w:p>
        </w:tc>
        <w:tc>
          <w:tcPr>
            <w:tcW w:w="460" w:type="dxa"/>
            <w:vAlign w:val="bottom"/>
          </w:tcPr>
          <w:p>
            <w:pPr>
              <w:jc w:val="right"/>
              <w:ind w:right="260"/>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59"/>
              <w:spacing w:after="0"/>
              <w:rPr>
                <w:sz w:val="20"/>
                <w:szCs w:val="20"/>
                <w:color w:val="auto"/>
              </w:rPr>
            </w:pPr>
            <w:r>
              <w:rPr>
                <w:rFonts w:ascii="Arial" w:cs="Arial" w:eastAsia="Arial" w:hAnsi="Arial"/>
                <w:sz w:val="16"/>
                <w:szCs w:val="16"/>
                <w:color w:val="auto"/>
              </w:rPr>
              <w:t>2,392</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21"/>
              <w:spacing w:after="0"/>
              <w:rPr>
                <w:sz w:val="20"/>
                <w:szCs w:val="20"/>
                <w:color w:val="auto"/>
              </w:rPr>
            </w:pPr>
            <w:r>
              <w:rPr>
                <w:rFonts w:ascii="Arial" w:cs="Arial" w:eastAsia="Arial" w:hAnsi="Arial"/>
                <w:sz w:val="16"/>
                <w:szCs w:val="16"/>
                <w:color w:val="auto"/>
              </w:rPr>
              <w:t>142</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1"/>
              <w:spacing w:after="0"/>
              <w:rPr>
                <w:sz w:val="20"/>
                <w:szCs w:val="20"/>
                <w:color w:val="auto"/>
              </w:rPr>
            </w:pPr>
            <w:r>
              <w:rPr>
                <w:rFonts w:ascii="Arial" w:cs="Arial" w:eastAsia="Arial" w:hAnsi="Arial"/>
                <w:sz w:val="16"/>
                <w:szCs w:val="16"/>
                <w:color w:val="auto"/>
              </w:rPr>
              <w:t>(5)</w:t>
            </w:r>
          </w:p>
        </w:tc>
        <w:tc>
          <w:tcPr>
            <w:tcW w:w="32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2,529</w:t>
            </w:r>
          </w:p>
        </w:tc>
        <w:tc>
          <w:tcPr>
            <w:tcW w:w="0" w:type="dxa"/>
            <w:vAlign w:val="bottom"/>
          </w:tcPr>
          <w:p>
            <w:pPr>
              <w:spacing w:after="0"/>
              <w:rPr>
                <w:sz w:val="1"/>
                <w:szCs w:val="1"/>
                <w:color w:val="auto"/>
              </w:rPr>
            </w:pPr>
          </w:p>
        </w:tc>
      </w:tr>
      <w:tr>
        <w:trPr>
          <w:trHeight w:val="216"/>
        </w:trPr>
        <w:tc>
          <w:tcPr>
            <w:tcW w:w="5700" w:type="dxa"/>
            <w:vAlign w:val="bottom"/>
            <w:shd w:val="clear" w:color="auto" w:fill="D4F1F5"/>
          </w:tcPr>
          <w:p>
            <w:pPr>
              <w:ind w:left="140"/>
              <w:spacing w:after="0"/>
              <w:rPr>
                <w:sz w:val="20"/>
                <w:szCs w:val="20"/>
                <w:color w:val="auto"/>
              </w:rPr>
            </w:pPr>
            <w:r>
              <w:rPr>
                <w:rFonts w:ascii="Arial" w:cs="Arial" w:eastAsia="Arial" w:hAnsi="Arial"/>
                <w:sz w:val="16"/>
                <w:szCs w:val="16"/>
                <w:color w:val="auto"/>
              </w:rPr>
              <w:t>Electric</w:t>
            </w:r>
          </w:p>
        </w:tc>
        <w:tc>
          <w:tcPr>
            <w:tcW w:w="460" w:type="dxa"/>
            <w:vAlign w:val="bottom"/>
            <w:tcBorders>
              <w:bottom w:val="single" w:sz="8" w:color="auto"/>
            </w:tcBorders>
            <w:shd w:val="clear" w:color="auto" w:fill="D4F1F5"/>
          </w:tcPr>
          <w:p>
            <w:pPr>
              <w:spacing w:after="0"/>
              <w:rPr>
                <w:sz w:val="18"/>
                <w:szCs w:val="18"/>
                <w:color w:val="auto"/>
              </w:rPr>
            </w:pPr>
          </w:p>
        </w:tc>
        <w:tc>
          <w:tcPr>
            <w:tcW w:w="900" w:type="dxa"/>
            <w:vAlign w:val="bottom"/>
            <w:tcBorders>
              <w:bottom w:val="single" w:sz="8" w:color="auto"/>
            </w:tcBorders>
            <w:shd w:val="clear" w:color="auto" w:fill="D4F1F5"/>
          </w:tcPr>
          <w:p>
            <w:pPr>
              <w:jc w:val="right"/>
              <w:ind w:right="59"/>
              <w:spacing w:after="0"/>
              <w:rPr>
                <w:sz w:val="20"/>
                <w:szCs w:val="20"/>
                <w:color w:val="auto"/>
              </w:rPr>
            </w:pPr>
            <w:r>
              <w:rPr>
                <w:rFonts w:ascii="Arial" w:cs="Arial" w:eastAsia="Arial" w:hAnsi="Arial"/>
                <w:sz w:val="16"/>
                <w:szCs w:val="16"/>
                <w:color w:val="auto"/>
              </w:rPr>
              <w:t>1,071</w:t>
            </w:r>
          </w:p>
        </w:tc>
        <w:tc>
          <w:tcPr>
            <w:tcW w:w="200" w:type="dxa"/>
            <w:vAlign w:val="bottom"/>
            <w:tcBorders>
              <w:bottom w:val="single" w:sz="8" w:color="auto"/>
            </w:tcBorders>
            <w:shd w:val="clear" w:color="auto" w:fill="D4F1F5"/>
          </w:tcPr>
          <w:p>
            <w:pPr>
              <w:spacing w:after="0"/>
              <w:rPr>
                <w:sz w:val="18"/>
                <w:szCs w:val="18"/>
                <w:color w:val="auto"/>
              </w:rPr>
            </w:pPr>
          </w:p>
        </w:tc>
        <w:tc>
          <w:tcPr>
            <w:tcW w:w="1180" w:type="dxa"/>
            <w:vAlign w:val="bottom"/>
            <w:tcBorders>
              <w:bottom w:val="single" w:sz="8" w:color="auto"/>
            </w:tcBorders>
            <w:shd w:val="clear" w:color="auto" w:fill="D4F1F5"/>
          </w:tcPr>
          <w:p>
            <w:pPr>
              <w:jc w:val="right"/>
              <w:ind w:right="21"/>
              <w:spacing w:after="0"/>
              <w:rPr>
                <w:sz w:val="20"/>
                <w:szCs w:val="20"/>
                <w:color w:val="auto"/>
              </w:rPr>
            </w:pPr>
            <w:r>
              <w:rPr>
                <w:rFonts w:ascii="Arial" w:cs="Arial" w:eastAsia="Arial" w:hAnsi="Arial"/>
                <w:sz w:val="16"/>
                <w:szCs w:val="16"/>
                <w:color w:val="auto"/>
              </w:rPr>
              <w:t>102</w:t>
            </w:r>
          </w:p>
        </w:tc>
        <w:tc>
          <w:tcPr>
            <w:tcW w:w="200" w:type="dxa"/>
            <w:vAlign w:val="bottom"/>
            <w:tcBorders>
              <w:bottom w:val="single" w:sz="8" w:color="auto"/>
            </w:tcBorders>
            <w:shd w:val="clear" w:color="auto" w:fill="D4F1F5"/>
          </w:tcPr>
          <w:p>
            <w:pPr>
              <w:spacing w:after="0"/>
              <w:rPr>
                <w:sz w:val="18"/>
                <w:szCs w:val="18"/>
                <w:color w:val="auto"/>
              </w:rPr>
            </w:pPr>
          </w:p>
        </w:tc>
        <w:tc>
          <w:tcPr>
            <w:tcW w:w="1240" w:type="dxa"/>
            <w:vAlign w:val="bottom"/>
            <w:tcBorders>
              <w:bottom w:val="single" w:sz="8" w:color="auto"/>
            </w:tcBorders>
            <w:shd w:val="clear" w:color="auto" w:fill="D4F1F5"/>
          </w:tcPr>
          <w:p>
            <w:pPr>
              <w:jc w:val="right"/>
              <w:ind w:right="1"/>
              <w:spacing w:after="0"/>
              <w:rPr>
                <w:sz w:val="20"/>
                <w:szCs w:val="20"/>
                <w:color w:val="auto"/>
              </w:rPr>
            </w:pPr>
            <w:r>
              <w:rPr>
                <w:rFonts w:ascii="Arial" w:cs="Arial" w:eastAsia="Arial" w:hAnsi="Arial"/>
                <w:sz w:val="16"/>
                <w:szCs w:val="16"/>
                <w:color w:val="auto"/>
              </w:rPr>
              <w:t>(21)</w:t>
            </w:r>
          </w:p>
        </w:tc>
        <w:tc>
          <w:tcPr>
            <w:tcW w:w="320" w:type="dxa"/>
            <w:vAlign w:val="bottom"/>
            <w:tcBorders>
              <w:bottom w:val="single" w:sz="8" w:color="auto"/>
            </w:tcBorders>
            <w:shd w:val="clear" w:color="auto" w:fill="D4F1F5"/>
          </w:tcPr>
          <w:p>
            <w:pPr>
              <w:spacing w:after="0"/>
              <w:rPr>
                <w:sz w:val="18"/>
                <w:szCs w:val="18"/>
                <w:color w:val="auto"/>
              </w:rPr>
            </w:pPr>
          </w:p>
        </w:tc>
        <w:tc>
          <w:tcPr>
            <w:tcW w:w="1040" w:type="dxa"/>
            <w:vAlign w:val="bottom"/>
            <w:tcBorders>
              <w:bottom w:val="single" w:sz="8" w:color="auto"/>
            </w:tcBorders>
            <w:shd w:val="clear" w:color="auto" w:fill="D4F1F5"/>
          </w:tcPr>
          <w:p>
            <w:pPr>
              <w:jc w:val="right"/>
              <w:spacing w:after="0"/>
              <w:rPr>
                <w:sz w:val="20"/>
                <w:szCs w:val="20"/>
                <w:color w:val="auto"/>
              </w:rPr>
            </w:pPr>
            <w:r>
              <w:rPr>
                <w:rFonts w:ascii="Arial" w:cs="Arial" w:eastAsia="Arial" w:hAnsi="Arial"/>
                <w:sz w:val="16"/>
                <w:szCs w:val="16"/>
                <w:color w:val="auto"/>
              </w:rPr>
              <w:t>1,152</w:t>
            </w:r>
          </w:p>
        </w:tc>
        <w:tc>
          <w:tcPr>
            <w:tcW w:w="0" w:type="dxa"/>
            <w:vAlign w:val="bottom"/>
          </w:tcPr>
          <w:p>
            <w:pPr>
              <w:spacing w:after="0"/>
              <w:rPr>
                <w:sz w:val="1"/>
                <w:szCs w:val="1"/>
                <w:color w:val="auto"/>
              </w:rPr>
            </w:pPr>
          </w:p>
        </w:tc>
      </w:tr>
      <w:tr>
        <w:trPr>
          <w:trHeight w:val="217"/>
        </w:trPr>
        <w:tc>
          <w:tcPr>
            <w:tcW w:w="5700" w:type="dxa"/>
            <w:vAlign w:val="bottom"/>
            <w:tcBorders>
              <w:bottom w:val="single" w:sz="8" w:color="D4F1F5"/>
            </w:tcBorders>
          </w:tcPr>
          <w:p>
            <w:pPr>
              <w:ind w:left="220"/>
              <w:spacing w:after="0"/>
              <w:rPr>
                <w:sz w:val="20"/>
                <w:szCs w:val="20"/>
                <w:color w:val="auto"/>
              </w:rPr>
            </w:pPr>
            <w:r>
              <w:rPr>
                <w:rFonts w:ascii="Arial" w:cs="Arial" w:eastAsia="Arial" w:hAnsi="Arial"/>
                <w:sz w:val="16"/>
                <w:szCs w:val="16"/>
                <w:color w:val="auto"/>
              </w:rPr>
              <w:t>Revenues from contracts with customers</w:t>
            </w:r>
          </w:p>
        </w:tc>
        <w:tc>
          <w:tcPr>
            <w:tcW w:w="460" w:type="dxa"/>
            <w:vAlign w:val="bottom"/>
            <w:tcBorders>
              <w:bottom w:val="single" w:sz="8" w:color="auto"/>
            </w:tcBorders>
          </w:tcPr>
          <w:p>
            <w:pPr>
              <w:jc w:val="right"/>
              <w:ind w:right="260"/>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3,463</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244</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(26)</w:t>
            </w:r>
          </w:p>
        </w:tc>
        <w:tc>
          <w:tcPr>
            <w:tcW w:w="3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3,681</w:t>
            </w:r>
          </w:p>
        </w:tc>
        <w:tc>
          <w:tcPr>
            <w:tcW w:w="0" w:type="dxa"/>
            <w:vAlign w:val="bottom"/>
          </w:tcPr>
          <w:p>
            <w:pPr>
              <w:spacing w:after="0"/>
              <w:rPr>
                <w:sz w:val="1"/>
                <w:szCs w:val="1"/>
                <w:color w:val="auto"/>
              </w:rPr>
            </w:pPr>
          </w:p>
        </w:tc>
      </w:tr>
      <w:tr>
        <w:trPr>
          <w:trHeight w:val="202"/>
        </w:trPr>
        <w:tc>
          <w:tcPr>
            <w:tcW w:w="5700" w:type="dxa"/>
            <w:vAlign w:val="bottom"/>
            <w:shd w:val="clear" w:color="auto" w:fill="D4F1F5"/>
          </w:tcPr>
          <w:p>
            <w:pPr>
              <w:spacing w:after="0"/>
              <w:rPr>
                <w:sz w:val="17"/>
                <w:szCs w:val="17"/>
                <w:color w:val="auto"/>
              </w:rPr>
            </w:pPr>
          </w:p>
        </w:tc>
        <w:tc>
          <w:tcPr>
            <w:tcW w:w="460" w:type="dxa"/>
            <w:vAlign w:val="bottom"/>
            <w:shd w:val="clear" w:color="auto" w:fill="D4F1F5"/>
          </w:tcPr>
          <w:p>
            <w:pPr>
              <w:spacing w:after="0"/>
              <w:rPr>
                <w:sz w:val="17"/>
                <w:szCs w:val="17"/>
                <w:color w:val="auto"/>
              </w:rPr>
            </w:pPr>
          </w:p>
        </w:tc>
        <w:tc>
          <w:tcPr>
            <w:tcW w:w="900" w:type="dxa"/>
            <w:vAlign w:val="bottom"/>
            <w:shd w:val="clear" w:color="auto" w:fill="D4F1F5"/>
          </w:tcPr>
          <w:p>
            <w:pPr>
              <w:spacing w:after="0"/>
              <w:rPr>
                <w:sz w:val="17"/>
                <w:szCs w:val="17"/>
                <w:color w:val="auto"/>
              </w:rPr>
            </w:pPr>
          </w:p>
        </w:tc>
        <w:tc>
          <w:tcPr>
            <w:tcW w:w="200" w:type="dxa"/>
            <w:vAlign w:val="bottom"/>
            <w:shd w:val="clear" w:color="auto" w:fill="D4F1F5"/>
          </w:tcPr>
          <w:p>
            <w:pPr>
              <w:spacing w:after="0"/>
              <w:rPr>
                <w:sz w:val="17"/>
                <w:szCs w:val="17"/>
                <w:color w:val="auto"/>
              </w:rPr>
            </w:pPr>
          </w:p>
        </w:tc>
        <w:tc>
          <w:tcPr>
            <w:tcW w:w="1180" w:type="dxa"/>
            <w:vAlign w:val="bottom"/>
            <w:shd w:val="clear" w:color="auto" w:fill="D4F1F5"/>
          </w:tcPr>
          <w:p>
            <w:pPr>
              <w:spacing w:after="0"/>
              <w:rPr>
                <w:sz w:val="17"/>
                <w:szCs w:val="17"/>
                <w:color w:val="auto"/>
              </w:rPr>
            </w:pPr>
          </w:p>
        </w:tc>
        <w:tc>
          <w:tcPr>
            <w:tcW w:w="200" w:type="dxa"/>
            <w:vAlign w:val="bottom"/>
            <w:shd w:val="clear" w:color="auto" w:fill="D4F1F5"/>
          </w:tcPr>
          <w:p>
            <w:pPr>
              <w:spacing w:after="0"/>
              <w:rPr>
                <w:sz w:val="17"/>
                <w:szCs w:val="17"/>
                <w:color w:val="auto"/>
              </w:rPr>
            </w:pPr>
          </w:p>
        </w:tc>
        <w:tc>
          <w:tcPr>
            <w:tcW w:w="1240" w:type="dxa"/>
            <w:vAlign w:val="bottom"/>
            <w:shd w:val="clear" w:color="auto" w:fill="D4F1F5"/>
          </w:tcPr>
          <w:p>
            <w:pPr>
              <w:spacing w:after="0"/>
              <w:rPr>
                <w:sz w:val="17"/>
                <w:szCs w:val="17"/>
                <w:color w:val="auto"/>
              </w:rPr>
            </w:pPr>
          </w:p>
        </w:tc>
        <w:tc>
          <w:tcPr>
            <w:tcW w:w="320" w:type="dxa"/>
            <w:vAlign w:val="bottom"/>
            <w:shd w:val="clear" w:color="auto" w:fill="D4F1F5"/>
          </w:tcPr>
          <w:p>
            <w:pPr>
              <w:spacing w:after="0"/>
              <w:rPr>
                <w:sz w:val="17"/>
                <w:szCs w:val="17"/>
                <w:color w:val="auto"/>
              </w:rPr>
            </w:pPr>
          </w:p>
        </w:tc>
        <w:tc>
          <w:tcPr>
            <w:tcW w:w="1040" w:type="dxa"/>
            <w:vAlign w:val="bottom"/>
            <w:shd w:val="clear" w:color="auto" w:fill="D4F1F5"/>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5700" w:type="dxa"/>
            <w:vAlign w:val="bottom"/>
          </w:tcPr>
          <w:p>
            <w:pPr>
              <w:ind w:left="20"/>
              <w:spacing w:after="0"/>
              <w:rPr>
                <w:sz w:val="20"/>
                <w:szCs w:val="20"/>
                <w:color w:val="auto"/>
              </w:rPr>
            </w:pPr>
            <w:r>
              <w:rPr>
                <w:rFonts w:ascii="Arial" w:cs="Arial" w:eastAsia="Arial" w:hAnsi="Arial"/>
                <w:sz w:val="16"/>
                <w:szCs w:val="16"/>
                <w:color w:val="auto"/>
              </w:rPr>
              <w:t>Revenues from contracts with customers</w:t>
            </w:r>
          </w:p>
        </w:tc>
        <w:tc>
          <w:tcPr>
            <w:tcW w:w="460" w:type="dxa"/>
            <w:vAlign w:val="bottom"/>
          </w:tcPr>
          <w:p>
            <w:pPr>
              <w:jc w:val="right"/>
              <w:ind w:right="260"/>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59"/>
              <w:spacing w:after="0"/>
              <w:rPr>
                <w:sz w:val="20"/>
                <w:szCs w:val="20"/>
                <w:color w:val="auto"/>
              </w:rPr>
            </w:pPr>
            <w:r>
              <w:rPr>
                <w:rFonts w:ascii="Arial" w:cs="Arial" w:eastAsia="Arial" w:hAnsi="Arial"/>
                <w:sz w:val="16"/>
                <w:szCs w:val="16"/>
                <w:color w:val="auto"/>
              </w:rPr>
              <w:t>3,463</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21"/>
              <w:spacing w:after="0"/>
              <w:rPr>
                <w:sz w:val="20"/>
                <w:szCs w:val="20"/>
                <w:color w:val="auto"/>
              </w:rPr>
            </w:pPr>
            <w:r>
              <w:rPr>
                <w:rFonts w:ascii="Arial" w:cs="Arial" w:eastAsia="Arial" w:hAnsi="Arial"/>
                <w:sz w:val="16"/>
                <w:szCs w:val="16"/>
                <w:color w:val="auto"/>
              </w:rPr>
              <w:t>244</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1"/>
              <w:spacing w:after="0"/>
              <w:rPr>
                <w:sz w:val="20"/>
                <w:szCs w:val="20"/>
                <w:color w:val="auto"/>
              </w:rPr>
            </w:pPr>
            <w:r>
              <w:rPr>
                <w:rFonts w:ascii="Arial" w:cs="Arial" w:eastAsia="Arial" w:hAnsi="Arial"/>
                <w:sz w:val="16"/>
                <w:szCs w:val="16"/>
                <w:color w:val="auto"/>
              </w:rPr>
              <w:t>(26)</w:t>
            </w:r>
          </w:p>
        </w:tc>
        <w:tc>
          <w:tcPr>
            <w:tcW w:w="32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3,681</w:t>
            </w:r>
          </w:p>
        </w:tc>
        <w:tc>
          <w:tcPr>
            <w:tcW w:w="0" w:type="dxa"/>
            <w:vAlign w:val="bottom"/>
          </w:tcPr>
          <w:p>
            <w:pPr>
              <w:spacing w:after="0"/>
              <w:rPr>
                <w:sz w:val="1"/>
                <w:szCs w:val="1"/>
                <w:color w:val="auto"/>
              </w:rPr>
            </w:pPr>
          </w:p>
        </w:tc>
      </w:tr>
      <w:tr>
        <w:trPr>
          <w:trHeight w:val="217"/>
        </w:trPr>
        <w:tc>
          <w:tcPr>
            <w:tcW w:w="5700" w:type="dxa"/>
            <w:vAlign w:val="bottom"/>
            <w:shd w:val="clear" w:color="auto" w:fill="D4F1F5"/>
          </w:tcPr>
          <w:p>
            <w:pPr>
              <w:ind w:left="20"/>
              <w:spacing w:after="0"/>
              <w:rPr>
                <w:sz w:val="20"/>
                <w:szCs w:val="20"/>
                <w:color w:val="auto"/>
              </w:rPr>
            </w:pPr>
            <w:r>
              <w:rPr>
                <w:rFonts w:ascii="Arial" w:cs="Arial" w:eastAsia="Arial" w:hAnsi="Arial"/>
                <w:sz w:val="16"/>
                <w:szCs w:val="16"/>
                <w:color w:val="auto"/>
              </w:rPr>
              <w:t>Utilities regulatory revenues</w:t>
            </w:r>
          </w:p>
        </w:tc>
        <w:tc>
          <w:tcPr>
            <w:tcW w:w="460" w:type="dxa"/>
            <w:vAlign w:val="bottom"/>
            <w:shd w:val="clear" w:color="auto" w:fill="D4F1F5"/>
          </w:tcPr>
          <w:p>
            <w:pPr>
              <w:spacing w:after="0"/>
              <w:rPr>
                <w:sz w:val="18"/>
                <w:szCs w:val="18"/>
                <w:color w:val="auto"/>
              </w:rPr>
            </w:pPr>
          </w:p>
        </w:tc>
        <w:tc>
          <w:tcPr>
            <w:tcW w:w="900" w:type="dxa"/>
            <w:vAlign w:val="bottom"/>
            <w:shd w:val="clear" w:color="auto" w:fill="D4F1F5"/>
          </w:tcPr>
          <w:p>
            <w:pPr>
              <w:jc w:val="right"/>
              <w:spacing w:after="0"/>
              <w:rPr>
                <w:sz w:val="20"/>
                <w:szCs w:val="20"/>
                <w:color w:val="auto"/>
              </w:rPr>
            </w:pPr>
            <w:r>
              <w:rPr>
                <w:rFonts w:ascii="Arial" w:cs="Arial" w:eastAsia="Arial" w:hAnsi="Arial"/>
                <w:sz w:val="16"/>
                <w:szCs w:val="16"/>
                <w:color w:val="auto"/>
              </w:rPr>
              <w:t>(62)</w:t>
            </w:r>
          </w:p>
        </w:tc>
        <w:tc>
          <w:tcPr>
            <w:tcW w:w="200" w:type="dxa"/>
            <w:vAlign w:val="bottom"/>
            <w:shd w:val="clear" w:color="auto" w:fill="D4F1F5"/>
          </w:tcPr>
          <w:p>
            <w:pPr>
              <w:spacing w:after="0"/>
              <w:rPr>
                <w:sz w:val="18"/>
                <w:szCs w:val="18"/>
                <w:color w:val="auto"/>
              </w:rPr>
            </w:pPr>
          </w:p>
        </w:tc>
        <w:tc>
          <w:tcPr>
            <w:tcW w:w="1180" w:type="dxa"/>
            <w:vAlign w:val="bottom"/>
            <w:shd w:val="clear" w:color="auto" w:fill="D4F1F5"/>
          </w:tcPr>
          <w:p>
            <w:pPr>
              <w:jc w:val="right"/>
              <w:ind w:right="21"/>
              <w:spacing w:after="0"/>
              <w:rPr>
                <w:sz w:val="20"/>
                <w:szCs w:val="20"/>
                <w:color w:val="auto"/>
              </w:rPr>
            </w:pPr>
            <w:r>
              <w:rPr>
                <w:rFonts w:ascii="Arial" w:cs="Arial" w:eastAsia="Arial" w:hAnsi="Arial"/>
                <w:sz w:val="16"/>
                <w:szCs w:val="16"/>
                <w:color w:val="auto"/>
              </w:rPr>
              <w:t>—</w:t>
            </w:r>
          </w:p>
        </w:tc>
        <w:tc>
          <w:tcPr>
            <w:tcW w:w="200" w:type="dxa"/>
            <w:vAlign w:val="bottom"/>
            <w:shd w:val="clear" w:color="auto" w:fill="D4F1F5"/>
          </w:tcPr>
          <w:p>
            <w:pPr>
              <w:spacing w:after="0"/>
              <w:rPr>
                <w:sz w:val="18"/>
                <w:szCs w:val="18"/>
                <w:color w:val="auto"/>
              </w:rPr>
            </w:pPr>
          </w:p>
        </w:tc>
        <w:tc>
          <w:tcPr>
            <w:tcW w:w="1240" w:type="dxa"/>
            <w:vAlign w:val="bottom"/>
            <w:shd w:val="clear" w:color="auto" w:fill="D4F1F5"/>
          </w:tcPr>
          <w:p>
            <w:pPr>
              <w:jc w:val="right"/>
              <w:ind w:right="41"/>
              <w:spacing w:after="0"/>
              <w:rPr>
                <w:sz w:val="20"/>
                <w:szCs w:val="20"/>
                <w:color w:val="auto"/>
              </w:rPr>
            </w:pPr>
            <w:r>
              <w:rPr>
                <w:rFonts w:ascii="Arial" w:cs="Arial" w:eastAsia="Arial" w:hAnsi="Arial"/>
                <w:sz w:val="16"/>
                <w:szCs w:val="16"/>
                <w:color w:val="auto"/>
              </w:rPr>
              <w:t>—</w:t>
            </w:r>
          </w:p>
        </w:tc>
        <w:tc>
          <w:tcPr>
            <w:tcW w:w="320" w:type="dxa"/>
            <w:vAlign w:val="bottom"/>
            <w:shd w:val="clear" w:color="auto" w:fill="D4F1F5"/>
          </w:tcPr>
          <w:p>
            <w:pPr>
              <w:spacing w:after="0"/>
              <w:rPr>
                <w:sz w:val="18"/>
                <w:szCs w:val="18"/>
                <w:color w:val="auto"/>
              </w:rPr>
            </w:pPr>
          </w:p>
        </w:tc>
        <w:tc>
          <w:tcPr>
            <w:tcW w:w="1040" w:type="dxa"/>
            <w:vAlign w:val="bottom"/>
            <w:shd w:val="clear" w:color="auto" w:fill="D4F1F5"/>
          </w:tcPr>
          <w:p>
            <w:pPr>
              <w:jc w:val="right"/>
              <w:spacing w:after="0"/>
              <w:rPr>
                <w:sz w:val="20"/>
                <w:szCs w:val="20"/>
                <w:color w:val="auto"/>
              </w:rPr>
            </w:pPr>
            <w:r>
              <w:rPr>
                <w:rFonts w:ascii="Arial" w:cs="Arial" w:eastAsia="Arial" w:hAnsi="Arial"/>
                <w:sz w:val="16"/>
                <w:szCs w:val="16"/>
                <w:color w:val="auto"/>
              </w:rPr>
              <w:t>(62)</w:t>
            </w:r>
          </w:p>
        </w:tc>
        <w:tc>
          <w:tcPr>
            <w:tcW w:w="0" w:type="dxa"/>
            <w:vAlign w:val="bottom"/>
          </w:tcPr>
          <w:p>
            <w:pPr>
              <w:spacing w:after="0"/>
              <w:rPr>
                <w:sz w:val="1"/>
                <w:szCs w:val="1"/>
                <w:color w:val="auto"/>
              </w:rPr>
            </w:pPr>
          </w:p>
        </w:tc>
      </w:tr>
      <w:tr>
        <w:trPr>
          <w:trHeight w:val="215"/>
        </w:trPr>
        <w:tc>
          <w:tcPr>
            <w:tcW w:w="5700" w:type="dxa"/>
            <w:vAlign w:val="bottom"/>
            <w:tcBorders>
              <w:bottom w:val="single" w:sz="8" w:color="D4F1F5"/>
            </w:tcBorders>
          </w:tcPr>
          <w:p>
            <w:pPr>
              <w:ind w:left="20"/>
              <w:spacing w:after="0"/>
              <w:rPr>
                <w:sz w:val="20"/>
                <w:szCs w:val="20"/>
                <w:color w:val="auto"/>
              </w:rPr>
            </w:pPr>
            <w:r>
              <w:rPr>
                <w:rFonts w:ascii="Arial" w:cs="Arial" w:eastAsia="Arial" w:hAnsi="Arial"/>
                <w:sz w:val="16"/>
                <w:szCs w:val="16"/>
                <w:color w:val="auto"/>
              </w:rPr>
              <w:t>Other revenues</w:t>
            </w:r>
          </w:p>
        </w:tc>
        <w:tc>
          <w:tcPr>
            <w:tcW w:w="4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182</w:t>
            </w:r>
          </w:p>
        </w:tc>
        <w:tc>
          <w:tcPr>
            <w:tcW w:w="2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1</w:t>
            </w: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183</w:t>
            </w:r>
          </w:p>
        </w:tc>
        <w:tc>
          <w:tcPr>
            <w:tcW w:w="0" w:type="dxa"/>
            <w:vAlign w:val="bottom"/>
          </w:tcPr>
          <w:p>
            <w:pPr>
              <w:spacing w:after="0"/>
              <w:rPr>
                <w:sz w:val="1"/>
                <w:szCs w:val="1"/>
                <w:color w:val="auto"/>
              </w:rPr>
            </w:pPr>
          </w:p>
        </w:tc>
      </w:tr>
      <w:tr>
        <w:trPr>
          <w:trHeight w:val="217"/>
        </w:trPr>
        <w:tc>
          <w:tcPr>
            <w:tcW w:w="5700" w:type="dxa"/>
            <w:vAlign w:val="bottom"/>
            <w:tcBorders>
              <w:bottom w:val="single" w:sz="8" w:color="auto"/>
            </w:tcBorders>
            <w:shd w:val="clear" w:color="auto" w:fill="D4F1F5"/>
          </w:tcPr>
          <w:p>
            <w:pPr>
              <w:ind w:left="220"/>
              <w:spacing w:after="0"/>
              <w:rPr>
                <w:sz w:val="20"/>
                <w:szCs w:val="20"/>
                <w:color w:val="auto"/>
              </w:rPr>
            </w:pPr>
            <w:r>
              <w:rPr>
                <w:rFonts w:ascii="Arial" w:cs="Arial" w:eastAsia="Arial" w:hAnsi="Arial"/>
                <w:sz w:val="16"/>
                <w:szCs w:val="16"/>
                <w:color w:val="auto"/>
              </w:rPr>
              <w:t>Total revenues</w:t>
            </w:r>
          </w:p>
        </w:tc>
        <w:tc>
          <w:tcPr>
            <w:tcW w:w="460" w:type="dxa"/>
            <w:vAlign w:val="bottom"/>
            <w:tcBorders>
              <w:bottom w:val="single" w:sz="8" w:color="auto"/>
            </w:tcBorders>
            <w:shd w:val="clear" w:color="auto" w:fill="D4F1F5"/>
          </w:tcPr>
          <w:p>
            <w:pPr>
              <w:jc w:val="right"/>
              <w:ind w:right="260"/>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shd w:val="clear" w:color="auto" w:fill="D4F1F5"/>
          </w:tcPr>
          <w:p>
            <w:pPr>
              <w:jc w:val="right"/>
              <w:ind w:right="59"/>
              <w:spacing w:after="0"/>
              <w:rPr>
                <w:sz w:val="20"/>
                <w:szCs w:val="20"/>
                <w:color w:val="auto"/>
              </w:rPr>
            </w:pPr>
            <w:r>
              <w:rPr>
                <w:rFonts w:ascii="Arial" w:cs="Arial" w:eastAsia="Arial" w:hAnsi="Arial"/>
                <w:sz w:val="16"/>
                <w:szCs w:val="16"/>
                <w:color w:val="auto"/>
              </w:rPr>
              <w:t>3,401</w:t>
            </w:r>
          </w:p>
        </w:tc>
        <w:tc>
          <w:tcPr>
            <w:tcW w:w="200" w:type="dxa"/>
            <w:vAlign w:val="bottom"/>
            <w:tcBorders>
              <w:bottom w:val="single" w:sz="8" w:color="auto"/>
            </w:tcBorders>
            <w:shd w:val="clear" w:color="auto" w:fill="D4F1F5"/>
          </w:tcPr>
          <w:p>
            <w:pPr>
              <w:jc w:val="right"/>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shd w:val="clear" w:color="auto" w:fill="D4F1F5"/>
          </w:tcPr>
          <w:p>
            <w:pPr>
              <w:jc w:val="right"/>
              <w:ind w:right="21"/>
              <w:spacing w:after="0"/>
              <w:rPr>
                <w:sz w:val="20"/>
                <w:szCs w:val="20"/>
                <w:color w:val="auto"/>
              </w:rPr>
            </w:pPr>
            <w:r>
              <w:rPr>
                <w:rFonts w:ascii="Arial" w:cs="Arial" w:eastAsia="Arial" w:hAnsi="Arial"/>
                <w:sz w:val="16"/>
                <w:szCs w:val="16"/>
                <w:color w:val="auto"/>
              </w:rPr>
              <w:t>426</w:t>
            </w:r>
          </w:p>
        </w:tc>
        <w:tc>
          <w:tcPr>
            <w:tcW w:w="200" w:type="dxa"/>
            <w:vAlign w:val="bottom"/>
            <w:tcBorders>
              <w:bottom w:val="single" w:sz="8" w:color="auto"/>
            </w:tcBorders>
            <w:shd w:val="clear" w:color="auto" w:fill="D4F1F5"/>
          </w:tcPr>
          <w:p>
            <w:pPr>
              <w:jc w:val="right"/>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shd w:val="clear" w:color="auto" w:fill="D4F1F5"/>
          </w:tcPr>
          <w:p>
            <w:pPr>
              <w:jc w:val="right"/>
              <w:ind w:right="1"/>
              <w:spacing w:after="0"/>
              <w:rPr>
                <w:sz w:val="20"/>
                <w:szCs w:val="20"/>
                <w:color w:val="auto"/>
              </w:rPr>
            </w:pPr>
            <w:r>
              <w:rPr>
                <w:rFonts w:ascii="Arial" w:cs="Arial" w:eastAsia="Arial" w:hAnsi="Arial"/>
                <w:sz w:val="16"/>
                <w:szCs w:val="16"/>
                <w:color w:val="auto"/>
              </w:rPr>
              <w:t>(25)</w:t>
            </w:r>
          </w:p>
        </w:tc>
        <w:tc>
          <w:tcPr>
            <w:tcW w:w="320" w:type="dxa"/>
            <w:vAlign w:val="bottom"/>
            <w:tcBorders>
              <w:bottom w:val="single" w:sz="8" w:color="auto"/>
            </w:tcBorders>
            <w:shd w:val="clear" w:color="auto" w:fill="D4F1F5"/>
          </w:tcPr>
          <w:p>
            <w:pPr>
              <w:jc w:val="right"/>
              <w:ind w:right="5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shd w:val="clear" w:color="auto" w:fill="D4F1F5"/>
          </w:tcPr>
          <w:p>
            <w:pPr>
              <w:jc w:val="right"/>
              <w:spacing w:after="0"/>
              <w:rPr>
                <w:sz w:val="20"/>
                <w:szCs w:val="20"/>
                <w:color w:val="auto"/>
              </w:rPr>
            </w:pPr>
            <w:r>
              <w:rPr>
                <w:rFonts w:ascii="Arial" w:cs="Arial" w:eastAsia="Arial" w:hAnsi="Arial"/>
                <w:sz w:val="16"/>
                <w:szCs w:val="16"/>
                <w:color w:val="auto"/>
              </w:rPr>
              <w:t>3,802</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480060</wp:posOffset>
            </wp:positionV>
            <wp:extent cx="7132320" cy="3003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2320" cy="3003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FFFFFF"/>
        </w:rPr>
        <w:t>DISAGGREGATED REVENUES</w:t>
      </w:r>
    </w:p>
    <w:p>
      <w:pPr>
        <w:spacing w:after="0" w:line="66" w:lineRule="exact"/>
        <w:rPr>
          <w:sz w:val="20"/>
          <w:szCs w:val="20"/>
          <w:color w:val="auto"/>
        </w:rPr>
      </w:pPr>
    </w:p>
    <w:p>
      <w:pPr>
        <w:ind w:left="20"/>
        <w:spacing w:after="0"/>
        <w:rPr>
          <w:sz w:val="20"/>
          <w:szCs w:val="20"/>
          <w:color w:val="auto"/>
        </w:rPr>
      </w:pPr>
      <w:r>
        <w:rPr>
          <w:rFonts w:ascii="Arial" w:cs="Arial" w:eastAsia="Arial" w:hAnsi="Arial"/>
          <w:sz w:val="14"/>
          <w:szCs w:val="14"/>
          <w:i w:val="1"/>
          <w:iCs w:val="1"/>
          <w:color w:val="FFFFFF"/>
        </w:rPr>
        <w:t>(Dollars in millions)</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56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2"/>
          </w:tcPr>
          <w:p>
            <w:pPr>
              <w:jc w:val="right"/>
              <w:ind w:right="19"/>
              <w:spacing w:after="0"/>
              <w:rPr>
                <w:sz w:val="20"/>
                <w:szCs w:val="20"/>
                <w:color w:val="auto"/>
              </w:rPr>
            </w:pPr>
            <w:r>
              <w:rPr>
                <w:rFonts w:ascii="Arial" w:cs="Arial" w:eastAsia="Arial" w:hAnsi="Arial"/>
                <w:sz w:val="14"/>
                <w:szCs w:val="14"/>
                <w:color w:val="auto"/>
              </w:rPr>
              <w:t>SDG&amp;E</w:t>
            </w:r>
          </w:p>
        </w:tc>
        <w:tc>
          <w:tcPr>
            <w:tcW w:w="110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2"/>
          </w:tcPr>
          <w:p>
            <w:pPr>
              <w:jc w:val="right"/>
              <w:ind w:right="19"/>
              <w:spacing w:after="0"/>
              <w:rPr>
                <w:sz w:val="20"/>
                <w:szCs w:val="20"/>
                <w:color w:val="auto"/>
              </w:rPr>
            </w:pPr>
            <w:r>
              <w:rPr>
                <w:rFonts w:ascii="Arial" w:cs="Arial" w:eastAsia="Arial" w:hAnsi="Arial"/>
                <w:sz w:val="14"/>
                <w:szCs w:val="14"/>
                <w:color w:val="auto"/>
              </w:rPr>
              <w:t>SoCalGas</w:t>
            </w:r>
          </w:p>
        </w:tc>
        <w:tc>
          <w:tcPr>
            <w:tcW w:w="920" w:type="dxa"/>
            <w:vAlign w:val="bottom"/>
            <w:tcBorders>
              <w:bottom w:val="single" w:sz="8" w:color="auto"/>
            </w:tcBorders>
          </w:tcPr>
          <w:p>
            <w:pPr>
              <w:spacing w:after="0"/>
              <w:rPr>
                <w:sz w:val="16"/>
                <w:szCs w:val="16"/>
                <w:color w:val="auto"/>
              </w:rPr>
            </w:pPr>
          </w:p>
        </w:tc>
      </w:tr>
      <w:tr>
        <w:trPr>
          <w:trHeight w:val="209"/>
        </w:trPr>
        <w:tc>
          <w:tcPr>
            <w:tcW w:w="56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2520" w:type="dxa"/>
            <w:vAlign w:val="bottom"/>
            <w:tcBorders>
              <w:bottom w:val="single" w:sz="8" w:color="auto"/>
            </w:tcBorders>
            <w:gridSpan w:val="3"/>
          </w:tcPr>
          <w:p>
            <w:pPr>
              <w:jc w:val="right"/>
              <w:ind w:right="341"/>
              <w:spacing w:after="0"/>
              <w:rPr>
                <w:sz w:val="20"/>
                <w:szCs w:val="20"/>
                <w:color w:val="auto"/>
              </w:rPr>
            </w:pPr>
            <w:r>
              <w:rPr>
                <w:rFonts w:ascii="Arial" w:cs="Arial" w:eastAsia="Arial" w:hAnsi="Arial"/>
                <w:sz w:val="14"/>
                <w:szCs w:val="14"/>
                <w:color w:val="auto"/>
              </w:rPr>
              <w:t>Three months ended March 31,</w:t>
            </w:r>
          </w:p>
        </w:tc>
        <w:tc>
          <w:tcPr>
            <w:tcW w:w="4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r>
      <w:tr>
        <w:trPr>
          <w:trHeight w:val="221"/>
        </w:trPr>
        <w:tc>
          <w:tcPr>
            <w:tcW w:w="564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461"/>
              <w:spacing w:after="0"/>
              <w:rPr>
                <w:sz w:val="20"/>
                <w:szCs w:val="20"/>
                <w:color w:val="auto"/>
              </w:rPr>
            </w:pPr>
            <w:r>
              <w:rPr>
                <w:rFonts w:ascii="Arial" w:cs="Arial" w:eastAsia="Arial" w:hAnsi="Arial"/>
                <w:sz w:val="14"/>
                <w:szCs w:val="14"/>
                <w:color w:val="auto"/>
              </w:rPr>
              <w:t>2026</w:t>
            </w:r>
          </w:p>
        </w:tc>
        <w:tc>
          <w:tcPr>
            <w:tcW w:w="3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521"/>
              <w:spacing w:after="0"/>
              <w:rPr>
                <w:sz w:val="20"/>
                <w:szCs w:val="20"/>
                <w:color w:val="auto"/>
              </w:rPr>
            </w:pPr>
            <w:r>
              <w:rPr>
                <w:rFonts w:ascii="Arial" w:cs="Arial" w:eastAsia="Arial" w:hAnsi="Arial"/>
                <w:sz w:val="14"/>
                <w:szCs w:val="14"/>
                <w:color w:val="auto"/>
              </w:rPr>
              <w:t>2025</w:t>
            </w:r>
          </w:p>
        </w:tc>
        <w:tc>
          <w:tcPr>
            <w:tcW w:w="4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441"/>
              <w:spacing w:after="0"/>
              <w:rPr>
                <w:sz w:val="20"/>
                <w:szCs w:val="20"/>
                <w:color w:val="auto"/>
              </w:rPr>
            </w:pPr>
            <w:r>
              <w:rPr>
                <w:rFonts w:ascii="Arial" w:cs="Arial" w:eastAsia="Arial" w:hAnsi="Arial"/>
                <w:sz w:val="14"/>
                <w:szCs w:val="14"/>
                <w:color w:val="auto"/>
              </w:rPr>
              <w:t>2026</w:t>
            </w:r>
          </w:p>
        </w:tc>
        <w:tc>
          <w:tcPr>
            <w:tcW w:w="4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400"/>
              <w:spacing w:after="0"/>
              <w:rPr>
                <w:sz w:val="20"/>
                <w:szCs w:val="20"/>
                <w:color w:val="auto"/>
              </w:rPr>
            </w:pPr>
            <w:r>
              <w:rPr>
                <w:rFonts w:ascii="Arial" w:cs="Arial" w:eastAsia="Arial" w:hAnsi="Arial"/>
                <w:sz w:val="14"/>
                <w:szCs w:val="14"/>
                <w:color w:val="auto"/>
              </w:rPr>
              <w:t>2025</w:t>
            </w:r>
          </w:p>
        </w:tc>
      </w:tr>
      <w:tr>
        <w:trPr>
          <w:trHeight w:val="216"/>
        </w:trPr>
        <w:tc>
          <w:tcPr>
            <w:tcW w:w="5640" w:type="dxa"/>
            <w:vAlign w:val="bottom"/>
            <w:shd w:val="clear" w:color="auto" w:fill="D4F1F5"/>
          </w:tcPr>
          <w:p>
            <w:pPr>
              <w:ind w:left="20"/>
              <w:spacing w:after="0"/>
              <w:rPr>
                <w:sz w:val="20"/>
                <w:szCs w:val="20"/>
                <w:color w:val="auto"/>
              </w:rPr>
            </w:pPr>
            <w:r>
              <w:rPr>
                <w:rFonts w:ascii="Arial" w:cs="Arial" w:eastAsia="Arial" w:hAnsi="Arial"/>
                <w:sz w:val="16"/>
                <w:szCs w:val="16"/>
                <w:b w:val="1"/>
                <w:bCs w:val="1"/>
                <w:color w:val="auto"/>
              </w:rPr>
              <w:t>By major service line:</w:t>
            </w:r>
          </w:p>
        </w:tc>
        <w:tc>
          <w:tcPr>
            <w:tcW w:w="300" w:type="dxa"/>
            <w:vAlign w:val="bottom"/>
            <w:shd w:val="clear" w:color="auto" w:fill="D4F1F5"/>
          </w:tcPr>
          <w:p>
            <w:pPr>
              <w:spacing w:after="0"/>
              <w:rPr>
                <w:sz w:val="18"/>
                <w:szCs w:val="18"/>
                <w:color w:val="auto"/>
              </w:rPr>
            </w:pPr>
          </w:p>
        </w:tc>
        <w:tc>
          <w:tcPr>
            <w:tcW w:w="1040" w:type="dxa"/>
            <w:vAlign w:val="bottom"/>
            <w:shd w:val="clear" w:color="auto" w:fill="D4F1F5"/>
          </w:tcPr>
          <w:p>
            <w:pPr>
              <w:spacing w:after="0"/>
              <w:rPr>
                <w:sz w:val="18"/>
                <w:szCs w:val="18"/>
                <w:color w:val="auto"/>
              </w:rPr>
            </w:pPr>
          </w:p>
        </w:tc>
        <w:tc>
          <w:tcPr>
            <w:tcW w:w="360" w:type="dxa"/>
            <w:vAlign w:val="bottom"/>
            <w:shd w:val="clear" w:color="auto" w:fill="D4F1F5"/>
          </w:tcPr>
          <w:p>
            <w:pPr>
              <w:spacing w:after="0"/>
              <w:rPr>
                <w:sz w:val="18"/>
                <w:szCs w:val="18"/>
                <w:color w:val="auto"/>
              </w:rPr>
            </w:pPr>
          </w:p>
        </w:tc>
        <w:tc>
          <w:tcPr>
            <w:tcW w:w="1100" w:type="dxa"/>
            <w:vAlign w:val="bottom"/>
            <w:shd w:val="clear" w:color="auto" w:fill="D4F1F5"/>
          </w:tcPr>
          <w:p>
            <w:pPr>
              <w:spacing w:after="0"/>
              <w:rPr>
                <w:sz w:val="18"/>
                <w:szCs w:val="18"/>
                <w:color w:val="auto"/>
              </w:rPr>
            </w:pPr>
          </w:p>
        </w:tc>
        <w:tc>
          <w:tcPr>
            <w:tcW w:w="400" w:type="dxa"/>
            <w:vAlign w:val="bottom"/>
            <w:shd w:val="clear" w:color="auto" w:fill="D4F1F5"/>
          </w:tcPr>
          <w:p>
            <w:pPr>
              <w:spacing w:after="0"/>
              <w:rPr>
                <w:sz w:val="18"/>
                <w:szCs w:val="18"/>
                <w:color w:val="auto"/>
              </w:rPr>
            </w:pPr>
          </w:p>
        </w:tc>
        <w:tc>
          <w:tcPr>
            <w:tcW w:w="1020" w:type="dxa"/>
            <w:vAlign w:val="bottom"/>
            <w:shd w:val="clear" w:color="auto" w:fill="D4F1F5"/>
          </w:tcPr>
          <w:p>
            <w:pPr>
              <w:spacing w:after="0"/>
              <w:rPr>
                <w:sz w:val="18"/>
                <w:szCs w:val="18"/>
                <w:color w:val="auto"/>
              </w:rPr>
            </w:pPr>
          </w:p>
        </w:tc>
        <w:tc>
          <w:tcPr>
            <w:tcW w:w="460" w:type="dxa"/>
            <w:vAlign w:val="bottom"/>
            <w:shd w:val="clear" w:color="auto" w:fill="D4F1F5"/>
          </w:tcPr>
          <w:p>
            <w:pPr>
              <w:spacing w:after="0"/>
              <w:rPr>
                <w:sz w:val="18"/>
                <w:szCs w:val="18"/>
                <w:color w:val="auto"/>
              </w:rPr>
            </w:pPr>
          </w:p>
        </w:tc>
        <w:tc>
          <w:tcPr>
            <w:tcW w:w="920" w:type="dxa"/>
            <w:vAlign w:val="bottom"/>
            <w:shd w:val="clear" w:color="auto" w:fill="D4F1F5"/>
          </w:tcPr>
          <w:p>
            <w:pPr>
              <w:spacing w:after="0"/>
              <w:rPr>
                <w:sz w:val="18"/>
                <w:szCs w:val="18"/>
                <w:color w:val="auto"/>
              </w:rPr>
            </w:pPr>
          </w:p>
        </w:tc>
      </w:tr>
      <w:tr>
        <w:trPr>
          <w:trHeight w:val="223"/>
        </w:trPr>
        <w:tc>
          <w:tcPr>
            <w:tcW w:w="5640" w:type="dxa"/>
            <w:vAlign w:val="bottom"/>
            <w:tcBorders>
              <w:bottom w:val="single" w:sz="8" w:color="D4F1F5"/>
            </w:tcBorders>
          </w:tcPr>
          <w:p>
            <w:pPr>
              <w:ind w:left="100"/>
              <w:spacing w:after="0"/>
              <w:rPr>
                <w:sz w:val="20"/>
                <w:szCs w:val="20"/>
                <w:color w:val="auto"/>
              </w:rPr>
            </w:pPr>
            <w:r>
              <w:rPr>
                <w:rFonts w:ascii="Arial" w:cs="Arial" w:eastAsia="Arial" w:hAnsi="Arial"/>
                <w:sz w:val="16"/>
                <w:szCs w:val="16"/>
                <w:color w:val="auto"/>
              </w:rPr>
              <w:t>Revenues from contracts with customers – Utilities</w:t>
            </w: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1,556</w:t>
            </w:r>
          </w:p>
        </w:tc>
        <w:tc>
          <w:tcPr>
            <w:tcW w:w="36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tcPr>
          <w:p>
            <w:pPr>
              <w:jc w:val="right"/>
              <w:ind w:right="101"/>
              <w:spacing w:after="0"/>
              <w:rPr>
                <w:sz w:val="20"/>
                <w:szCs w:val="20"/>
                <w:color w:val="auto"/>
              </w:rPr>
            </w:pPr>
            <w:r>
              <w:rPr>
                <w:rFonts w:ascii="Arial" w:cs="Arial" w:eastAsia="Arial" w:hAnsi="Arial"/>
                <w:sz w:val="16"/>
                <w:szCs w:val="16"/>
                <w:color w:val="auto"/>
              </w:rPr>
              <w:t>1,434</w:t>
            </w:r>
          </w:p>
        </w:tc>
        <w:tc>
          <w:tcPr>
            <w:tcW w:w="4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1,708</w:t>
            </w:r>
          </w:p>
        </w:tc>
        <w:tc>
          <w:tcPr>
            <w:tcW w:w="4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2,068</w:t>
            </w:r>
          </w:p>
        </w:tc>
      </w:tr>
      <w:tr>
        <w:trPr>
          <w:trHeight w:val="203"/>
        </w:trPr>
        <w:tc>
          <w:tcPr>
            <w:tcW w:w="5640" w:type="dxa"/>
            <w:vAlign w:val="bottom"/>
            <w:shd w:val="clear" w:color="auto" w:fill="D4F1F5"/>
          </w:tcPr>
          <w:p>
            <w:pPr>
              <w:ind w:left="20"/>
              <w:spacing w:after="0"/>
              <w:rPr>
                <w:sz w:val="20"/>
                <w:szCs w:val="20"/>
                <w:color w:val="auto"/>
              </w:rPr>
            </w:pPr>
            <w:r>
              <w:rPr>
                <w:rFonts w:ascii="Arial" w:cs="Arial" w:eastAsia="Arial" w:hAnsi="Arial"/>
                <w:sz w:val="16"/>
                <w:szCs w:val="16"/>
                <w:b w:val="1"/>
                <w:bCs w:val="1"/>
                <w:color w:val="auto"/>
              </w:rPr>
              <w:t>By market:</w:t>
            </w:r>
          </w:p>
        </w:tc>
        <w:tc>
          <w:tcPr>
            <w:tcW w:w="300" w:type="dxa"/>
            <w:vAlign w:val="bottom"/>
            <w:shd w:val="clear" w:color="auto" w:fill="D4F1F5"/>
          </w:tcPr>
          <w:p>
            <w:pPr>
              <w:spacing w:after="0"/>
              <w:rPr>
                <w:sz w:val="17"/>
                <w:szCs w:val="17"/>
                <w:color w:val="auto"/>
              </w:rPr>
            </w:pPr>
          </w:p>
        </w:tc>
        <w:tc>
          <w:tcPr>
            <w:tcW w:w="1040" w:type="dxa"/>
            <w:vAlign w:val="bottom"/>
            <w:shd w:val="clear" w:color="auto" w:fill="D4F1F5"/>
          </w:tcPr>
          <w:p>
            <w:pPr>
              <w:spacing w:after="0"/>
              <w:rPr>
                <w:sz w:val="17"/>
                <w:szCs w:val="17"/>
                <w:color w:val="auto"/>
              </w:rPr>
            </w:pPr>
          </w:p>
        </w:tc>
        <w:tc>
          <w:tcPr>
            <w:tcW w:w="360" w:type="dxa"/>
            <w:vAlign w:val="bottom"/>
            <w:shd w:val="clear" w:color="auto" w:fill="D4F1F5"/>
          </w:tcPr>
          <w:p>
            <w:pPr>
              <w:spacing w:after="0"/>
              <w:rPr>
                <w:sz w:val="17"/>
                <w:szCs w:val="17"/>
                <w:color w:val="auto"/>
              </w:rPr>
            </w:pPr>
          </w:p>
        </w:tc>
        <w:tc>
          <w:tcPr>
            <w:tcW w:w="1100" w:type="dxa"/>
            <w:vAlign w:val="bottom"/>
            <w:shd w:val="clear" w:color="auto" w:fill="D4F1F5"/>
          </w:tcPr>
          <w:p>
            <w:pPr>
              <w:spacing w:after="0"/>
              <w:rPr>
                <w:sz w:val="17"/>
                <w:szCs w:val="17"/>
                <w:color w:val="auto"/>
              </w:rPr>
            </w:pPr>
          </w:p>
        </w:tc>
        <w:tc>
          <w:tcPr>
            <w:tcW w:w="400" w:type="dxa"/>
            <w:vAlign w:val="bottom"/>
            <w:shd w:val="clear" w:color="auto" w:fill="D4F1F5"/>
          </w:tcPr>
          <w:p>
            <w:pPr>
              <w:spacing w:after="0"/>
              <w:rPr>
                <w:sz w:val="17"/>
                <w:szCs w:val="17"/>
                <w:color w:val="auto"/>
              </w:rPr>
            </w:pPr>
          </w:p>
        </w:tc>
        <w:tc>
          <w:tcPr>
            <w:tcW w:w="1020" w:type="dxa"/>
            <w:vAlign w:val="bottom"/>
            <w:shd w:val="clear" w:color="auto" w:fill="D4F1F5"/>
          </w:tcPr>
          <w:p>
            <w:pPr>
              <w:spacing w:after="0"/>
              <w:rPr>
                <w:sz w:val="17"/>
                <w:szCs w:val="17"/>
                <w:color w:val="auto"/>
              </w:rPr>
            </w:pPr>
          </w:p>
        </w:tc>
        <w:tc>
          <w:tcPr>
            <w:tcW w:w="460" w:type="dxa"/>
            <w:vAlign w:val="bottom"/>
            <w:shd w:val="clear" w:color="auto" w:fill="D4F1F5"/>
          </w:tcPr>
          <w:p>
            <w:pPr>
              <w:spacing w:after="0"/>
              <w:rPr>
                <w:sz w:val="17"/>
                <w:szCs w:val="17"/>
                <w:color w:val="auto"/>
              </w:rPr>
            </w:pPr>
          </w:p>
        </w:tc>
        <w:tc>
          <w:tcPr>
            <w:tcW w:w="920" w:type="dxa"/>
            <w:vAlign w:val="bottom"/>
            <w:shd w:val="clear" w:color="auto" w:fill="D4F1F5"/>
          </w:tcPr>
          <w:p>
            <w:pPr>
              <w:spacing w:after="0"/>
              <w:rPr>
                <w:sz w:val="17"/>
                <w:szCs w:val="17"/>
                <w:color w:val="auto"/>
              </w:rPr>
            </w:pPr>
          </w:p>
        </w:tc>
      </w:tr>
      <w:tr>
        <w:trPr>
          <w:trHeight w:val="215"/>
        </w:trPr>
        <w:tc>
          <w:tcPr>
            <w:tcW w:w="5640" w:type="dxa"/>
            <w:vAlign w:val="bottom"/>
          </w:tcPr>
          <w:p>
            <w:pPr>
              <w:ind w:left="140"/>
              <w:spacing w:after="0"/>
              <w:rPr>
                <w:sz w:val="20"/>
                <w:szCs w:val="20"/>
                <w:color w:val="auto"/>
              </w:rPr>
            </w:pPr>
            <w:r>
              <w:rPr>
                <w:rFonts w:ascii="Arial" w:cs="Arial" w:eastAsia="Arial" w:hAnsi="Arial"/>
                <w:sz w:val="16"/>
                <w:szCs w:val="16"/>
                <w:color w:val="auto"/>
              </w:rPr>
              <w:t>Gas</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ind w:right="41"/>
              <w:spacing w:after="0"/>
              <w:rPr>
                <w:sz w:val="20"/>
                <w:szCs w:val="20"/>
                <w:color w:val="auto"/>
              </w:rPr>
            </w:pPr>
            <w:r>
              <w:rPr>
                <w:rFonts w:ascii="Arial" w:cs="Arial" w:eastAsia="Arial" w:hAnsi="Arial"/>
                <w:sz w:val="16"/>
                <w:szCs w:val="16"/>
                <w:color w:val="auto"/>
              </w:rPr>
              <w:t>321</w:t>
            </w:r>
          </w:p>
        </w:tc>
        <w:tc>
          <w:tcPr>
            <w:tcW w:w="36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101"/>
              <w:spacing w:after="0"/>
              <w:rPr>
                <w:sz w:val="20"/>
                <w:szCs w:val="20"/>
                <w:color w:val="auto"/>
              </w:rPr>
            </w:pPr>
            <w:r>
              <w:rPr>
                <w:rFonts w:ascii="Arial" w:cs="Arial" w:eastAsia="Arial" w:hAnsi="Arial"/>
                <w:sz w:val="16"/>
                <w:szCs w:val="16"/>
                <w:color w:val="auto"/>
              </w:rPr>
              <w:t>359</w:t>
            </w:r>
          </w:p>
        </w:tc>
        <w:tc>
          <w:tcPr>
            <w:tcW w:w="40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21"/>
              <w:spacing w:after="0"/>
              <w:rPr>
                <w:sz w:val="20"/>
                <w:szCs w:val="20"/>
                <w:color w:val="auto"/>
              </w:rPr>
            </w:pPr>
            <w:r>
              <w:rPr>
                <w:rFonts w:ascii="Arial" w:cs="Arial" w:eastAsia="Arial" w:hAnsi="Arial"/>
                <w:sz w:val="16"/>
                <w:szCs w:val="16"/>
                <w:color w:val="auto"/>
              </w:rPr>
              <w:t>1,708</w:t>
            </w:r>
          </w:p>
        </w:tc>
        <w:tc>
          <w:tcPr>
            <w:tcW w:w="46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2,068</w:t>
            </w:r>
          </w:p>
        </w:tc>
      </w:tr>
      <w:tr>
        <w:trPr>
          <w:trHeight w:val="216"/>
        </w:trPr>
        <w:tc>
          <w:tcPr>
            <w:tcW w:w="5640" w:type="dxa"/>
            <w:vAlign w:val="bottom"/>
            <w:shd w:val="clear" w:color="auto" w:fill="D4F1F5"/>
          </w:tcPr>
          <w:p>
            <w:pPr>
              <w:ind w:left="140"/>
              <w:spacing w:after="0"/>
              <w:rPr>
                <w:sz w:val="20"/>
                <w:szCs w:val="20"/>
                <w:color w:val="auto"/>
              </w:rPr>
            </w:pPr>
            <w:r>
              <w:rPr>
                <w:rFonts w:ascii="Arial" w:cs="Arial" w:eastAsia="Arial" w:hAnsi="Arial"/>
                <w:sz w:val="16"/>
                <w:szCs w:val="16"/>
                <w:color w:val="auto"/>
              </w:rPr>
              <w:t>Electric</w:t>
            </w:r>
          </w:p>
        </w:tc>
        <w:tc>
          <w:tcPr>
            <w:tcW w:w="300" w:type="dxa"/>
            <w:vAlign w:val="bottom"/>
            <w:tcBorders>
              <w:bottom w:val="single" w:sz="8" w:color="auto"/>
            </w:tcBorders>
            <w:shd w:val="clear" w:color="auto" w:fill="D4F1F5"/>
          </w:tcPr>
          <w:p>
            <w:pPr>
              <w:spacing w:after="0"/>
              <w:rPr>
                <w:sz w:val="18"/>
                <w:szCs w:val="18"/>
                <w:color w:val="auto"/>
              </w:rPr>
            </w:pPr>
          </w:p>
        </w:tc>
        <w:tc>
          <w:tcPr>
            <w:tcW w:w="1040" w:type="dxa"/>
            <w:vAlign w:val="bottom"/>
            <w:tcBorders>
              <w:bottom w:val="single" w:sz="8" w:color="auto"/>
            </w:tcBorders>
            <w:shd w:val="clear" w:color="auto" w:fill="D4F1F5"/>
          </w:tcPr>
          <w:p>
            <w:pPr>
              <w:jc w:val="right"/>
              <w:ind w:right="41"/>
              <w:spacing w:after="0"/>
              <w:rPr>
                <w:sz w:val="20"/>
                <w:szCs w:val="20"/>
                <w:color w:val="auto"/>
              </w:rPr>
            </w:pPr>
            <w:r>
              <w:rPr>
                <w:rFonts w:ascii="Arial" w:cs="Arial" w:eastAsia="Arial" w:hAnsi="Arial"/>
                <w:sz w:val="16"/>
                <w:szCs w:val="16"/>
                <w:color w:val="auto"/>
              </w:rPr>
              <w:t>1,235</w:t>
            </w:r>
          </w:p>
        </w:tc>
        <w:tc>
          <w:tcPr>
            <w:tcW w:w="360" w:type="dxa"/>
            <w:vAlign w:val="bottom"/>
            <w:tcBorders>
              <w:bottom w:val="single" w:sz="8" w:color="auto"/>
            </w:tcBorders>
            <w:shd w:val="clear" w:color="auto" w:fill="D4F1F5"/>
          </w:tcPr>
          <w:p>
            <w:pPr>
              <w:spacing w:after="0"/>
              <w:rPr>
                <w:sz w:val="18"/>
                <w:szCs w:val="18"/>
                <w:color w:val="auto"/>
              </w:rPr>
            </w:pPr>
          </w:p>
        </w:tc>
        <w:tc>
          <w:tcPr>
            <w:tcW w:w="1100" w:type="dxa"/>
            <w:vAlign w:val="bottom"/>
            <w:tcBorders>
              <w:bottom w:val="single" w:sz="8" w:color="auto"/>
            </w:tcBorders>
            <w:shd w:val="clear" w:color="auto" w:fill="D4F1F5"/>
          </w:tcPr>
          <w:p>
            <w:pPr>
              <w:jc w:val="right"/>
              <w:ind w:right="101"/>
              <w:spacing w:after="0"/>
              <w:rPr>
                <w:sz w:val="20"/>
                <w:szCs w:val="20"/>
                <w:color w:val="auto"/>
              </w:rPr>
            </w:pPr>
            <w:r>
              <w:rPr>
                <w:rFonts w:ascii="Arial" w:cs="Arial" w:eastAsia="Arial" w:hAnsi="Arial"/>
                <w:sz w:val="16"/>
                <w:szCs w:val="16"/>
                <w:color w:val="auto"/>
              </w:rPr>
              <w:t>1,075</w:t>
            </w:r>
          </w:p>
        </w:tc>
        <w:tc>
          <w:tcPr>
            <w:tcW w:w="400" w:type="dxa"/>
            <w:vAlign w:val="bottom"/>
            <w:tcBorders>
              <w:bottom w:val="single" w:sz="8" w:color="auto"/>
            </w:tcBorders>
            <w:shd w:val="clear" w:color="auto" w:fill="D4F1F5"/>
          </w:tcPr>
          <w:p>
            <w:pPr>
              <w:spacing w:after="0"/>
              <w:rPr>
                <w:sz w:val="18"/>
                <w:szCs w:val="18"/>
                <w:color w:val="auto"/>
              </w:rPr>
            </w:pPr>
          </w:p>
        </w:tc>
        <w:tc>
          <w:tcPr>
            <w:tcW w:w="1020" w:type="dxa"/>
            <w:vAlign w:val="bottom"/>
            <w:tcBorders>
              <w:bottom w:val="single" w:sz="8" w:color="auto"/>
            </w:tcBorders>
            <w:shd w:val="clear" w:color="auto" w:fill="D4F1F5"/>
          </w:tcPr>
          <w:p>
            <w:pPr>
              <w:jc w:val="right"/>
              <w:ind w:right="21"/>
              <w:spacing w:after="0"/>
              <w:rPr>
                <w:sz w:val="20"/>
                <w:szCs w:val="20"/>
                <w:color w:val="auto"/>
              </w:rPr>
            </w:pPr>
            <w:r>
              <w:rPr>
                <w:rFonts w:ascii="Arial" w:cs="Arial" w:eastAsia="Arial" w:hAnsi="Arial"/>
                <w:sz w:val="16"/>
                <w:szCs w:val="16"/>
                <w:color w:val="auto"/>
              </w:rPr>
              <w:t>—</w:t>
            </w:r>
          </w:p>
        </w:tc>
        <w:tc>
          <w:tcPr>
            <w:tcW w:w="460" w:type="dxa"/>
            <w:vAlign w:val="bottom"/>
            <w:tcBorders>
              <w:bottom w:val="single" w:sz="8" w:color="auto"/>
            </w:tcBorders>
            <w:shd w:val="clear" w:color="auto" w:fill="D4F1F5"/>
          </w:tcPr>
          <w:p>
            <w:pPr>
              <w:spacing w:after="0"/>
              <w:rPr>
                <w:sz w:val="18"/>
                <w:szCs w:val="18"/>
                <w:color w:val="auto"/>
              </w:rPr>
            </w:pPr>
          </w:p>
        </w:tc>
        <w:tc>
          <w:tcPr>
            <w:tcW w:w="920" w:type="dxa"/>
            <w:vAlign w:val="bottom"/>
            <w:tcBorders>
              <w:bottom w:val="single" w:sz="8" w:color="auto"/>
            </w:tcBorders>
            <w:shd w:val="clear" w:color="auto" w:fill="D4F1F5"/>
          </w:tcPr>
          <w:p>
            <w:pPr>
              <w:jc w:val="right"/>
              <w:spacing w:after="0"/>
              <w:rPr>
                <w:sz w:val="20"/>
                <w:szCs w:val="20"/>
                <w:color w:val="auto"/>
              </w:rPr>
            </w:pPr>
            <w:r>
              <w:rPr>
                <w:rFonts w:ascii="Arial" w:cs="Arial" w:eastAsia="Arial" w:hAnsi="Arial"/>
                <w:sz w:val="16"/>
                <w:szCs w:val="16"/>
                <w:color w:val="auto"/>
              </w:rPr>
              <w:t>—</w:t>
            </w:r>
          </w:p>
        </w:tc>
      </w:tr>
      <w:tr>
        <w:trPr>
          <w:trHeight w:val="217"/>
        </w:trPr>
        <w:tc>
          <w:tcPr>
            <w:tcW w:w="5640" w:type="dxa"/>
            <w:vAlign w:val="bottom"/>
            <w:tcBorders>
              <w:bottom w:val="single" w:sz="8" w:color="D4F1F5"/>
            </w:tcBorders>
          </w:tcPr>
          <w:p>
            <w:pPr>
              <w:ind w:left="240"/>
              <w:spacing w:after="0"/>
              <w:rPr>
                <w:sz w:val="20"/>
                <w:szCs w:val="20"/>
                <w:color w:val="auto"/>
              </w:rPr>
            </w:pPr>
            <w:r>
              <w:rPr>
                <w:rFonts w:ascii="Arial" w:cs="Arial" w:eastAsia="Arial" w:hAnsi="Arial"/>
                <w:sz w:val="16"/>
                <w:szCs w:val="16"/>
                <w:color w:val="auto"/>
              </w:rPr>
              <w:t>Revenues from contracts with customers</w:t>
            </w: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1,556</w:t>
            </w:r>
          </w:p>
        </w:tc>
        <w:tc>
          <w:tcPr>
            <w:tcW w:w="36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tcPr>
          <w:p>
            <w:pPr>
              <w:jc w:val="right"/>
              <w:ind w:right="101"/>
              <w:spacing w:after="0"/>
              <w:rPr>
                <w:sz w:val="20"/>
                <w:szCs w:val="20"/>
                <w:color w:val="auto"/>
              </w:rPr>
            </w:pPr>
            <w:r>
              <w:rPr>
                <w:rFonts w:ascii="Arial" w:cs="Arial" w:eastAsia="Arial" w:hAnsi="Arial"/>
                <w:sz w:val="16"/>
                <w:szCs w:val="16"/>
                <w:color w:val="auto"/>
              </w:rPr>
              <w:t>1,434</w:t>
            </w:r>
          </w:p>
        </w:tc>
        <w:tc>
          <w:tcPr>
            <w:tcW w:w="4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1,708</w:t>
            </w:r>
          </w:p>
        </w:tc>
        <w:tc>
          <w:tcPr>
            <w:tcW w:w="4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2,068</w:t>
            </w:r>
          </w:p>
        </w:tc>
      </w:tr>
      <w:tr>
        <w:trPr>
          <w:trHeight w:val="203"/>
        </w:trPr>
        <w:tc>
          <w:tcPr>
            <w:tcW w:w="5640" w:type="dxa"/>
            <w:vAlign w:val="bottom"/>
            <w:shd w:val="clear" w:color="auto" w:fill="D4F1F5"/>
          </w:tcPr>
          <w:p>
            <w:pPr>
              <w:spacing w:after="0"/>
              <w:rPr>
                <w:sz w:val="17"/>
                <w:szCs w:val="17"/>
                <w:color w:val="auto"/>
              </w:rPr>
            </w:pPr>
          </w:p>
        </w:tc>
        <w:tc>
          <w:tcPr>
            <w:tcW w:w="300" w:type="dxa"/>
            <w:vAlign w:val="bottom"/>
            <w:shd w:val="clear" w:color="auto" w:fill="D4F1F5"/>
          </w:tcPr>
          <w:p>
            <w:pPr>
              <w:spacing w:after="0"/>
              <w:rPr>
                <w:sz w:val="17"/>
                <w:szCs w:val="17"/>
                <w:color w:val="auto"/>
              </w:rPr>
            </w:pPr>
          </w:p>
        </w:tc>
        <w:tc>
          <w:tcPr>
            <w:tcW w:w="1040" w:type="dxa"/>
            <w:vAlign w:val="bottom"/>
            <w:shd w:val="clear" w:color="auto" w:fill="D4F1F5"/>
          </w:tcPr>
          <w:p>
            <w:pPr>
              <w:spacing w:after="0"/>
              <w:rPr>
                <w:sz w:val="17"/>
                <w:szCs w:val="17"/>
                <w:color w:val="auto"/>
              </w:rPr>
            </w:pPr>
          </w:p>
        </w:tc>
        <w:tc>
          <w:tcPr>
            <w:tcW w:w="360" w:type="dxa"/>
            <w:vAlign w:val="bottom"/>
            <w:shd w:val="clear" w:color="auto" w:fill="D4F1F5"/>
          </w:tcPr>
          <w:p>
            <w:pPr>
              <w:spacing w:after="0"/>
              <w:rPr>
                <w:sz w:val="17"/>
                <w:szCs w:val="17"/>
                <w:color w:val="auto"/>
              </w:rPr>
            </w:pPr>
          </w:p>
        </w:tc>
        <w:tc>
          <w:tcPr>
            <w:tcW w:w="1100" w:type="dxa"/>
            <w:vAlign w:val="bottom"/>
            <w:shd w:val="clear" w:color="auto" w:fill="D4F1F5"/>
          </w:tcPr>
          <w:p>
            <w:pPr>
              <w:spacing w:after="0"/>
              <w:rPr>
                <w:sz w:val="17"/>
                <w:szCs w:val="17"/>
                <w:color w:val="auto"/>
              </w:rPr>
            </w:pPr>
          </w:p>
        </w:tc>
        <w:tc>
          <w:tcPr>
            <w:tcW w:w="400" w:type="dxa"/>
            <w:vAlign w:val="bottom"/>
            <w:shd w:val="clear" w:color="auto" w:fill="D4F1F5"/>
          </w:tcPr>
          <w:p>
            <w:pPr>
              <w:spacing w:after="0"/>
              <w:rPr>
                <w:sz w:val="17"/>
                <w:szCs w:val="17"/>
                <w:color w:val="auto"/>
              </w:rPr>
            </w:pPr>
          </w:p>
        </w:tc>
        <w:tc>
          <w:tcPr>
            <w:tcW w:w="1020" w:type="dxa"/>
            <w:vAlign w:val="bottom"/>
            <w:shd w:val="clear" w:color="auto" w:fill="D4F1F5"/>
          </w:tcPr>
          <w:p>
            <w:pPr>
              <w:spacing w:after="0"/>
              <w:rPr>
                <w:sz w:val="17"/>
                <w:szCs w:val="17"/>
                <w:color w:val="auto"/>
              </w:rPr>
            </w:pPr>
          </w:p>
        </w:tc>
        <w:tc>
          <w:tcPr>
            <w:tcW w:w="460" w:type="dxa"/>
            <w:vAlign w:val="bottom"/>
            <w:shd w:val="clear" w:color="auto" w:fill="D4F1F5"/>
          </w:tcPr>
          <w:p>
            <w:pPr>
              <w:spacing w:after="0"/>
              <w:rPr>
                <w:sz w:val="17"/>
                <w:szCs w:val="17"/>
                <w:color w:val="auto"/>
              </w:rPr>
            </w:pPr>
          </w:p>
        </w:tc>
        <w:tc>
          <w:tcPr>
            <w:tcW w:w="920" w:type="dxa"/>
            <w:vAlign w:val="bottom"/>
            <w:shd w:val="clear" w:color="auto" w:fill="D4F1F5"/>
          </w:tcPr>
          <w:p>
            <w:pPr>
              <w:spacing w:after="0"/>
              <w:rPr>
                <w:sz w:val="17"/>
                <w:szCs w:val="17"/>
                <w:color w:val="auto"/>
              </w:rPr>
            </w:pPr>
          </w:p>
        </w:tc>
      </w:tr>
      <w:tr>
        <w:trPr>
          <w:trHeight w:val="215"/>
        </w:trPr>
        <w:tc>
          <w:tcPr>
            <w:tcW w:w="5640" w:type="dxa"/>
            <w:vAlign w:val="bottom"/>
          </w:tcPr>
          <w:p>
            <w:pPr>
              <w:ind w:left="20"/>
              <w:spacing w:after="0"/>
              <w:rPr>
                <w:sz w:val="20"/>
                <w:szCs w:val="20"/>
                <w:color w:val="auto"/>
              </w:rPr>
            </w:pPr>
            <w:r>
              <w:rPr>
                <w:rFonts w:ascii="Arial" w:cs="Arial" w:eastAsia="Arial" w:hAnsi="Arial"/>
                <w:sz w:val="16"/>
                <w:szCs w:val="16"/>
                <w:color w:val="auto"/>
              </w:rPr>
              <w:t>Revenues from contracts with customers</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ind w:right="41"/>
              <w:spacing w:after="0"/>
              <w:rPr>
                <w:sz w:val="20"/>
                <w:szCs w:val="20"/>
                <w:color w:val="auto"/>
              </w:rPr>
            </w:pPr>
            <w:r>
              <w:rPr>
                <w:rFonts w:ascii="Arial" w:cs="Arial" w:eastAsia="Arial" w:hAnsi="Arial"/>
                <w:sz w:val="16"/>
                <w:szCs w:val="16"/>
                <w:color w:val="auto"/>
              </w:rPr>
              <w:t>1,556</w:t>
            </w:r>
          </w:p>
        </w:tc>
        <w:tc>
          <w:tcPr>
            <w:tcW w:w="36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101"/>
              <w:spacing w:after="0"/>
              <w:rPr>
                <w:sz w:val="20"/>
                <w:szCs w:val="20"/>
                <w:color w:val="auto"/>
              </w:rPr>
            </w:pPr>
            <w:r>
              <w:rPr>
                <w:rFonts w:ascii="Arial" w:cs="Arial" w:eastAsia="Arial" w:hAnsi="Arial"/>
                <w:sz w:val="16"/>
                <w:szCs w:val="16"/>
                <w:color w:val="auto"/>
              </w:rPr>
              <w:t>1,434</w:t>
            </w:r>
          </w:p>
        </w:tc>
        <w:tc>
          <w:tcPr>
            <w:tcW w:w="40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21"/>
              <w:spacing w:after="0"/>
              <w:rPr>
                <w:sz w:val="20"/>
                <w:szCs w:val="20"/>
                <w:color w:val="auto"/>
              </w:rPr>
            </w:pPr>
            <w:r>
              <w:rPr>
                <w:rFonts w:ascii="Arial" w:cs="Arial" w:eastAsia="Arial" w:hAnsi="Arial"/>
                <w:sz w:val="16"/>
                <w:szCs w:val="16"/>
                <w:color w:val="auto"/>
              </w:rPr>
              <w:t>1,708</w:t>
            </w:r>
          </w:p>
        </w:tc>
        <w:tc>
          <w:tcPr>
            <w:tcW w:w="46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2,068</w:t>
            </w:r>
          </w:p>
        </w:tc>
      </w:tr>
      <w:tr>
        <w:trPr>
          <w:trHeight w:val="217"/>
        </w:trPr>
        <w:tc>
          <w:tcPr>
            <w:tcW w:w="5640" w:type="dxa"/>
            <w:vAlign w:val="bottom"/>
            <w:shd w:val="clear" w:color="auto" w:fill="D4F1F5"/>
          </w:tcPr>
          <w:p>
            <w:pPr>
              <w:ind w:left="20"/>
              <w:spacing w:after="0"/>
              <w:rPr>
                <w:sz w:val="20"/>
                <w:szCs w:val="20"/>
                <w:color w:val="auto"/>
              </w:rPr>
            </w:pPr>
            <w:r>
              <w:rPr>
                <w:rFonts w:ascii="Arial" w:cs="Arial" w:eastAsia="Arial" w:hAnsi="Arial"/>
                <w:sz w:val="16"/>
                <w:szCs w:val="16"/>
                <w:color w:val="auto"/>
              </w:rPr>
              <w:t>Utilities regulatory revenues</w:t>
            </w:r>
          </w:p>
        </w:tc>
        <w:tc>
          <w:tcPr>
            <w:tcW w:w="300" w:type="dxa"/>
            <w:vAlign w:val="bottom"/>
            <w:tcBorders>
              <w:bottom w:val="single" w:sz="8" w:color="auto"/>
            </w:tcBorders>
            <w:shd w:val="clear" w:color="auto" w:fill="D4F1F5"/>
          </w:tcPr>
          <w:p>
            <w:pPr>
              <w:spacing w:after="0"/>
              <w:rPr>
                <w:sz w:val="18"/>
                <w:szCs w:val="18"/>
                <w:color w:val="auto"/>
              </w:rPr>
            </w:pPr>
          </w:p>
        </w:tc>
        <w:tc>
          <w:tcPr>
            <w:tcW w:w="1040" w:type="dxa"/>
            <w:vAlign w:val="bottom"/>
            <w:tcBorders>
              <w:bottom w:val="single" w:sz="8" w:color="auto"/>
            </w:tcBorders>
            <w:shd w:val="clear" w:color="auto" w:fill="D4F1F5"/>
          </w:tcPr>
          <w:p>
            <w:pPr>
              <w:jc w:val="right"/>
              <w:ind w:right="1"/>
              <w:spacing w:after="0"/>
              <w:rPr>
                <w:sz w:val="20"/>
                <w:szCs w:val="20"/>
                <w:color w:val="auto"/>
              </w:rPr>
            </w:pPr>
            <w:r>
              <w:rPr>
                <w:rFonts w:ascii="Arial" w:cs="Arial" w:eastAsia="Arial" w:hAnsi="Arial"/>
                <w:sz w:val="16"/>
                <w:szCs w:val="16"/>
                <w:color w:val="auto"/>
              </w:rPr>
              <w:t>(9)</w:t>
            </w:r>
          </w:p>
        </w:tc>
        <w:tc>
          <w:tcPr>
            <w:tcW w:w="360" w:type="dxa"/>
            <w:vAlign w:val="bottom"/>
            <w:tcBorders>
              <w:bottom w:val="single" w:sz="8" w:color="auto"/>
            </w:tcBorders>
            <w:shd w:val="clear" w:color="auto" w:fill="D4F1F5"/>
          </w:tcPr>
          <w:p>
            <w:pPr>
              <w:spacing w:after="0"/>
              <w:rPr>
                <w:sz w:val="18"/>
                <w:szCs w:val="18"/>
                <w:color w:val="auto"/>
              </w:rPr>
            </w:pPr>
          </w:p>
        </w:tc>
        <w:tc>
          <w:tcPr>
            <w:tcW w:w="1100" w:type="dxa"/>
            <w:vAlign w:val="bottom"/>
            <w:tcBorders>
              <w:bottom w:val="single" w:sz="8" w:color="auto"/>
            </w:tcBorders>
            <w:shd w:val="clear" w:color="auto" w:fill="D4F1F5"/>
          </w:tcPr>
          <w:p>
            <w:pPr>
              <w:jc w:val="right"/>
              <w:ind w:right="41"/>
              <w:spacing w:after="0"/>
              <w:rPr>
                <w:sz w:val="20"/>
                <w:szCs w:val="20"/>
                <w:color w:val="auto"/>
              </w:rPr>
            </w:pPr>
            <w:r>
              <w:rPr>
                <w:rFonts w:ascii="Arial" w:cs="Arial" w:eastAsia="Arial" w:hAnsi="Arial"/>
                <w:sz w:val="16"/>
                <w:szCs w:val="16"/>
                <w:color w:val="auto"/>
              </w:rPr>
              <w:t>(14)</w:t>
            </w:r>
          </w:p>
        </w:tc>
        <w:tc>
          <w:tcPr>
            <w:tcW w:w="400" w:type="dxa"/>
            <w:vAlign w:val="bottom"/>
            <w:tcBorders>
              <w:bottom w:val="single" w:sz="8" w:color="auto"/>
            </w:tcBorders>
            <w:shd w:val="clear" w:color="auto" w:fill="D4F1F5"/>
          </w:tcPr>
          <w:p>
            <w:pPr>
              <w:spacing w:after="0"/>
              <w:rPr>
                <w:sz w:val="18"/>
                <w:szCs w:val="18"/>
                <w:color w:val="auto"/>
              </w:rPr>
            </w:pPr>
          </w:p>
        </w:tc>
        <w:tc>
          <w:tcPr>
            <w:tcW w:w="1020" w:type="dxa"/>
            <w:vAlign w:val="bottom"/>
            <w:tcBorders>
              <w:bottom w:val="single" w:sz="8" w:color="auto"/>
            </w:tcBorders>
            <w:shd w:val="clear" w:color="auto" w:fill="D4F1F5"/>
          </w:tcPr>
          <w:p>
            <w:pPr>
              <w:jc w:val="right"/>
              <w:ind w:right="21"/>
              <w:spacing w:after="0"/>
              <w:rPr>
                <w:sz w:val="20"/>
                <w:szCs w:val="20"/>
                <w:color w:val="auto"/>
              </w:rPr>
            </w:pPr>
            <w:r>
              <w:rPr>
                <w:rFonts w:ascii="Arial" w:cs="Arial" w:eastAsia="Arial" w:hAnsi="Arial"/>
                <w:sz w:val="16"/>
                <w:szCs w:val="16"/>
                <w:color w:val="auto"/>
              </w:rPr>
              <w:t>20</w:t>
            </w:r>
          </w:p>
        </w:tc>
        <w:tc>
          <w:tcPr>
            <w:tcW w:w="460" w:type="dxa"/>
            <w:vAlign w:val="bottom"/>
            <w:tcBorders>
              <w:bottom w:val="single" w:sz="8" w:color="auto"/>
            </w:tcBorders>
            <w:shd w:val="clear" w:color="auto" w:fill="D4F1F5"/>
          </w:tcPr>
          <w:p>
            <w:pPr>
              <w:spacing w:after="0"/>
              <w:rPr>
                <w:sz w:val="18"/>
                <w:szCs w:val="18"/>
                <w:color w:val="auto"/>
              </w:rPr>
            </w:pPr>
          </w:p>
        </w:tc>
        <w:tc>
          <w:tcPr>
            <w:tcW w:w="920" w:type="dxa"/>
            <w:vAlign w:val="bottom"/>
            <w:tcBorders>
              <w:bottom w:val="single" w:sz="8" w:color="auto"/>
            </w:tcBorders>
            <w:shd w:val="clear" w:color="auto" w:fill="D4F1F5"/>
          </w:tcPr>
          <w:p>
            <w:pPr>
              <w:jc w:val="right"/>
              <w:spacing w:after="0"/>
              <w:rPr>
                <w:sz w:val="20"/>
                <w:szCs w:val="20"/>
                <w:color w:val="auto"/>
              </w:rPr>
            </w:pPr>
            <w:r>
              <w:rPr>
                <w:rFonts w:ascii="Arial" w:cs="Arial" w:eastAsia="Arial" w:hAnsi="Arial"/>
                <w:sz w:val="16"/>
                <w:szCs w:val="16"/>
                <w:color w:val="auto"/>
              </w:rPr>
              <w:t>(48)</w:t>
            </w:r>
          </w:p>
        </w:tc>
      </w:tr>
      <w:tr>
        <w:trPr>
          <w:trHeight w:val="217"/>
        </w:trPr>
        <w:tc>
          <w:tcPr>
            <w:tcW w:w="5640" w:type="dxa"/>
            <w:vAlign w:val="bottom"/>
            <w:tcBorders>
              <w:bottom w:val="single" w:sz="8" w:color="auto"/>
            </w:tcBorders>
          </w:tcPr>
          <w:p>
            <w:pPr>
              <w:ind w:left="240"/>
              <w:spacing w:after="0"/>
              <w:rPr>
                <w:sz w:val="20"/>
                <w:szCs w:val="20"/>
                <w:color w:val="auto"/>
              </w:rPr>
            </w:pPr>
            <w:r>
              <w:rPr>
                <w:rFonts w:ascii="Arial" w:cs="Arial" w:eastAsia="Arial" w:hAnsi="Arial"/>
                <w:sz w:val="16"/>
                <w:szCs w:val="16"/>
                <w:color w:val="auto"/>
              </w:rPr>
              <w:t>Total revenues</w:t>
            </w: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1,547</w:t>
            </w:r>
          </w:p>
        </w:tc>
        <w:tc>
          <w:tcPr>
            <w:tcW w:w="36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tcPr>
          <w:p>
            <w:pPr>
              <w:jc w:val="right"/>
              <w:ind w:right="101"/>
              <w:spacing w:after="0"/>
              <w:rPr>
                <w:sz w:val="20"/>
                <w:szCs w:val="20"/>
                <w:color w:val="auto"/>
              </w:rPr>
            </w:pPr>
            <w:r>
              <w:rPr>
                <w:rFonts w:ascii="Arial" w:cs="Arial" w:eastAsia="Arial" w:hAnsi="Arial"/>
                <w:sz w:val="16"/>
                <w:szCs w:val="16"/>
                <w:color w:val="auto"/>
              </w:rPr>
              <w:t>1,420</w:t>
            </w:r>
          </w:p>
        </w:tc>
        <w:tc>
          <w:tcPr>
            <w:tcW w:w="4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1,728</w:t>
            </w:r>
          </w:p>
        </w:tc>
        <w:tc>
          <w:tcPr>
            <w:tcW w:w="4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2,020</w:t>
            </w:r>
          </w:p>
        </w:tc>
      </w:tr>
    </w:tbl>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REVENUES FROM CONTRACTS WITH CUSTOMERS</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Remaining Performance Obligations</w:t>
      </w:r>
    </w:p>
    <w:p>
      <w:pPr>
        <w:spacing w:after="0" w:line="49" w:lineRule="exact"/>
        <w:rPr>
          <w:sz w:val="20"/>
          <w:szCs w:val="20"/>
          <w:color w:val="auto"/>
        </w:rPr>
      </w:pPr>
    </w:p>
    <w:p>
      <w:pPr>
        <w:ind w:right="440"/>
        <w:spacing w:after="0" w:line="274" w:lineRule="auto"/>
        <w:rPr>
          <w:sz w:val="20"/>
          <w:szCs w:val="20"/>
          <w:color w:val="auto"/>
        </w:rPr>
      </w:pPr>
      <w:r>
        <w:rPr>
          <w:rFonts w:ascii="Times New Roman" w:cs="Times New Roman" w:eastAsia="Times New Roman" w:hAnsi="Times New Roman"/>
          <w:sz w:val="18"/>
          <w:szCs w:val="18"/>
          <w:color w:val="auto"/>
        </w:rPr>
        <w:t>For contracts greater than one year, we expect to recognize revenue related to the fixed fee component of the consideration. Sempra’s remaining performance obligations primarily relate to capacity agreements for transmission line projects at SDG&amp;E and natural gas storage and transportation at Sempra Infrastructure. SoCalGas did not have any remaining performance obligations for contracts greater than one year at March 31, 2026.</w:t>
      </w:r>
    </w:p>
    <w:p>
      <w:pPr>
        <w:spacing w:after="0" w:line="74"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At March 31, 2026, SDG&amp;E’s remaining performance obligations for contracts greater than one year totaled $67 million, comprising $3 million in 2026, excluding the first three months of 2026, $4 million in each of 2027 through 2030 and $48 million thereafter. At March 31, 2026, remaining performance obligations for contracts greater than one year within the disposal group that is classified as held for sale totaled $3,064 million, comprising $232 million in 2026, excluding the first three months of 2026, $287 million in 2027, $241 million in 2028, $213 million in 2029, $213 million in 2030, and $1,878 million thereafter.</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Contract Liabilities from Revenues from Contracts with Customers</w:t>
      </w:r>
    </w:p>
    <w:p>
      <w:pPr>
        <w:spacing w:after="0" w:line="49" w:lineRule="exact"/>
        <w:rPr>
          <w:sz w:val="20"/>
          <w:szCs w:val="20"/>
          <w:color w:val="auto"/>
        </w:rPr>
      </w:pPr>
    </w:p>
    <w:p>
      <w:pPr>
        <w:ind w:right="120"/>
        <w:spacing w:after="0" w:line="297" w:lineRule="auto"/>
        <w:rPr>
          <w:sz w:val="20"/>
          <w:szCs w:val="20"/>
          <w:color w:val="auto"/>
        </w:rPr>
      </w:pPr>
      <w:r>
        <w:rPr>
          <w:rFonts w:ascii="Times New Roman" w:cs="Times New Roman" w:eastAsia="Times New Roman" w:hAnsi="Times New Roman"/>
          <w:sz w:val="18"/>
          <w:szCs w:val="18"/>
          <w:color w:val="auto"/>
        </w:rPr>
        <w:t>Activities within Sempra’s and SDG&amp;E’s contract liabilities are presented below. There were no contract liabilities at SoCalGas in the three months ended March 31, 2026 or 2025.</w:t>
      </w:r>
    </w:p>
    <w:p>
      <w:pPr>
        <w:spacing w:after="0" w:line="86"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FFFFFF"/>
        </w:rPr>
        <w:t>CONTRACT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-115570</wp:posOffset>
            </wp:positionV>
            <wp:extent cx="7132320" cy="26606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2320" cy="266065"/>
                    </a:xfrm>
                    <a:prstGeom prst="rect">
                      <a:avLst/>
                    </a:prstGeom>
                    <a:noFill/>
                  </pic:spPr>
                </pic:pic>
              </a:graphicData>
            </a:graphic>
          </wp:anchor>
        </w:drawing>
      </w:r>
    </w:p>
    <w:p>
      <w:pPr>
        <w:spacing w:after="0" w:line="19" w:lineRule="exact"/>
        <w:rPr>
          <w:sz w:val="20"/>
          <w:szCs w:val="20"/>
          <w:color w:val="auto"/>
        </w:rPr>
      </w:pPr>
    </w:p>
    <w:p>
      <w:pPr>
        <w:ind w:left="20"/>
        <w:spacing w:after="0"/>
        <w:rPr>
          <w:sz w:val="20"/>
          <w:szCs w:val="20"/>
          <w:color w:val="auto"/>
        </w:rPr>
      </w:pPr>
      <w:r>
        <w:rPr>
          <w:rFonts w:ascii="Arial" w:cs="Arial" w:eastAsia="Arial" w:hAnsi="Arial"/>
          <w:sz w:val="14"/>
          <w:szCs w:val="14"/>
          <w:i w:val="1"/>
          <w:iCs w:val="1"/>
          <w:color w:val="FFFFFF"/>
        </w:rPr>
        <w:t>(Dollars in millions)</w:t>
      </w:r>
    </w:p>
    <w:p>
      <w:pPr>
        <w:spacing w:after="0" w:line="53"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76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121"/>
              <w:spacing w:after="0"/>
              <w:rPr>
                <w:sz w:val="20"/>
                <w:szCs w:val="20"/>
                <w:color w:val="auto"/>
              </w:rPr>
            </w:pPr>
            <w:r>
              <w:rPr>
                <w:rFonts w:ascii="Arial" w:cs="Arial" w:eastAsia="Arial" w:hAnsi="Arial"/>
                <w:sz w:val="14"/>
                <w:szCs w:val="14"/>
                <w:color w:val="auto"/>
              </w:rPr>
              <w:t>2026</w:t>
            </w:r>
          </w:p>
        </w:tc>
        <w:tc>
          <w:tcPr>
            <w:tcW w:w="56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640"/>
              <w:spacing w:after="0"/>
              <w:rPr>
                <w:sz w:val="20"/>
                <w:szCs w:val="20"/>
                <w:color w:val="auto"/>
              </w:rPr>
            </w:pPr>
            <w:r>
              <w:rPr>
                <w:rFonts w:ascii="Arial" w:cs="Arial" w:eastAsia="Arial" w:hAnsi="Arial"/>
                <w:sz w:val="14"/>
                <w:szCs w:val="14"/>
                <w:color w:val="auto"/>
              </w:rPr>
              <w:t>2025</w:t>
            </w:r>
          </w:p>
        </w:tc>
      </w:tr>
      <w:tr>
        <w:trPr>
          <w:trHeight w:val="214"/>
        </w:trPr>
        <w:tc>
          <w:tcPr>
            <w:tcW w:w="7640" w:type="dxa"/>
            <w:vAlign w:val="bottom"/>
            <w:shd w:val="clear" w:color="auto" w:fill="D4F1F5"/>
          </w:tcPr>
          <w:p>
            <w:pPr>
              <w:ind w:left="20"/>
              <w:spacing w:after="0"/>
              <w:rPr>
                <w:sz w:val="20"/>
                <w:szCs w:val="20"/>
                <w:color w:val="auto"/>
              </w:rPr>
            </w:pPr>
            <w:r>
              <w:rPr>
                <w:rFonts w:ascii="Arial" w:cs="Arial" w:eastAsia="Arial" w:hAnsi="Arial"/>
                <w:sz w:val="16"/>
                <w:szCs w:val="16"/>
                <w:b w:val="1"/>
                <w:bCs w:val="1"/>
                <w:color w:val="auto"/>
              </w:rPr>
              <w:t>Sempra:</w:t>
            </w:r>
          </w:p>
        </w:tc>
        <w:tc>
          <w:tcPr>
            <w:tcW w:w="1240" w:type="dxa"/>
            <w:vAlign w:val="bottom"/>
            <w:shd w:val="clear" w:color="auto" w:fill="D4F1F5"/>
          </w:tcPr>
          <w:p>
            <w:pPr>
              <w:spacing w:after="0"/>
              <w:rPr>
                <w:sz w:val="18"/>
                <w:szCs w:val="18"/>
                <w:color w:val="auto"/>
              </w:rPr>
            </w:pPr>
          </w:p>
        </w:tc>
        <w:tc>
          <w:tcPr>
            <w:tcW w:w="560" w:type="dxa"/>
            <w:vAlign w:val="bottom"/>
            <w:shd w:val="clear" w:color="auto" w:fill="D4F1F5"/>
          </w:tcPr>
          <w:p>
            <w:pPr>
              <w:spacing w:after="0"/>
              <w:rPr>
                <w:sz w:val="18"/>
                <w:szCs w:val="18"/>
                <w:color w:val="auto"/>
              </w:rPr>
            </w:pPr>
          </w:p>
        </w:tc>
        <w:tc>
          <w:tcPr>
            <w:tcW w:w="460" w:type="dxa"/>
            <w:vAlign w:val="bottom"/>
            <w:shd w:val="clear" w:color="auto" w:fill="D4F1F5"/>
          </w:tcPr>
          <w:p>
            <w:pPr>
              <w:spacing w:after="0"/>
              <w:rPr>
                <w:sz w:val="18"/>
                <w:szCs w:val="18"/>
                <w:color w:val="auto"/>
              </w:rPr>
            </w:pPr>
          </w:p>
        </w:tc>
        <w:tc>
          <w:tcPr>
            <w:tcW w:w="1340" w:type="dxa"/>
            <w:vAlign w:val="bottom"/>
            <w:shd w:val="clear" w:color="auto" w:fill="D4F1F5"/>
          </w:tcPr>
          <w:p>
            <w:pPr>
              <w:spacing w:after="0"/>
              <w:rPr>
                <w:sz w:val="18"/>
                <w:szCs w:val="18"/>
                <w:color w:val="auto"/>
              </w:rPr>
            </w:pPr>
          </w:p>
        </w:tc>
      </w:tr>
      <w:tr>
        <w:trPr>
          <w:trHeight w:val="215"/>
        </w:trPr>
        <w:tc>
          <w:tcPr>
            <w:tcW w:w="7640" w:type="dxa"/>
            <w:vAlign w:val="bottom"/>
          </w:tcPr>
          <w:p>
            <w:pPr>
              <w:ind w:left="20"/>
              <w:spacing w:after="0"/>
              <w:rPr>
                <w:sz w:val="20"/>
                <w:szCs w:val="20"/>
                <w:color w:val="auto"/>
              </w:rPr>
            </w:pPr>
            <w:r>
              <w:rPr>
                <w:rFonts w:ascii="Arial" w:cs="Arial" w:eastAsia="Arial" w:hAnsi="Arial"/>
                <w:sz w:val="16"/>
                <w:szCs w:val="16"/>
                <w:color w:val="auto"/>
              </w:rPr>
              <w:t>Contract liabilities at January 1</w:t>
            </w:r>
          </w:p>
        </w:tc>
        <w:tc>
          <w:tcPr>
            <w:tcW w:w="1240" w:type="dxa"/>
            <w:vAlign w:val="bottom"/>
          </w:tcPr>
          <w:p>
            <w:pPr>
              <w:jc w:val="right"/>
              <w:ind w:right="1041"/>
              <w:spacing w:after="0"/>
              <w:rPr>
                <w:sz w:val="20"/>
                <w:szCs w:val="20"/>
                <w:color w:val="auto"/>
              </w:rPr>
            </w:pPr>
            <w:r>
              <w:rPr>
                <w:rFonts w:ascii="Arial" w:cs="Arial" w:eastAsia="Arial" w:hAnsi="Arial"/>
                <w:sz w:val="16"/>
                <w:szCs w:val="16"/>
                <w:color w:val="auto"/>
              </w:rPr>
              <w:t>$</w:t>
            </w:r>
          </w:p>
        </w:tc>
        <w:tc>
          <w:tcPr>
            <w:tcW w:w="560" w:type="dxa"/>
            <w:vAlign w:val="bottom"/>
          </w:tcPr>
          <w:p>
            <w:pPr>
              <w:jc w:val="right"/>
              <w:spacing w:after="0"/>
              <w:rPr>
                <w:sz w:val="20"/>
                <w:szCs w:val="20"/>
                <w:color w:val="auto"/>
              </w:rPr>
            </w:pPr>
            <w:r>
              <w:rPr>
                <w:rFonts w:ascii="Arial" w:cs="Arial" w:eastAsia="Arial" w:hAnsi="Arial"/>
                <w:sz w:val="16"/>
                <w:szCs w:val="16"/>
                <w:color w:val="auto"/>
              </w:rPr>
              <w:t>(68)</w:t>
            </w:r>
          </w:p>
        </w:tc>
        <w:tc>
          <w:tcPr>
            <w:tcW w:w="46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1340" w:type="dxa"/>
            <w:vAlign w:val="bottom"/>
          </w:tcPr>
          <w:p>
            <w:pPr>
              <w:jc w:val="right"/>
              <w:spacing w:after="0"/>
              <w:rPr>
                <w:sz w:val="20"/>
                <w:szCs w:val="20"/>
                <w:color w:val="auto"/>
              </w:rPr>
            </w:pPr>
            <w:r>
              <w:rPr>
                <w:rFonts w:ascii="Arial" w:cs="Arial" w:eastAsia="Arial" w:hAnsi="Arial"/>
                <w:sz w:val="16"/>
                <w:szCs w:val="16"/>
                <w:color w:val="auto"/>
              </w:rPr>
              <w:t>(196)</w:t>
            </w:r>
          </w:p>
        </w:tc>
      </w:tr>
      <w:tr>
        <w:trPr>
          <w:trHeight w:val="217"/>
        </w:trPr>
        <w:tc>
          <w:tcPr>
            <w:tcW w:w="7640" w:type="dxa"/>
            <w:vAlign w:val="bottom"/>
            <w:shd w:val="clear" w:color="auto" w:fill="D4F1F5"/>
          </w:tcPr>
          <w:p>
            <w:pPr>
              <w:ind w:left="20"/>
              <w:spacing w:after="0" w:line="217" w:lineRule="exact"/>
              <w:rPr>
                <w:sz w:val="20"/>
                <w:szCs w:val="20"/>
                <w:color w:val="auto"/>
              </w:rPr>
            </w:pPr>
            <w:r>
              <w:rPr>
                <w:rFonts w:ascii="Arial" w:cs="Arial" w:eastAsia="Arial" w:hAnsi="Arial"/>
                <w:sz w:val="16"/>
                <w:szCs w:val="16"/>
                <w:color w:val="auto"/>
              </w:rPr>
              <w:t>Revenue from performance obligations satisfied during reporting period</w:t>
            </w:r>
            <w:r>
              <w:rPr>
                <w:rFonts w:ascii="Arial" w:cs="Arial" w:eastAsia="Arial" w:hAnsi="Arial"/>
                <w:sz w:val="21"/>
                <w:szCs w:val="21"/>
                <w:color w:val="auto"/>
                <w:vertAlign w:val="superscript"/>
              </w:rPr>
              <w:t>(1)</w:t>
            </w:r>
          </w:p>
        </w:tc>
        <w:tc>
          <w:tcPr>
            <w:tcW w:w="1240" w:type="dxa"/>
            <w:vAlign w:val="bottom"/>
            <w:shd w:val="clear" w:color="auto" w:fill="D4F1F5"/>
          </w:tcPr>
          <w:p>
            <w:pPr>
              <w:spacing w:after="0"/>
              <w:rPr>
                <w:sz w:val="18"/>
                <w:szCs w:val="18"/>
                <w:color w:val="auto"/>
              </w:rPr>
            </w:pPr>
          </w:p>
        </w:tc>
        <w:tc>
          <w:tcPr>
            <w:tcW w:w="560" w:type="dxa"/>
            <w:vAlign w:val="bottom"/>
            <w:shd w:val="clear" w:color="auto" w:fill="D4F1F5"/>
          </w:tcPr>
          <w:p>
            <w:pPr>
              <w:jc w:val="right"/>
              <w:ind w:right="39"/>
              <w:spacing w:after="0"/>
              <w:rPr>
                <w:sz w:val="20"/>
                <w:szCs w:val="20"/>
                <w:color w:val="auto"/>
              </w:rPr>
            </w:pPr>
            <w:r>
              <w:rPr>
                <w:rFonts w:ascii="Arial" w:cs="Arial" w:eastAsia="Arial" w:hAnsi="Arial"/>
                <w:sz w:val="16"/>
                <w:szCs w:val="16"/>
                <w:color w:val="auto"/>
              </w:rPr>
              <w:t>1</w:t>
            </w:r>
          </w:p>
        </w:tc>
        <w:tc>
          <w:tcPr>
            <w:tcW w:w="460" w:type="dxa"/>
            <w:vAlign w:val="bottom"/>
            <w:shd w:val="clear" w:color="auto" w:fill="D4F1F5"/>
          </w:tcPr>
          <w:p>
            <w:pPr>
              <w:spacing w:after="0"/>
              <w:rPr>
                <w:sz w:val="18"/>
                <w:szCs w:val="18"/>
                <w:color w:val="auto"/>
              </w:rPr>
            </w:pPr>
          </w:p>
        </w:tc>
        <w:tc>
          <w:tcPr>
            <w:tcW w:w="1340" w:type="dxa"/>
            <w:vAlign w:val="bottom"/>
            <w:shd w:val="clear" w:color="auto" w:fill="D4F1F5"/>
          </w:tcPr>
          <w:p>
            <w:pPr>
              <w:jc w:val="right"/>
              <w:spacing w:after="0"/>
              <w:rPr>
                <w:sz w:val="20"/>
                <w:szCs w:val="20"/>
                <w:color w:val="auto"/>
              </w:rPr>
            </w:pPr>
            <w:r>
              <w:rPr>
                <w:rFonts w:ascii="Arial" w:cs="Arial" w:eastAsia="Arial" w:hAnsi="Arial"/>
                <w:sz w:val="16"/>
                <w:szCs w:val="16"/>
                <w:color w:val="auto"/>
              </w:rPr>
              <w:t>28</w:t>
            </w:r>
          </w:p>
        </w:tc>
      </w:tr>
      <w:tr>
        <w:trPr>
          <w:trHeight w:val="216"/>
        </w:trPr>
        <w:tc>
          <w:tcPr>
            <w:tcW w:w="7640" w:type="dxa"/>
            <w:vAlign w:val="bottom"/>
            <w:tcBorders>
              <w:bottom w:val="single" w:sz="8" w:color="D4F1F5"/>
            </w:tcBorders>
          </w:tcPr>
          <w:p>
            <w:pPr>
              <w:ind w:left="20"/>
              <w:spacing w:after="0" w:line="216" w:lineRule="exact"/>
              <w:rPr>
                <w:sz w:val="20"/>
                <w:szCs w:val="20"/>
                <w:color w:val="auto"/>
              </w:rPr>
            </w:pPr>
            <w:r>
              <w:rPr>
                <w:rFonts w:ascii="Arial" w:cs="Arial" w:eastAsia="Arial" w:hAnsi="Arial"/>
                <w:sz w:val="16"/>
                <w:szCs w:val="16"/>
                <w:color w:val="auto"/>
              </w:rPr>
              <w:t>Payments received in advance</w:t>
            </w:r>
            <w:r>
              <w:rPr>
                <w:rFonts w:ascii="Arial" w:cs="Arial" w:eastAsia="Arial" w:hAnsi="Arial"/>
                <w:sz w:val="21"/>
                <w:szCs w:val="21"/>
                <w:color w:val="auto"/>
                <w:vertAlign w:val="superscript"/>
              </w:rPr>
              <w:t>(1)</w:t>
            </w:r>
          </w:p>
        </w:tc>
        <w:tc>
          <w:tcPr>
            <w:tcW w:w="124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46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r>
      <w:tr>
        <w:trPr>
          <w:trHeight w:val="216"/>
        </w:trPr>
        <w:tc>
          <w:tcPr>
            <w:tcW w:w="7640" w:type="dxa"/>
            <w:vAlign w:val="bottom"/>
            <w:tcBorders>
              <w:bottom w:val="single" w:sz="8" w:color="auto"/>
            </w:tcBorders>
            <w:shd w:val="clear" w:color="auto" w:fill="D4F1F5"/>
          </w:tcPr>
          <w:p>
            <w:pPr>
              <w:ind w:left="20"/>
              <w:spacing w:after="0" w:line="210" w:lineRule="exact"/>
              <w:rPr>
                <w:sz w:val="20"/>
                <w:szCs w:val="20"/>
                <w:color w:val="auto"/>
              </w:rPr>
            </w:pPr>
            <w:r>
              <w:rPr>
                <w:rFonts w:ascii="Arial" w:cs="Arial" w:eastAsia="Arial" w:hAnsi="Arial"/>
                <w:sz w:val="16"/>
                <w:szCs w:val="16"/>
                <w:color w:val="auto"/>
              </w:rPr>
              <w:t>Contract liabilities at March 31</w:t>
            </w:r>
            <w:r>
              <w:rPr>
                <w:rFonts w:ascii="Arial" w:cs="Arial" w:eastAsia="Arial" w:hAnsi="Arial"/>
                <w:sz w:val="21"/>
                <w:szCs w:val="21"/>
                <w:color w:val="auto"/>
                <w:vertAlign w:val="superscript"/>
              </w:rPr>
              <w:t>(2)</w:t>
            </w:r>
          </w:p>
        </w:tc>
        <w:tc>
          <w:tcPr>
            <w:tcW w:w="1240" w:type="dxa"/>
            <w:vAlign w:val="bottom"/>
            <w:tcBorders>
              <w:bottom w:val="single" w:sz="8" w:color="auto"/>
            </w:tcBorders>
            <w:shd w:val="clear" w:color="auto" w:fill="D4F1F5"/>
          </w:tcPr>
          <w:p>
            <w:pPr>
              <w:jc w:val="right"/>
              <w:ind w:right="1041"/>
              <w:spacing w:after="0"/>
              <w:rPr>
                <w:sz w:val="20"/>
                <w:szCs w:val="20"/>
                <w:color w:val="auto"/>
              </w:rPr>
            </w:pPr>
            <w:r>
              <w:rPr>
                <w:rFonts w:ascii="Arial" w:cs="Arial" w:eastAsia="Arial" w:hAnsi="Arial"/>
                <w:sz w:val="16"/>
                <w:szCs w:val="16"/>
                <w:color w:val="auto"/>
              </w:rPr>
              <w:t>$</w:t>
            </w:r>
          </w:p>
        </w:tc>
        <w:tc>
          <w:tcPr>
            <w:tcW w:w="560" w:type="dxa"/>
            <w:vAlign w:val="bottom"/>
            <w:tcBorders>
              <w:bottom w:val="single" w:sz="8" w:color="auto"/>
            </w:tcBorders>
            <w:shd w:val="clear" w:color="auto" w:fill="D4F1F5"/>
          </w:tcPr>
          <w:p>
            <w:pPr>
              <w:jc w:val="right"/>
              <w:spacing w:after="0"/>
              <w:rPr>
                <w:sz w:val="20"/>
                <w:szCs w:val="20"/>
                <w:color w:val="auto"/>
              </w:rPr>
            </w:pPr>
            <w:r>
              <w:rPr>
                <w:rFonts w:ascii="Arial" w:cs="Arial" w:eastAsia="Arial" w:hAnsi="Arial"/>
                <w:sz w:val="16"/>
                <w:szCs w:val="16"/>
                <w:color w:val="auto"/>
              </w:rPr>
              <w:t>(67)</w:t>
            </w:r>
          </w:p>
        </w:tc>
        <w:tc>
          <w:tcPr>
            <w:tcW w:w="460" w:type="dxa"/>
            <w:vAlign w:val="bottom"/>
            <w:tcBorders>
              <w:bottom w:val="single" w:sz="8" w:color="auto"/>
            </w:tcBorders>
            <w:shd w:val="clear" w:color="auto" w:fill="D4F1F5"/>
          </w:tcPr>
          <w:p>
            <w:pPr>
              <w:jc w:val="right"/>
              <w:ind w:right="219"/>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auto"/>
            </w:tcBorders>
            <w:shd w:val="clear" w:color="auto" w:fill="D4F1F5"/>
          </w:tcPr>
          <w:p>
            <w:pPr>
              <w:jc w:val="right"/>
              <w:spacing w:after="0"/>
              <w:rPr>
                <w:sz w:val="20"/>
                <w:szCs w:val="20"/>
                <w:color w:val="auto"/>
              </w:rPr>
            </w:pPr>
            <w:r>
              <w:rPr>
                <w:rFonts w:ascii="Arial" w:cs="Arial" w:eastAsia="Arial" w:hAnsi="Arial"/>
                <w:sz w:val="16"/>
                <w:szCs w:val="16"/>
                <w:color w:val="auto"/>
              </w:rPr>
              <w:t>(169)</w:t>
            </w:r>
          </w:p>
        </w:tc>
      </w:tr>
      <w:tr>
        <w:trPr>
          <w:trHeight w:val="216"/>
        </w:trPr>
        <w:tc>
          <w:tcPr>
            <w:tcW w:w="7640" w:type="dxa"/>
            <w:vAlign w:val="bottom"/>
          </w:tcPr>
          <w:p>
            <w:pPr>
              <w:ind w:left="20"/>
              <w:spacing w:after="0"/>
              <w:rPr>
                <w:sz w:val="20"/>
                <w:szCs w:val="20"/>
                <w:color w:val="auto"/>
              </w:rPr>
            </w:pPr>
            <w:r>
              <w:rPr>
                <w:rFonts w:ascii="Arial" w:cs="Arial" w:eastAsia="Arial" w:hAnsi="Arial"/>
                <w:sz w:val="16"/>
                <w:szCs w:val="16"/>
                <w:b w:val="1"/>
                <w:bCs w:val="1"/>
                <w:color w:val="auto"/>
              </w:rPr>
              <w:t>SDG&amp;E:</w:t>
            </w:r>
          </w:p>
        </w:tc>
        <w:tc>
          <w:tcPr>
            <w:tcW w:w="12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16"/>
        </w:trPr>
        <w:tc>
          <w:tcPr>
            <w:tcW w:w="7640" w:type="dxa"/>
            <w:vAlign w:val="bottom"/>
            <w:shd w:val="clear" w:color="auto" w:fill="D4F1F5"/>
          </w:tcPr>
          <w:p>
            <w:pPr>
              <w:ind w:left="20"/>
              <w:spacing w:after="0"/>
              <w:rPr>
                <w:sz w:val="20"/>
                <w:szCs w:val="20"/>
                <w:color w:val="auto"/>
              </w:rPr>
            </w:pPr>
            <w:r>
              <w:rPr>
                <w:rFonts w:ascii="Arial" w:cs="Arial" w:eastAsia="Arial" w:hAnsi="Arial"/>
                <w:sz w:val="16"/>
                <w:szCs w:val="16"/>
                <w:color w:val="auto"/>
              </w:rPr>
              <w:t>Contract liabilities at January 1</w:t>
            </w:r>
          </w:p>
        </w:tc>
        <w:tc>
          <w:tcPr>
            <w:tcW w:w="1240" w:type="dxa"/>
            <w:vAlign w:val="bottom"/>
            <w:shd w:val="clear" w:color="auto" w:fill="D4F1F5"/>
          </w:tcPr>
          <w:p>
            <w:pPr>
              <w:jc w:val="right"/>
              <w:ind w:right="1041"/>
              <w:spacing w:after="0"/>
              <w:rPr>
                <w:sz w:val="20"/>
                <w:szCs w:val="20"/>
                <w:color w:val="auto"/>
              </w:rPr>
            </w:pPr>
            <w:r>
              <w:rPr>
                <w:rFonts w:ascii="Arial" w:cs="Arial" w:eastAsia="Arial" w:hAnsi="Arial"/>
                <w:sz w:val="16"/>
                <w:szCs w:val="16"/>
                <w:color w:val="auto"/>
              </w:rPr>
              <w:t>$</w:t>
            </w:r>
          </w:p>
        </w:tc>
        <w:tc>
          <w:tcPr>
            <w:tcW w:w="560" w:type="dxa"/>
            <w:vAlign w:val="bottom"/>
            <w:shd w:val="clear" w:color="auto" w:fill="D4F1F5"/>
          </w:tcPr>
          <w:p>
            <w:pPr>
              <w:jc w:val="right"/>
              <w:spacing w:after="0"/>
              <w:rPr>
                <w:sz w:val="20"/>
                <w:szCs w:val="20"/>
                <w:color w:val="auto"/>
              </w:rPr>
            </w:pPr>
            <w:r>
              <w:rPr>
                <w:rFonts w:ascii="Arial" w:cs="Arial" w:eastAsia="Arial" w:hAnsi="Arial"/>
                <w:sz w:val="16"/>
                <w:szCs w:val="16"/>
                <w:color w:val="auto"/>
              </w:rPr>
              <w:t>(68)</w:t>
            </w:r>
          </w:p>
        </w:tc>
        <w:tc>
          <w:tcPr>
            <w:tcW w:w="460" w:type="dxa"/>
            <w:vAlign w:val="bottom"/>
            <w:shd w:val="clear" w:color="auto" w:fill="D4F1F5"/>
          </w:tcPr>
          <w:p>
            <w:pPr>
              <w:jc w:val="right"/>
              <w:ind w:right="219"/>
              <w:spacing w:after="0"/>
              <w:rPr>
                <w:sz w:val="20"/>
                <w:szCs w:val="20"/>
                <w:color w:val="auto"/>
              </w:rPr>
            </w:pPr>
            <w:r>
              <w:rPr>
                <w:rFonts w:ascii="Arial" w:cs="Arial" w:eastAsia="Arial" w:hAnsi="Arial"/>
                <w:sz w:val="16"/>
                <w:szCs w:val="16"/>
                <w:color w:val="auto"/>
              </w:rPr>
              <w:t>$</w:t>
            </w:r>
          </w:p>
        </w:tc>
        <w:tc>
          <w:tcPr>
            <w:tcW w:w="1340" w:type="dxa"/>
            <w:vAlign w:val="bottom"/>
            <w:shd w:val="clear" w:color="auto" w:fill="D4F1F5"/>
          </w:tcPr>
          <w:p>
            <w:pPr>
              <w:jc w:val="right"/>
              <w:spacing w:after="0"/>
              <w:rPr>
                <w:sz w:val="20"/>
                <w:szCs w:val="20"/>
                <w:color w:val="auto"/>
              </w:rPr>
            </w:pPr>
            <w:r>
              <w:rPr>
                <w:rFonts w:ascii="Arial" w:cs="Arial" w:eastAsia="Arial" w:hAnsi="Arial"/>
                <w:sz w:val="16"/>
                <w:szCs w:val="16"/>
                <w:color w:val="auto"/>
              </w:rPr>
              <w:t>(72)</w:t>
            </w:r>
          </w:p>
        </w:tc>
      </w:tr>
      <w:tr>
        <w:trPr>
          <w:trHeight w:val="215"/>
        </w:trPr>
        <w:tc>
          <w:tcPr>
            <w:tcW w:w="7640" w:type="dxa"/>
            <w:vAlign w:val="bottom"/>
            <w:tcBorders>
              <w:bottom w:val="single" w:sz="8" w:color="D4F1F5"/>
            </w:tcBorders>
          </w:tcPr>
          <w:p>
            <w:pPr>
              <w:ind w:left="20"/>
              <w:spacing w:after="0"/>
              <w:rPr>
                <w:sz w:val="20"/>
                <w:szCs w:val="20"/>
                <w:color w:val="auto"/>
              </w:rPr>
            </w:pPr>
            <w:r>
              <w:rPr>
                <w:rFonts w:ascii="Arial" w:cs="Arial" w:eastAsia="Arial" w:hAnsi="Arial"/>
                <w:sz w:val="16"/>
                <w:szCs w:val="16"/>
                <w:color w:val="auto"/>
              </w:rPr>
              <w:t>Revenue from performance obligations satisfied during reporting period</w:t>
            </w:r>
          </w:p>
        </w:tc>
        <w:tc>
          <w:tcPr>
            <w:tcW w:w="124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w:t>
            </w:r>
          </w:p>
        </w:tc>
        <w:tc>
          <w:tcPr>
            <w:tcW w:w="46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r>
      <w:tr>
        <w:trPr>
          <w:trHeight w:val="217"/>
        </w:trPr>
        <w:tc>
          <w:tcPr>
            <w:tcW w:w="7640" w:type="dxa"/>
            <w:vAlign w:val="bottom"/>
            <w:tcBorders>
              <w:bottom w:val="single" w:sz="8" w:color="auto"/>
            </w:tcBorders>
            <w:shd w:val="clear" w:color="auto" w:fill="D4F1F5"/>
          </w:tcPr>
          <w:p>
            <w:pPr>
              <w:ind w:left="20"/>
              <w:spacing w:after="0" w:line="210" w:lineRule="exact"/>
              <w:rPr>
                <w:sz w:val="20"/>
                <w:szCs w:val="20"/>
                <w:color w:val="auto"/>
              </w:rPr>
            </w:pPr>
            <w:r>
              <w:rPr>
                <w:rFonts w:ascii="Arial" w:cs="Arial" w:eastAsia="Arial" w:hAnsi="Arial"/>
                <w:sz w:val="16"/>
                <w:szCs w:val="16"/>
                <w:color w:val="auto"/>
              </w:rPr>
              <w:t>Contract liabilities at March 31</w:t>
            </w:r>
            <w:r>
              <w:rPr>
                <w:rFonts w:ascii="Arial" w:cs="Arial" w:eastAsia="Arial" w:hAnsi="Arial"/>
                <w:sz w:val="21"/>
                <w:szCs w:val="21"/>
                <w:color w:val="auto"/>
                <w:vertAlign w:val="superscript"/>
              </w:rPr>
              <w:t>(2)</w:t>
            </w:r>
          </w:p>
        </w:tc>
        <w:tc>
          <w:tcPr>
            <w:tcW w:w="1240" w:type="dxa"/>
            <w:vAlign w:val="bottom"/>
            <w:tcBorders>
              <w:bottom w:val="single" w:sz="8" w:color="auto"/>
            </w:tcBorders>
            <w:shd w:val="clear" w:color="auto" w:fill="D4F1F5"/>
          </w:tcPr>
          <w:p>
            <w:pPr>
              <w:jc w:val="right"/>
              <w:ind w:right="1041"/>
              <w:spacing w:after="0"/>
              <w:rPr>
                <w:sz w:val="20"/>
                <w:szCs w:val="20"/>
                <w:color w:val="auto"/>
              </w:rPr>
            </w:pPr>
            <w:r>
              <w:rPr>
                <w:rFonts w:ascii="Arial" w:cs="Arial" w:eastAsia="Arial" w:hAnsi="Arial"/>
                <w:sz w:val="16"/>
                <w:szCs w:val="16"/>
                <w:color w:val="auto"/>
              </w:rPr>
              <w:t>$</w:t>
            </w:r>
          </w:p>
        </w:tc>
        <w:tc>
          <w:tcPr>
            <w:tcW w:w="560" w:type="dxa"/>
            <w:vAlign w:val="bottom"/>
            <w:tcBorders>
              <w:bottom w:val="single" w:sz="8" w:color="auto"/>
            </w:tcBorders>
            <w:shd w:val="clear" w:color="auto" w:fill="D4F1F5"/>
          </w:tcPr>
          <w:p>
            <w:pPr>
              <w:jc w:val="right"/>
              <w:spacing w:after="0"/>
              <w:rPr>
                <w:sz w:val="20"/>
                <w:szCs w:val="20"/>
                <w:color w:val="auto"/>
              </w:rPr>
            </w:pPr>
            <w:r>
              <w:rPr>
                <w:rFonts w:ascii="Arial" w:cs="Arial" w:eastAsia="Arial" w:hAnsi="Arial"/>
                <w:sz w:val="16"/>
                <w:szCs w:val="16"/>
                <w:color w:val="auto"/>
              </w:rPr>
              <w:t>(67)</w:t>
            </w:r>
          </w:p>
        </w:tc>
        <w:tc>
          <w:tcPr>
            <w:tcW w:w="460" w:type="dxa"/>
            <w:vAlign w:val="bottom"/>
            <w:tcBorders>
              <w:bottom w:val="single" w:sz="8" w:color="auto"/>
            </w:tcBorders>
            <w:shd w:val="clear" w:color="auto" w:fill="D4F1F5"/>
          </w:tcPr>
          <w:p>
            <w:pPr>
              <w:jc w:val="right"/>
              <w:ind w:right="219"/>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auto"/>
            </w:tcBorders>
            <w:shd w:val="clear" w:color="auto" w:fill="D4F1F5"/>
          </w:tcPr>
          <w:p>
            <w:pPr>
              <w:jc w:val="right"/>
              <w:spacing w:after="0"/>
              <w:rPr>
                <w:sz w:val="20"/>
                <w:szCs w:val="20"/>
                <w:color w:val="auto"/>
              </w:rPr>
            </w:pPr>
            <w:r>
              <w:rPr>
                <w:rFonts w:ascii="Arial" w:cs="Arial" w:eastAsia="Arial" w:hAnsi="Arial"/>
                <w:sz w:val="16"/>
                <w:szCs w:val="16"/>
                <w:color w:val="auto"/>
              </w:rPr>
              <w:t>(71)</w:t>
            </w:r>
          </w:p>
        </w:tc>
      </w:tr>
    </w:tbl>
    <w:p>
      <w:pPr>
        <w:spacing w:after="0" w:line="75" w:lineRule="exact"/>
        <w:rPr>
          <w:sz w:val="20"/>
          <w:szCs w:val="20"/>
          <w:color w:val="auto"/>
        </w:rPr>
      </w:pPr>
    </w:p>
    <w:p>
      <w:pPr>
        <w:ind w:left="300" w:hanging="292"/>
        <w:spacing w:after="0"/>
        <w:tabs>
          <w:tab w:leader="none" w:pos="300" w:val="left"/>
        </w:tabs>
        <w:numPr>
          <w:ilvl w:val="0"/>
          <w:numId w:val="16"/>
        </w:numPr>
        <w:rPr>
          <w:rFonts w:ascii="Arial" w:cs="Arial" w:eastAsia="Arial" w:hAnsi="Arial"/>
          <w:sz w:val="21"/>
          <w:szCs w:val="21"/>
          <w:i w:val="1"/>
          <w:iCs w:val="1"/>
          <w:color w:val="auto"/>
          <w:vertAlign w:val="superscript"/>
        </w:rPr>
      </w:pPr>
      <w:r>
        <w:rPr>
          <w:rFonts w:ascii="Arial" w:cs="Arial" w:eastAsia="Arial" w:hAnsi="Arial"/>
          <w:sz w:val="14"/>
          <w:szCs w:val="14"/>
          <w:i w:val="1"/>
          <w:iCs w:val="1"/>
          <w:color w:val="auto"/>
        </w:rPr>
        <w:t>Includes negligible activities in 2026 within the disposal group that is classified as held for sale.</w:t>
      </w:r>
    </w:p>
    <w:p>
      <w:pPr>
        <w:spacing w:after="0" w:line="26" w:lineRule="exact"/>
        <w:rPr>
          <w:rFonts w:ascii="Arial" w:cs="Arial" w:eastAsia="Arial" w:hAnsi="Arial"/>
          <w:sz w:val="21"/>
          <w:szCs w:val="21"/>
          <w:i w:val="1"/>
          <w:iCs w:val="1"/>
          <w:color w:val="auto"/>
          <w:vertAlign w:val="superscript"/>
        </w:rPr>
      </w:pPr>
    </w:p>
    <w:p>
      <w:pPr>
        <w:ind w:left="300" w:hanging="292"/>
        <w:spacing w:after="0" w:line="183" w:lineRule="auto"/>
        <w:tabs>
          <w:tab w:leader="none" w:pos="300" w:val="left"/>
        </w:tabs>
        <w:numPr>
          <w:ilvl w:val="0"/>
          <w:numId w:val="16"/>
        </w:numPr>
        <w:rPr>
          <w:rFonts w:ascii="Arial" w:cs="Arial" w:eastAsia="Arial" w:hAnsi="Arial"/>
          <w:sz w:val="20"/>
          <w:szCs w:val="20"/>
          <w:i w:val="1"/>
          <w:iCs w:val="1"/>
          <w:color w:val="auto"/>
          <w:vertAlign w:val="superscript"/>
        </w:rPr>
      </w:pPr>
      <w:r>
        <w:rPr>
          <w:rFonts w:ascii="Arial" w:cs="Arial" w:eastAsia="Arial" w:hAnsi="Arial"/>
          <w:sz w:val="14"/>
          <w:szCs w:val="14"/>
          <w:i w:val="1"/>
          <w:iCs w:val="1"/>
          <w:color w:val="auto"/>
        </w:rPr>
        <w:t>Balance at March 31, 2026 includes $4 in Other Current Liabilities and $63 in Deferred Credits and Other.</w:t>
      </w: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150495</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Receivables from Revenues from Contracts with Customers</w:t>
      </w:r>
    </w:p>
    <w:p>
      <w:pPr>
        <w:spacing w:after="0" w:line="49" w:lineRule="exact"/>
        <w:rPr>
          <w:sz w:val="20"/>
          <w:szCs w:val="20"/>
          <w:color w:val="auto"/>
        </w:rPr>
      </w:pPr>
    </w:p>
    <w:p>
      <w:pPr>
        <w:ind w:right="160"/>
        <w:spacing w:after="0" w:line="297" w:lineRule="auto"/>
        <w:rPr>
          <w:sz w:val="20"/>
          <w:szCs w:val="20"/>
          <w:color w:val="auto"/>
        </w:rPr>
      </w:pPr>
      <w:r>
        <w:rPr>
          <w:rFonts w:ascii="Times New Roman" w:cs="Times New Roman" w:eastAsia="Times New Roman" w:hAnsi="Times New Roman"/>
          <w:sz w:val="18"/>
          <w:szCs w:val="18"/>
          <w:color w:val="auto"/>
        </w:rPr>
        <w:t>The table below shows receivable balances, net of allowances for credit losses, associated with revenues from contracts with customers on the Condensed Consolidated Balance Sheets.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55245</wp:posOffset>
            </wp:positionV>
            <wp:extent cx="7132320" cy="3003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2320" cy="300355"/>
                    </a:xfrm>
                    <a:prstGeom prst="rect">
                      <a:avLst/>
                    </a:prstGeom>
                    <a:noFill/>
                  </pic:spPr>
                </pic:pic>
              </a:graphicData>
            </a:graphic>
          </wp:anchor>
        </w:drawing>
      </w:r>
    </w:p>
    <w:p>
      <w:pPr>
        <w:spacing w:after="0" w:line="79"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FFFFFF"/>
        </w:rPr>
        <w:t>RECEIVABLES FROM REVENUES FROM CONTRACTS WITH CUSTOMERS</w:t>
      </w:r>
    </w:p>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7640" w:type="dxa"/>
            <w:vAlign w:val="bottom"/>
          </w:tcPr>
          <w:p>
            <w:pPr>
              <w:ind w:left="20"/>
              <w:spacing w:after="0"/>
              <w:rPr>
                <w:sz w:val="20"/>
                <w:szCs w:val="20"/>
                <w:color w:val="auto"/>
              </w:rPr>
            </w:pPr>
            <w:r>
              <w:rPr>
                <w:rFonts w:ascii="Arial" w:cs="Arial" w:eastAsia="Arial" w:hAnsi="Arial"/>
                <w:sz w:val="14"/>
                <w:szCs w:val="14"/>
                <w:i w:val="1"/>
                <w:iCs w:val="1"/>
                <w:color w:val="FFFFFF"/>
              </w:rPr>
              <w:t>(Dollars in millions)</w:t>
            </w:r>
          </w:p>
        </w:tc>
        <w:tc>
          <w:tcPr>
            <w:tcW w:w="24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560" w:type="dxa"/>
            <w:vAlign w:val="bottom"/>
          </w:tcPr>
          <w:p>
            <w:pPr>
              <w:spacing w:after="0"/>
              <w:rPr>
                <w:sz w:val="16"/>
                <w:szCs w:val="16"/>
                <w:color w:val="auto"/>
              </w:rPr>
            </w:pPr>
          </w:p>
        </w:tc>
      </w:tr>
      <w:tr>
        <w:trPr>
          <w:trHeight w:val="233"/>
        </w:trPr>
        <w:tc>
          <w:tcPr>
            <w:tcW w:w="764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tcPr>
          <w:p>
            <w:pPr>
              <w:jc w:val="right"/>
              <w:ind w:right="320"/>
              <w:spacing w:after="0"/>
              <w:rPr>
                <w:sz w:val="20"/>
                <w:szCs w:val="20"/>
                <w:color w:val="auto"/>
              </w:rPr>
            </w:pPr>
            <w:r>
              <w:rPr>
                <w:rFonts w:ascii="Arial" w:cs="Arial" w:eastAsia="Arial" w:hAnsi="Arial"/>
                <w:sz w:val="14"/>
                <w:szCs w:val="14"/>
                <w:color w:val="auto"/>
              </w:rPr>
              <w:t>March 31, 2026</w:t>
            </w:r>
          </w:p>
        </w:tc>
        <w:tc>
          <w:tcPr>
            <w:tcW w:w="26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tcPr>
          <w:p>
            <w:pPr>
              <w:jc w:val="right"/>
              <w:ind w:right="160"/>
              <w:spacing w:after="0"/>
              <w:rPr>
                <w:sz w:val="20"/>
                <w:szCs w:val="20"/>
                <w:color w:val="auto"/>
              </w:rPr>
            </w:pPr>
            <w:r>
              <w:rPr>
                <w:rFonts w:ascii="Arial" w:cs="Arial" w:eastAsia="Arial" w:hAnsi="Arial"/>
                <w:sz w:val="14"/>
                <w:szCs w:val="14"/>
                <w:color w:val="auto"/>
              </w:rPr>
              <w:t>December 31, 2025</w:t>
            </w:r>
          </w:p>
        </w:tc>
      </w:tr>
      <w:tr>
        <w:trPr>
          <w:trHeight w:val="214"/>
        </w:trPr>
        <w:tc>
          <w:tcPr>
            <w:tcW w:w="7640" w:type="dxa"/>
            <w:vAlign w:val="bottom"/>
            <w:shd w:val="clear" w:color="auto" w:fill="D4F1F5"/>
          </w:tcPr>
          <w:p>
            <w:pPr>
              <w:ind w:left="20"/>
              <w:spacing w:after="0"/>
              <w:rPr>
                <w:sz w:val="20"/>
                <w:szCs w:val="20"/>
                <w:color w:val="auto"/>
              </w:rPr>
            </w:pPr>
            <w:r>
              <w:rPr>
                <w:rFonts w:ascii="Arial" w:cs="Arial" w:eastAsia="Arial" w:hAnsi="Arial"/>
                <w:sz w:val="16"/>
                <w:szCs w:val="16"/>
                <w:b w:val="1"/>
                <w:bCs w:val="1"/>
                <w:color w:val="auto"/>
              </w:rPr>
              <w:t>Sempra:</w:t>
            </w:r>
          </w:p>
        </w:tc>
        <w:tc>
          <w:tcPr>
            <w:tcW w:w="240" w:type="dxa"/>
            <w:vAlign w:val="bottom"/>
            <w:shd w:val="clear" w:color="auto" w:fill="D4F1F5"/>
          </w:tcPr>
          <w:p>
            <w:pPr>
              <w:spacing w:after="0"/>
              <w:rPr>
                <w:sz w:val="18"/>
                <w:szCs w:val="18"/>
                <w:color w:val="auto"/>
              </w:rPr>
            </w:pPr>
          </w:p>
        </w:tc>
        <w:tc>
          <w:tcPr>
            <w:tcW w:w="1540" w:type="dxa"/>
            <w:vAlign w:val="bottom"/>
            <w:shd w:val="clear" w:color="auto" w:fill="D4F1F5"/>
          </w:tcPr>
          <w:p>
            <w:pPr>
              <w:spacing w:after="0"/>
              <w:rPr>
                <w:sz w:val="18"/>
                <w:szCs w:val="18"/>
                <w:color w:val="auto"/>
              </w:rPr>
            </w:pPr>
          </w:p>
        </w:tc>
        <w:tc>
          <w:tcPr>
            <w:tcW w:w="260" w:type="dxa"/>
            <w:vAlign w:val="bottom"/>
            <w:shd w:val="clear" w:color="auto" w:fill="D4F1F5"/>
          </w:tcPr>
          <w:p>
            <w:pPr>
              <w:spacing w:after="0"/>
              <w:rPr>
                <w:sz w:val="18"/>
                <w:szCs w:val="18"/>
                <w:color w:val="auto"/>
              </w:rPr>
            </w:pPr>
          </w:p>
        </w:tc>
        <w:tc>
          <w:tcPr>
            <w:tcW w:w="1560" w:type="dxa"/>
            <w:vAlign w:val="bottom"/>
            <w:shd w:val="clear" w:color="auto" w:fill="D4F1F5"/>
          </w:tcPr>
          <w:p>
            <w:pPr>
              <w:spacing w:after="0"/>
              <w:rPr>
                <w:sz w:val="18"/>
                <w:szCs w:val="18"/>
                <w:color w:val="auto"/>
              </w:rPr>
            </w:pPr>
          </w:p>
        </w:tc>
      </w:tr>
      <w:tr>
        <w:trPr>
          <w:trHeight w:val="216"/>
        </w:trPr>
        <w:tc>
          <w:tcPr>
            <w:tcW w:w="7640" w:type="dxa"/>
            <w:vAlign w:val="bottom"/>
          </w:tcPr>
          <w:p>
            <w:pPr>
              <w:ind w:left="20"/>
              <w:spacing w:after="0" w:line="216" w:lineRule="exact"/>
              <w:rPr>
                <w:sz w:val="20"/>
                <w:szCs w:val="20"/>
                <w:color w:val="auto"/>
              </w:rPr>
            </w:pPr>
            <w:r>
              <w:rPr>
                <w:rFonts w:ascii="Arial" w:cs="Arial" w:eastAsia="Arial" w:hAnsi="Arial"/>
                <w:sz w:val="16"/>
                <w:szCs w:val="16"/>
                <w:color w:val="auto"/>
              </w:rPr>
              <w:t>Accounts receivable – trade, net</w:t>
            </w:r>
            <w:r>
              <w:rPr>
                <w:rFonts w:ascii="Arial" w:cs="Arial" w:eastAsia="Arial" w:hAnsi="Arial"/>
                <w:sz w:val="21"/>
                <w:szCs w:val="21"/>
                <w:color w:val="auto"/>
                <w:vertAlign w:val="superscript"/>
              </w:rPr>
              <w:t>(1)</w:t>
            </w: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540" w:type="dxa"/>
            <w:vAlign w:val="bottom"/>
          </w:tcPr>
          <w:p>
            <w:pPr>
              <w:jc w:val="right"/>
              <w:ind w:right="20"/>
              <w:spacing w:after="0"/>
              <w:rPr>
                <w:sz w:val="20"/>
                <w:szCs w:val="20"/>
                <w:color w:val="auto"/>
              </w:rPr>
            </w:pPr>
            <w:r>
              <w:rPr>
                <w:rFonts w:ascii="Arial" w:cs="Arial" w:eastAsia="Arial" w:hAnsi="Arial"/>
                <w:sz w:val="16"/>
                <w:szCs w:val="16"/>
                <w:color w:val="auto"/>
              </w:rPr>
              <w:t>1,603</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1560" w:type="dxa"/>
            <w:vAlign w:val="bottom"/>
          </w:tcPr>
          <w:p>
            <w:pPr>
              <w:jc w:val="right"/>
              <w:spacing w:after="0"/>
              <w:rPr>
                <w:sz w:val="20"/>
                <w:szCs w:val="20"/>
                <w:color w:val="auto"/>
              </w:rPr>
            </w:pPr>
            <w:r>
              <w:rPr>
                <w:rFonts w:ascii="Arial" w:cs="Arial" w:eastAsia="Arial" w:hAnsi="Arial"/>
                <w:sz w:val="16"/>
                <w:szCs w:val="16"/>
                <w:color w:val="auto"/>
              </w:rPr>
              <w:t>1,767</w:t>
            </w:r>
          </w:p>
        </w:tc>
      </w:tr>
      <w:tr>
        <w:trPr>
          <w:trHeight w:val="216"/>
        </w:trPr>
        <w:tc>
          <w:tcPr>
            <w:tcW w:w="7640" w:type="dxa"/>
            <w:vAlign w:val="bottom"/>
            <w:shd w:val="clear" w:color="auto" w:fill="D4F1F5"/>
          </w:tcPr>
          <w:p>
            <w:pPr>
              <w:ind w:left="20"/>
              <w:spacing w:after="0"/>
              <w:rPr>
                <w:sz w:val="20"/>
                <w:szCs w:val="20"/>
                <w:color w:val="auto"/>
              </w:rPr>
            </w:pPr>
            <w:r>
              <w:rPr>
                <w:rFonts w:ascii="Arial" w:cs="Arial" w:eastAsia="Arial" w:hAnsi="Arial"/>
                <w:sz w:val="16"/>
                <w:szCs w:val="16"/>
                <w:color w:val="auto"/>
              </w:rPr>
              <w:t>Accounts receivable – other, net</w:t>
            </w:r>
          </w:p>
        </w:tc>
        <w:tc>
          <w:tcPr>
            <w:tcW w:w="240" w:type="dxa"/>
            <w:vAlign w:val="bottom"/>
            <w:shd w:val="clear" w:color="auto" w:fill="D4F1F5"/>
          </w:tcPr>
          <w:p>
            <w:pPr>
              <w:spacing w:after="0"/>
              <w:rPr>
                <w:sz w:val="18"/>
                <w:szCs w:val="18"/>
                <w:color w:val="auto"/>
              </w:rPr>
            </w:pPr>
          </w:p>
        </w:tc>
        <w:tc>
          <w:tcPr>
            <w:tcW w:w="1540" w:type="dxa"/>
            <w:vAlign w:val="bottom"/>
            <w:shd w:val="clear" w:color="auto" w:fill="D4F1F5"/>
          </w:tcPr>
          <w:p>
            <w:pPr>
              <w:jc w:val="right"/>
              <w:ind w:right="20"/>
              <w:spacing w:after="0"/>
              <w:rPr>
                <w:sz w:val="20"/>
                <w:szCs w:val="20"/>
                <w:color w:val="auto"/>
              </w:rPr>
            </w:pPr>
            <w:r>
              <w:rPr>
                <w:rFonts w:ascii="Arial" w:cs="Arial" w:eastAsia="Arial" w:hAnsi="Arial"/>
                <w:sz w:val="16"/>
                <w:szCs w:val="16"/>
                <w:color w:val="auto"/>
              </w:rPr>
              <w:t>22</w:t>
            </w:r>
          </w:p>
        </w:tc>
        <w:tc>
          <w:tcPr>
            <w:tcW w:w="260" w:type="dxa"/>
            <w:vAlign w:val="bottom"/>
            <w:shd w:val="clear" w:color="auto" w:fill="D4F1F5"/>
          </w:tcPr>
          <w:p>
            <w:pPr>
              <w:spacing w:after="0"/>
              <w:rPr>
                <w:sz w:val="18"/>
                <w:szCs w:val="18"/>
                <w:color w:val="auto"/>
              </w:rPr>
            </w:pPr>
          </w:p>
        </w:tc>
        <w:tc>
          <w:tcPr>
            <w:tcW w:w="1560" w:type="dxa"/>
            <w:vAlign w:val="bottom"/>
            <w:shd w:val="clear" w:color="auto" w:fill="D4F1F5"/>
          </w:tcPr>
          <w:p>
            <w:pPr>
              <w:jc w:val="right"/>
              <w:spacing w:after="0"/>
              <w:rPr>
                <w:sz w:val="20"/>
                <w:szCs w:val="20"/>
                <w:color w:val="auto"/>
              </w:rPr>
            </w:pPr>
            <w:r>
              <w:rPr>
                <w:rFonts w:ascii="Arial" w:cs="Arial" w:eastAsia="Arial" w:hAnsi="Arial"/>
                <w:sz w:val="16"/>
                <w:szCs w:val="16"/>
                <w:color w:val="auto"/>
              </w:rPr>
              <w:t>22</w:t>
            </w:r>
          </w:p>
        </w:tc>
      </w:tr>
      <w:tr>
        <w:trPr>
          <w:trHeight w:val="215"/>
        </w:trPr>
        <w:tc>
          <w:tcPr>
            <w:tcW w:w="7640" w:type="dxa"/>
            <w:vAlign w:val="bottom"/>
          </w:tcPr>
          <w:p>
            <w:pPr>
              <w:ind w:left="20"/>
              <w:spacing w:after="0"/>
              <w:rPr>
                <w:sz w:val="20"/>
                <w:szCs w:val="20"/>
                <w:color w:val="auto"/>
              </w:rPr>
            </w:pPr>
            <w:r>
              <w:rPr>
                <w:rFonts w:ascii="Arial" w:cs="Arial" w:eastAsia="Arial" w:hAnsi="Arial"/>
                <w:sz w:val="16"/>
                <w:szCs w:val="16"/>
                <w:color w:val="auto"/>
              </w:rPr>
              <w:t>Assets held for sale</w:t>
            </w:r>
          </w:p>
        </w:tc>
        <w:tc>
          <w:tcPr>
            <w:tcW w:w="240" w:type="dxa"/>
            <w:vAlign w:val="bottom"/>
          </w:tcPr>
          <w:p>
            <w:pPr>
              <w:spacing w:after="0"/>
              <w:rPr>
                <w:sz w:val="18"/>
                <w:szCs w:val="18"/>
                <w:color w:val="auto"/>
              </w:rPr>
            </w:pPr>
          </w:p>
        </w:tc>
        <w:tc>
          <w:tcPr>
            <w:tcW w:w="1540" w:type="dxa"/>
            <w:vAlign w:val="bottom"/>
          </w:tcPr>
          <w:p>
            <w:pPr>
              <w:jc w:val="right"/>
              <w:ind w:right="20"/>
              <w:spacing w:after="0"/>
              <w:rPr>
                <w:sz w:val="20"/>
                <w:szCs w:val="20"/>
                <w:color w:val="auto"/>
              </w:rPr>
            </w:pPr>
            <w:r>
              <w:rPr>
                <w:rFonts w:ascii="Arial" w:cs="Arial" w:eastAsia="Arial" w:hAnsi="Arial"/>
                <w:sz w:val="16"/>
                <w:szCs w:val="16"/>
                <w:color w:val="auto"/>
              </w:rPr>
              <w:t>91</w:t>
            </w:r>
          </w:p>
        </w:tc>
        <w:tc>
          <w:tcPr>
            <w:tcW w:w="26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77</w:t>
            </w:r>
          </w:p>
        </w:tc>
      </w:tr>
      <w:tr>
        <w:trPr>
          <w:trHeight w:val="217"/>
        </w:trPr>
        <w:tc>
          <w:tcPr>
            <w:tcW w:w="7640" w:type="dxa"/>
            <w:vAlign w:val="bottom"/>
            <w:shd w:val="clear" w:color="auto" w:fill="D4F1F5"/>
          </w:tcPr>
          <w:p>
            <w:pPr>
              <w:ind w:left="20"/>
              <w:spacing w:after="0" w:line="217" w:lineRule="exact"/>
              <w:rPr>
                <w:sz w:val="20"/>
                <w:szCs w:val="20"/>
                <w:color w:val="auto"/>
              </w:rPr>
            </w:pPr>
            <w:r>
              <w:rPr>
                <w:rFonts w:ascii="Arial" w:cs="Arial" w:eastAsia="Arial" w:hAnsi="Arial"/>
                <w:sz w:val="16"/>
                <w:szCs w:val="16"/>
                <w:color w:val="auto"/>
              </w:rPr>
              <w:t>Other long-term assets</w:t>
            </w:r>
            <w:r>
              <w:rPr>
                <w:rFonts w:ascii="Arial" w:cs="Arial" w:eastAsia="Arial" w:hAnsi="Arial"/>
                <w:sz w:val="21"/>
                <w:szCs w:val="21"/>
                <w:color w:val="auto"/>
                <w:vertAlign w:val="superscript"/>
              </w:rPr>
              <w:t>(2)</w:t>
            </w:r>
          </w:p>
        </w:tc>
        <w:tc>
          <w:tcPr>
            <w:tcW w:w="240" w:type="dxa"/>
            <w:vAlign w:val="bottom"/>
            <w:tcBorders>
              <w:bottom w:val="single" w:sz="8" w:color="auto"/>
            </w:tcBorders>
            <w:shd w:val="clear" w:color="auto" w:fill="D4F1F5"/>
          </w:tcPr>
          <w:p>
            <w:pPr>
              <w:spacing w:after="0"/>
              <w:rPr>
                <w:sz w:val="18"/>
                <w:szCs w:val="18"/>
                <w:color w:val="auto"/>
              </w:rPr>
            </w:pPr>
          </w:p>
        </w:tc>
        <w:tc>
          <w:tcPr>
            <w:tcW w:w="1540" w:type="dxa"/>
            <w:vAlign w:val="bottom"/>
            <w:tcBorders>
              <w:bottom w:val="single" w:sz="8" w:color="auto"/>
            </w:tcBorders>
            <w:shd w:val="clear" w:color="auto" w:fill="D4F1F5"/>
          </w:tcPr>
          <w:p>
            <w:pPr>
              <w:jc w:val="right"/>
              <w:ind w:right="20"/>
              <w:spacing w:after="0"/>
              <w:rPr>
                <w:sz w:val="20"/>
                <w:szCs w:val="20"/>
                <w:color w:val="auto"/>
              </w:rPr>
            </w:pPr>
            <w:r>
              <w:rPr>
                <w:rFonts w:ascii="Arial" w:cs="Arial" w:eastAsia="Arial" w:hAnsi="Arial"/>
                <w:sz w:val="16"/>
                <w:szCs w:val="16"/>
                <w:color w:val="auto"/>
              </w:rPr>
              <w:t>21</w:t>
            </w:r>
          </w:p>
        </w:tc>
        <w:tc>
          <w:tcPr>
            <w:tcW w:w="260" w:type="dxa"/>
            <w:vAlign w:val="bottom"/>
            <w:tcBorders>
              <w:bottom w:val="single" w:sz="8" w:color="auto"/>
            </w:tcBorders>
            <w:shd w:val="clear" w:color="auto" w:fill="D4F1F5"/>
          </w:tcPr>
          <w:p>
            <w:pPr>
              <w:spacing w:after="0"/>
              <w:rPr>
                <w:sz w:val="18"/>
                <w:szCs w:val="18"/>
                <w:color w:val="auto"/>
              </w:rPr>
            </w:pPr>
          </w:p>
        </w:tc>
        <w:tc>
          <w:tcPr>
            <w:tcW w:w="1560" w:type="dxa"/>
            <w:vAlign w:val="bottom"/>
            <w:tcBorders>
              <w:bottom w:val="single" w:sz="8" w:color="auto"/>
            </w:tcBorders>
            <w:shd w:val="clear" w:color="auto" w:fill="D4F1F5"/>
          </w:tcPr>
          <w:p>
            <w:pPr>
              <w:jc w:val="right"/>
              <w:spacing w:after="0"/>
              <w:rPr>
                <w:sz w:val="20"/>
                <w:szCs w:val="20"/>
                <w:color w:val="auto"/>
              </w:rPr>
            </w:pPr>
            <w:r>
              <w:rPr>
                <w:rFonts w:ascii="Arial" w:cs="Arial" w:eastAsia="Arial" w:hAnsi="Arial"/>
                <w:sz w:val="16"/>
                <w:szCs w:val="16"/>
                <w:color w:val="auto"/>
              </w:rPr>
              <w:t>21</w:t>
            </w:r>
          </w:p>
        </w:tc>
      </w:tr>
      <w:tr>
        <w:trPr>
          <w:trHeight w:val="217"/>
        </w:trPr>
        <w:tc>
          <w:tcPr>
            <w:tcW w:w="7640" w:type="dxa"/>
            <w:vAlign w:val="bottom"/>
            <w:tcBorders>
              <w:bottom w:val="single" w:sz="8" w:color="auto"/>
            </w:tcBorders>
          </w:tcPr>
          <w:p>
            <w:pPr>
              <w:ind w:left="140"/>
              <w:spacing w:after="0"/>
              <w:rPr>
                <w:sz w:val="20"/>
                <w:szCs w:val="20"/>
                <w:color w:val="auto"/>
              </w:rPr>
            </w:pPr>
            <w:r>
              <w:rPr>
                <w:rFonts w:ascii="Arial" w:cs="Arial" w:eastAsia="Arial" w:hAnsi="Arial"/>
                <w:sz w:val="16"/>
                <w:szCs w:val="16"/>
                <w:color w:val="auto"/>
              </w:rPr>
              <w:t>Total</w:t>
            </w: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5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1,737</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1,887</w:t>
            </w:r>
          </w:p>
        </w:tc>
      </w:tr>
      <w:tr>
        <w:trPr>
          <w:trHeight w:val="216"/>
        </w:trPr>
        <w:tc>
          <w:tcPr>
            <w:tcW w:w="7640" w:type="dxa"/>
            <w:vAlign w:val="bottom"/>
            <w:shd w:val="clear" w:color="auto" w:fill="D4F1F5"/>
          </w:tcPr>
          <w:p>
            <w:pPr>
              <w:ind w:left="20"/>
              <w:spacing w:after="0"/>
              <w:rPr>
                <w:sz w:val="20"/>
                <w:szCs w:val="20"/>
                <w:color w:val="auto"/>
              </w:rPr>
            </w:pPr>
            <w:r>
              <w:rPr>
                <w:rFonts w:ascii="Arial" w:cs="Arial" w:eastAsia="Arial" w:hAnsi="Arial"/>
                <w:sz w:val="16"/>
                <w:szCs w:val="16"/>
                <w:b w:val="1"/>
                <w:bCs w:val="1"/>
                <w:color w:val="auto"/>
              </w:rPr>
              <w:t>SDG&amp;E:</w:t>
            </w:r>
          </w:p>
        </w:tc>
        <w:tc>
          <w:tcPr>
            <w:tcW w:w="240" w:type="dxa"/>
            <w:vAlign w:val="bottom"/>
            <w:shd w:val="clear" w:color="auto" w:fill="D4F1F5"/>
          </w:tcPr>
          <w:p>
            <w:pPr>
              <w:spacing w:after="0"/>
              <w:rPr>
                <w:sz w:val="18"/>
                <w:szCs w:val="18"/>
                <w:color w:val="auto"/>
              </w:rPr>
            </w:pPr>
          </w:p>
        </w:tc>
        <w:tc>
          <w:tcPr>
            <w:tcW w:w="1540" w:type="dxa"/>
            <w:vAlign w:val="bottom"/>
            <w:shd w:val="clear" w:color="auto" w:fill="D4F1F5"/>
          </w:tcPr>
          <w:p>
            <w:pPr>
              <w:spacing w:after="0"/>
              <w:rPr>
                <w:sz w:val="18"/>
                <w:szCs w:val="18"/>
                <w:color w:val="auto"/>
              </w:rPr>
            </w:pPr>
          </w:p>
        </w:tc>
        <w:tc>
          <w:tcPr>
            <w:tcW w:w="260" w:type="dxa"/>
            <w:vAlign w:val="bottom"/>
            <w:shd w:val="clear" w:color="auto" w:fill="D4F1F5"/>
          </w:tcPr>
          <w:p>
            <w:pPr>
              <w:spacing w:after="0"/>
              <w:rPr>
                <w:sz w:val="18"/>
                <w:szCs w:val="18"/>
                <w:color w:val="auto"/>
              </w:rPr>
            </w:pPr>
          </w:p>
        </w:tc>
        <w:tc>
          <w:tcPr>
            <w:tcW w:w="1560" w:type="dxa"/>
            <w:vAlign w:val="bottom"/>
            <w:shd w:val="clear" w:color="auto" w:fill="D4F1F5"/>
          </w:tcPr>
          <w:p>
            <w:pPr>
              <w:spacing w:after="0"/>
              <w:rPr>
                <w:sz w:val="18"/>
                <w:szCs w:val="18"/>
                <w:color w:val="auto"/>
              </w:rPr>
            </w:pPr>
          </w:p>
        </w:tc>
      </w:tr>
      <w:tr>
        <w:trPr>
          <w:trHeight w:val="216"/>
        </w:trPr>
        <w:tc>
          <w:tcPr>
            <w:tcW w:w="7640" w:type="dxa"/>
            <w:vAlign w:val="bottom"/>
          </w:tcPr>
          <w:p>
            <w:pPr>
              <w:ind w:left="20"/>
              <w:spacing w:after="0" w:line="216" w:lineRule="exact"/>
              <w:rPr>
                <w:sz w:val="20"/>
                <w:szCs w:val="20"/>
                <w:color w:val="auto"/>
              </w:rPr>
            </w:pPr>
            <w:r>
              <w:rPr>
                <w:rFonts w:ascii="Arial" w:cs="Arial" w:eastAsia="Arial" w:hAnsi="Arial"/>
                <w:sz w:val="16"/>
                <w:szCs w:val="16"/>
                <w:color w:val="auto"/>
              </w:rPr>
              <w:t>Accounts receivable – trade, net</w:t>
            </w:r>
            <w:r>
              <w:rPr>
                <w:rFonts w:ascii="Arial" w:cs="Arial" w:eastAsia="Arial" w:hAnsi="Arial"/>
                <w:sz w:val="21"/>
                <w:szCs w:val="21"/>
                <w:color w:val="auto"/>
                <w:vertAlign w:val="superscript"/>
              </w:rPr>
              <w:t>(1)</w:t>
            </w: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540" w:type="dxa"/>
            <w:vAlign w:val="bottom"/>
          </w:tcPr>
          <w:p>
            <w:pPr>
              <w:jc w:val="right"/>
              <w:ind w:right="20"/>
              <w:spacing w:after="0"/>
              <w:rPr>
                <w:sz w:val="20"/>
                <w:szCs w:val="20"/>
                <w:color w:val="auto"/>
              </w:rPr>
            </w:pPr>
            <w:r>
              <w:rPr>
                <w:rFonts w:ascii="Arial" w:cs="Arial" w:eastAsia="Arial" w:hAnsi="Arial"/>
                <w:sz w:val="16"/>
                <w:szCs w:val="16"/>
                <w:color w:val="auto"/>
              </w:rPr>
              <w:t>897</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1560" w:type="dxa"/>
            <w:vAlign w:val="bottom"/>
          </w:tcPr>
          <w:p>
            <w:pPr>
              <w:jc w:val="right"/>
              <w:spacing w:after="0"/>
              <w:rPr>
                <w:sz w:val="20"/>
                <w:szCs w:val="20"/>
                <w:color w:val="auto"/>
              </w:rPr>
            </w:pPr>
            <w:r>
              <w:rPr>
                <w:rFonts w:ascii="Arial" w:cs="Arial" w:eastAsia="Arial" w:hAnsi="Arial"/>
                <w:sz w:val="16"/>
                <w:szCs w:val="16"/>
                <w:color w:val="auto"/>
              </w:rPr>
              <w:t>809</w:t>
            </w:r>
          </w:p>
        </w:tc>
      </w:tr>
      <w:tr>
        <w:trPr>
          <w:trHeight w:val="216"/>
        </w:trPr>
        <w:tc>
          <w:tcPr>
            <w:tcW w:w="7640" w:type="dxa"/>
            <w:vAlign w:val="bottom"/>
            <w:shd w:val="clear" w:color="auto" w:fill="D4F1F5"/>
          </w:tcPr>
          <w:p>
            <w:pPr>
              <w:ind w:left="20"/>
              <w:spacing w:after="0"/>
              <w:rPr>
                <w:sz w:val="20"/>
                <w:szCs w:val="20"/>
                <w:color w:val="auto"/>
              </w:rPr>
            </w:pPr>
            <w:r>
              <w:rPr>
                <w:rFonts w:ascii="Arial" w:cs="Arial" w:eastAsia="Arial" w:hAnsi="Arial"/>
                <w:sz w:val="16"/>
                <w:szCs w:val="16"/>
                <w:color w:val="auto"/>
              </w:rPr>
              <w:t>Accounts receivable – other, net</w:t>
            </w:r>
          </w:p>
        </w:tc>
        <w:tc>
          <w:tcPr>
            <w:tcW w:w="240" w:type="dxa"/>
            <w:vAlign w:val="bottom"/>
            <w:shd w:val="clear" w:color="auto" w:fill="D4F1F5"/>
          </w:tcPr>
          <w:p>
            <w:pPr>
              <w:spacing w:after="0"/>
              <w:rPr>
                <w:sz w:val="18"/>
                <w:szCs w:val="18"/>
                <w:color w:val="auto"/>
              </w:rPr>
            </w:pPr>
          </w:p>
        </w:tc>
        <w:tc>
          <w:tcPr>
            <w:tcW w:w="1540" w:type="dxa"/>
            <w:vAlign w:val="bottom"/>
            <w:shd w:val="clear" w:color="auto" w:fill="D4F1F5"/>
          </w:tcPr>
          <w:p>
            <w:pPr>
              <w:jc w:val="right"/>
              <w:ind w:right="20"/>
              <w:spacing w:after="0"/>
              <w:rPr>
                <w:sz w:val="20"/>
                <w:szCs w:val="20"/>
                <w:color w:val="auto"/>
              </w:rPr>
            </w:pPr>
            <w:r>
              <w:rPr>
                <w:rFonts w:ascii="Arial" w:cs="Arial" w:eastAsia="Arial" w:hAnsi="Arial"/>
                <w:sz w:val="16"/>
                <w:szCs w:val="16"/>
                <w:color w:val="auto"/>
              </w:rPr>
              <w:t>18</w:t>
            </w:r>
          </w:p>
        </w:tc>
        <w:tc>
          <w:tcPr>
            <w:tcW w:w="260" w:type="dxa"/>
            <w:vAlign w:val="bottom"/>
            <w:shd w:val="clear" w:color="auto" w:fill="D4F1F5"/>
          </w:tcPr>
          <w:p>
            <w:pPr>
              <w:spacing w:after="0"/>
              <w:rPr>
                <w:sz w:val="18"/>
                <w:szCs w:val="18"/>
                <w:color w:val="auto"/>
              </w:rPr>
            </w:pPr>
          </w:p>
        </w:tc>
        <w:tc>
          <w:tcPr>
            <w:tcW w:w="1560" w:type="dxa"/>
            <w:vAlign w:val="bottom"/>
            <w:shd w:val="clear" w:color="auto" w:fill="D4F1F5"/>
          </w:tcPr>
          <w:p>
            <w:pPr>
              <w:jc w:val="right"/>
              <w:spacing w:after="0"/>
              <w:rPr>
                <w:sz w:val="20"/>
                <w:szCs w:val="20"/>
                <w:color w:val="auto"/>
              </w:rPr>
            </w:pPr>
            <w:r>
              <w:rPr>
                <w:rFonts w:ascii="Arial" w:cs="Arial" w:eastAsia="Arial" w:hAnsi="Arial"/>
                <w:sz w:val="16"/>
                <w:szCs w:val="16"/>
                <w:color w:val="auto"/>
              </w:rPr>
              <w:t>18</w:t>
            </w:r>
          </w:p>
        </w:tc>
      </w:tr>
      <w:tr>
        <w:trPr>
          <w:trHeight w:val="216"/>
        </w:trPr>
        <w:tc>
          <w:tcPr>
            <w:tcW w:w="7640" w:type="dxa"/>
            <w:vAlign w:val="bottom"/>
          </w:tcPr>
          <w:p>
            <w:pPr>
              <w:ind w:left="20"/>
              <w:spacing w:after="0" w:line="216" w:lineRule="exact"/>
              <w:rPr>
                <w:sz w:val="20"/>
                <w:szCs w:val="20"/>
                <w:color w:val="auto"/>
              </w:rPr>
            </w:pPr>
            <w:r>
              <w:rPr>
                <w:rFonts w:ascii="Arial" w:cs="Arial" w:eastAsia="Arial" w:hAnsi="Arial"/>
                <w:sz w:val="16"/>
                <w:szCs w:val="16"/>
                <w:color w:val="auto"/>
              </w:rPr>
              <w:t>Due from unconsolidated affiliates – current</w:t>
            </w:r>
            <w:r>
              <w:rPr>
                <w:rFonts w:ascii="Arial" w:cs="Arial" w:eastAsia="Arial" w:hAnsi="Arial"/>
                <w:sz w:val="21"/>
                <w:szCs w:val="21"/>
                <w:color w:val="auto"/>
                <w:vertAlign w:val="superscript"/>
              </w:rPr>
              <w:t>(3)</w:t>
            </w:r>
          </w:p>
        </w:tc>
        <w:tc>
          <w:tcPr>
            <w:tcW w:w="240" w:type="dxa"/>
            <w:vAlign w:val="bottom"/>
          </w:tcPr>
          <w:p>
            <w:pPr>
              <w:spacing w:after="0"/>
              <w:rPr>
                <w:sz w:val="18"/>
                <w:szCs w:val="18"/>
                <w:color w:val="auto"/>
              </w:rPr>
            </w:pPr>
          </w:p>
        </w:tc>
        <w:tc>
          <w:tcPr>
            <w:tcW w:w="1540" w:type="dxa"/>
            <w:vAlign w:val="bottom"/>
          </w:tcPr>
          <w:p>
            <w:pPr>
              <w:jc w:val="right"/>
              <w:ind w:right="20"/>
              <w:spacing w:after="0"/>
              <w:rPr>
                <w:sz w:val="20"/>
                <w:szCs w:val="20"/>
                <w:color w:val="auto"/>
              </w:rPr>
            </w:pPr>
            <w:r>
              <w:rPr>
                <w:rFonts w:ascii="Arial" w:cs="Arial" w:eastAsia="Arial" w:hAnsi="Arial"/>
                <w:sz w:val="16"/>
                <w:szCs w:val="16"/>
                <w:color w:val="auto"/>
              </w:rPr>
              <w:t>11</w:t>
            </w:r>
          </w:p>
        </w:tc>
        <w:tc>
          <w:tcPr>
            <w:tcW w:w="26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11</w:t>
            </w:r>
          </w:p>
        </w:tc>
      </w:tr>
      <w:tr>
        <w:trPr>
          <w:trHeight w:val="216"/>
        </w:trPr>
        <w:tc>
          <w:tcPr>
            <w:tcW w:w="7640" w:type="dxa"/>
            <w:vAlign w:val="bottom"/>
            <w:shd w:val="clear" w:color="auto" w:fill="D4F1F5"/>
          </w:tcPr>
          <w:p>
            <w:pPr>
              <w:ind w:left="20"/>
              <w:spacing w:after="0" w:line="216" w:lineRule="exact"/>
              <w:rPr>
                <w:sz w:val="20"/>
                <w:szCs w:val="20"/>
                <w:color w:val="auto"/>
              </w:rPr>
            </w:pPr>
            <w:r>
              <w:rPr>
                <w:rFonts w:ascii="Arial" w:cs="Arial" w:eastAsia="Arial" w:hAnsi="Arial"/>
                <w:sz w:val="16"/>
                <w:szCs w:val="16"/>
                <w:color w:val="auto"/>
              </w:rPr>
              <w:t>Other long-term assets</w:t>
            </w:r>
            <w:r>
              <w:rPr>
                <w:rFonts w:ascii="Arial" w:cs="Arial" w:eastAsia="Arial" w:hAnsi="Arial"/>
                <w:sz w:val="21"/>
                <w:szCs w:val="21"/>
                <w:color w:val="auto"/>
                <w:vertAlign w:val="superscript"/>
              </w:rPr>
              <w:t>(2)</w:t>
            </w:r>
          </w:p>
        </w:tc>
        <w:tc>
          <w:tcPr>
            <w:tcW w:w="240" w:type="dxa"/>
            <w:vAlign w:val="bottom"/>
            <w:tcBorders>
              <w:bottom w:val="single" w:sz="8" w:color="auto"/>
            </w:tcBorders>
            <w:shd w:val="clear" w:color="auto" w:fill="D4F1F5"/>
          </w:tcPr>
          <w:p>
            <w:pPr>
              <w:spacing w:after="0"/>
              <w:rPr>
                <w:sz w:val="18"/>
                <w:szCs w:val="18"/>
                <w:color w:val="auto"/>
              </w:rPr>
            </w:pPr>
          </w:p>
        </w:tc>
        <w:tc>
          <w:tcPr>
            <w:tcW w:w="1540" w:type="dxa"/>
            <w:vAlign w:val="bottom"/>
            <w:tcBorders>
              <w:bottom w:val="single" w:sz="8" w:color="auto"/>
            </w:tcBorders>
            <w:shd w:val="clear" w:color="auto" w:fill="D4F1F5"/>
          </w:tcPr>
          <w:p>
            <w:pPr>
              <w:jc w:val="right"/>
              <w:ind w:right="20"/>
              <w:spacing w:after="0"/>
              <w:rPr>
                <w:sz w:val="20"/>
                <w:szCs w:val="20"/>
                <w:color w:val="auto"/>
              </w:rPr>
            </w:pPr>
            <w:r>
              <w:rPr>
                <w:rFonts w:ascii="Arial" w:cs="Arial" w:eastAsia="Arial" w:hAnsi="Arial"/>
                <w:sz w:val="16"/>
                <w:szCs w:val="16"/>
                <w:color w:val="auto"/>
              </w:rPr>
              <w:t>4</w:t>
            </w:r>
          </w:p>
        </w:tc>
        <w:tc>
          <w:tcPr>
            <w:tcW w:w="260" w:type="dxa"/>
            <w:vAlign w:val="bottom"/>
            <w:tcBorders>
              <w:bottom w:val="single" w:sz="8" w:color="auto"/>
            </w:tcBorders>
            <w:shd w:val="clear" w:color="auto" w:fill="D4F1F5"/>
          </w:tcPr>
          <w:p>
            <w:pPr>
              <w:spacing w:after="0"/>
              <w:rPr>
                <w:sz w:val="18"/>
                <w:szCs w:val="18"/>
                <w:color w:val="auto"/>
              </w:rPr>
            </w:pPr>
          </w:p>
        </w:tc>
        <w:tc>
          <w:tcPr>
            <w:tcW w:w="1560" w:type="dxa"/>
            <w:vAlign w:val="bottom"/>
            <w:tcBorders>
              <w:bottom w:val="single" w:sz="8" w:color="auto"/>
            </w:tcBorders>
            <w:shd w:val="clear" w:color="auto" w:fill="D4F1F5"/>
          </w:tcPr>
          <w:p>
            <w:pPr>
              <w:jc w:val="right"/>
              <w:spacing w:after="0"/>
              <w:rPr>
                <w:sz w:val="20"/>
                <w:szCs w:val="20"/>
                <w:color w:val="auto"/>
              </w:rPr>
            </w:pPr>
            <w:r>
              <w:rPr>
                <w:rFonts w:ascii="Arial" w:cs="Arial" w:eastAsia="Arial" w:hAnsi="Arial"/>
                <w:sz w:val="16"/>
                <w:szCs w:val="16"/>
                <w:color w:val="auto"/>
              </w:rPr>
              <w:t>3</w:t>
            </w:r>
          </w:p>
        </w:tc>
      </w:tr>
      <w:tr>
        <w:trPr>
          <w:trHeight w:val="217"/>
        </w:trPr>
        <w:tc>
          <w:tcPr>
            <w:tcW w:w="7640" w:type="dxa"/>
            <w:vAlign w:val="bottom"/>
            <w:tcBorders>
              <w:bottom w:val="single" w:sz="8" w:color="auto"/>
            </w:tcBorders>
          </w:tcPr>
          <w:p>
            <w:pPr>
              <w:ind w:left="140"/>
              <w:spacing w:after="0"/>
              <w:rPr>
                <w:sz w:val="20"/>
                <w:szCs w:val="20"/>
                <w:color w:val="auto"/>
              </w:rPr>
            </w:pPr>
            <w:r>
              <w:rPr>
                <w:rFonts w:ascii="Arial" w:cs="Arial" w:eastAsia="Arial" w:hAnsi="Arial"/>
                <w:sz w:val="16"/>
                <w:szCs w:val="16"/>
                <w:color w:val="auto"/>
              </w:rPr>
              <w:t>Total</w:t>
            </w: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5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930</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841</w:t>
            </w:r>
          </w:p>
        </w:tc>
      </w:tr>
      <w:tr>
        <w:trPr>
          <w:trHeight w:val="216"/>
        </w:trPr>
        <w:tc>
          <w:tcPr>
            <w:tcW w:w="7640" w:type="dxa"/>
            <w:vAlign w:val="bottom"/>
            <w:shd w:val="clear" w:color="auto" w:fill="D4F1F5"/>
          </w:tcPr>
          <w:p>
            <w:pPr>
              <w:ind w:left="20"/>
              <w:spacing w:after="0"/>
              <w:rPr>
                <w:sz w:val="20"/>
                <w:szCs w:val="20"/>
                <w:color w:val="auto"/>
              </w:rPr>
            </w:pPr>
            <w:r>
              <w:rPr>
                <w:rFonts w:ascii="Arial" w:cs="Arial" w:eastAsia="Arial" w:hAnsi="Arial"/>
                <w:sz w:val="16"/>
                <w:szCs w:val="16"/>
                <w:b w:val="1"/>
                <w:bCs w:val="1"/>
                <w:color w:val="auto"/>
              </w:rPr>
              <w:t>SoCalGas:</w:t>
            </w:r>
          </w:p>
        </w:tc>
        <w:tc>
          <w:tcPr>
            <w:tcW w:w="240" w:type="dxa"/>
            <w:vAlign w:val="bottom"/>
            <w:shd w:val="clear" w:color="auto" w:fill="D4F1F5"/>
          </w:tcPr>
          <w:p>
            <w:pPr>
              <w:spacing w:after="0"/>
              <w:rPr>
                <w:sz w:val="18"/>
                <w:szCs w:val="18"/>
                <w:color w:val="auto"/>
              </w:rPr>
            </w:pPr>
          </w:p>
        </w:tc>
        <w:tc>
          <w:tcPr>
            <w:tcW w:w="1540" w:type="dxa"/>
            <w:vAlign w:val="bottom"/>
            <w:shd w:val="clear" w:color="auto" w:fill="D4F1F5"/>
          </w:tcPr>
          <w:p>
            <w:pPr>
              <w:spacing w:after="0"/>
              <w:rPr>
                <w:sz w:val="18"/>
                <w:szCs w:val="18"/>
                <w:color w:val="auto"/>
              </w:rPr>
            </w:pPr>
          </w:p>
        </w:tc>
        <w:tc>
          <w:tcPr>
            <w:tcW w:w="260" w:type="dxa"/>
            <w:vAlign w:val="bottom"/>
            <w:shd w:val="clear" w:color="auto" w:fill="D4F1F5"/>
          </w:tcPr>
          <w:p>
            <w:pPr>
              <w:spacing w:after="0"/>
              <w:rPr>
                <w:sz w:val="18"/>
                <w:szCs w:val="18"/>
                <w:color w:val="auto"/>
              </w:rPr>
            </w:pPr>
          </w:p>
        </w:tc>
        <w:tc>
          <w:tcPr>
            <w:tcW w:w="1560" w:type="dxa"/>
            <w:vAlign w:val="bottom"/>
            <w:shd w:val="clear" w:color="auto" w:fill="D4F1F5"/>
          </w:tcPr>
          <w:p>
            <w:pPr>
              <w:spacing w:after="0"/>
              <w:rPr>
                <w:sz w:val="18"/>
                <w:szCs w:val="18"/>
                <w:color w:val="auto"/>
              </w:rPr>
            </w:pPr>
          </w:p>
        </w:tc>
      </w:tr>
      <w:tr>
        <w:trPr>
          <w:trHeight w:val="215"/>
        </w:trPr>
        <w:tc>
          <w:tcPr>
            <w:tcW w:w="7640" w:type="dxa"/>
            <w:vAlign w:val="bottom"/>
          </w:tcPr>
          <w:p>
            <w:pPr>
              <w:ind w:left="20"/>
              <w:spacing w:after="0"/>
              <w:rPr>
                <w:sz w:val="20"/>
                <w:szCs w:val="20"/>
                <w:color w:val="auto"/>
              </w:rPr>
            </w:pPr>
            <w:r>
              <w:rPr>
                <w:rFonts w:ascii="Arial" w:cs="Arial" w:eastAsia="Arial" w:hAnsi="Arial"/>
                <w:sz w:val="16"/>
                <w:szCs w:val="16"/>
                <w:color w:val="auto"/>
              </w:rPr>
              <w:t>Accounts receivable – trade, net</w:t>
            </w: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540" w:type="dxa"/>
            <w:vAlign w:val="bottom"/>
          </w:tcPr>
          <w:p>
            <w:pPr>
              <w:jc w:val="right"/>
              <w:ind w:right="20"/>
              <w:spacing w:after="0"/>
              <w:rPr>
                <w:sz w:val="20"/>
                <w:szCs w:val="20"/>
                <w:color w:val="auto"/>
              </w:rPr>
            </w:pPr>
            <w:r>
              <w:rPr>
                <w:rFonts w:ascii="Arial" w:cs="Arial" w:eastAsia="Arial" w:hAnsi="Arial"/>
                <w:sz w:val="16"/>
                <w:szCs w:val="16"/>
                <w:color w:val="auto"/>
              </w:rPr>
              <w:t>706</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1560" w:type="dxa"/>
            <w:vAlign w:val="bottom"/>
          </w:tcPr>
          <w:p>
            <w:pPr>
              <w:jc w:val="right"/>
              <w:spacing w:after="0"/>
              <w:rPr>
                <w:sz w:val="20"/>
                <w:szCs w:val="20"/>
                <w:color w:val="auto"/>
              </w:rPr>
            </w:pPr>
            <w:r>
              <w:rPr>
                <w:rFonts w:ascii="Arial" w:cs="Arial" w:eastAsia="Arial" w:hAnsi="Arial"/>
                <w:sz w:val="16"/>
                <w:szCs w:val="16"/>
                <w:color w:val="auto"/>
              </w:rPr>
              <w:t>958</w:t>
            </w:r>
          </w:p>
        </w:tc>
      </w:tr>
      <w:tr>
        <w:trPr>
          <w:trHeight w:val="217"/>
        </w:trPr>
        <w:tc>
          <w:tcPr>
            <w:tcW w:w="7640" w:type="dxa"/>
            <w:vAlign w:val="bottom"/>
            <w:shd w:val="clear" w:color="auto" w:fill="D4F1F5"/>
          </w:tcPr>
          <w:p>
            <w:pPr>
              <w:ind w:left="20"/>
              <w:spacing w:after="0"/>
              <w:rPr>
                <w:sz w:val="20"/>
                <w:szCs w:val="20"/>
                <w:color w:val="auto"/>
              </w:rPr>
            </w:pPr>
            <w:r>
              <w:rPr>
                <w:rFonts w:ascii="Arial" w:cs="Arial" w:eastAsia="Arial" w:hAnsi="Arial"/>
                <w:sz w:val="16"/>
                <w:szCs w:val="16"/>
                <w:color w:val="auto"/>
              </w:rPr>
              <w:t>Accounts receivable – other, net</w:t>
            </w:r>
          </w:p>
        </w:tc>
        <w:tc>
          <w:tcPr>
            <w:tcW w:w="240" w:type="dxa"/>
            <w:vAlign w:val="bottom"/>
            <w:shd w:val="clear" w:color="auto" w:fill="D4F1F5"/>
          </w:tcPr>
          <w:p>
            <w:pPr>
              <w:spacing w:after="0"/>
              <w:rPr>
                <w:sz w:val="18"/>
                <w:szCs w:val="18"/>
                <w:color w:val="auto"/>
              </w:rPr>
            </w:pPr>
          </w:p>
        </w:tc>
        <w:tc>
          <w:tcPr>
            <w:tcW w:w="1540" w:type="dxa"/>
            <w:vAlign w:val="bottom"/>
            <w:shd w:val="clear" w:color="auto" w:fill="D4F1F5"/>
          </w:tcPr>
          <w:p>
            <w:pPr>
              <w:jc w:val="right"/>
              <w:ind w:right="20"/>
              <w:spacing w:after="0"/>
              <w:rPr>
                <w:sz w:val="20"/>
                <w:szCs w:val="20"/>
                <w:color w:val="auto"/>
              </w:rPr>
            </w:pPr>
            <w:r>
              <w:rPr>
                <w:rFonts w:ascii="Arial" w:cs="Arial" w:eastAsia="Arial" w:hAnsi="Arial"/>
                <w:sz w:val="16"/>
                <w:szCs w:val="16"/>
                <w:color w:val="auto"/>
              </w:rPr>
              <w:t>4</w:t>
            </w:r>
          </w:p>
        </w:tc>
        <w:tc>
          <w:tcPr>
            <w:tcW w:w="260" w:type="dxa"/>
            <w:vAlign w:val="bottom"/>
            <w:shd w:val="clear" w:color="auto" w:fill="D4F1F5"/>
          </w:tcPr>
          <w:p>
            <w:pPr>
              <w:spacing w:after="0"/>
              <w:rPr>
                <w:sz w:val="18"/>
                <w:szCs w:val="18"/>
                <w:color w:val="auto"/>
              </w:rPr>
            </w:pPr>
          </w:p>
        </w:tc>
        <w:tc>
          <w:tcPr>
            <w:tcW w:w="1560" w:type="dxa"/>
            <w:vAlign w:val="bottom"/>
            <w:shd w:val="clear" w:color="auto" w:fill="D4F1F5"/>
          </w:tcPr>
          <w:p>
            <w:pPr>
              <w:jc w:val="right"/>
              <w:spacing w:after="0"/>
              <w:rPr>
                <w:sz w:val="20"/>
                <w:szCs w:val="20"/>
                <w:color w:val="auto"/>
              </w:rPr>
            </w:pPr>
            <w:r>
              <w:rPr>
                <w:rFonts w:ascii="Arial" w:cs="Arial" w:eastAsia="Arial" w:hAnsi="Arial"/>
                <w:sz w:val="16"/>
                <w:szCs w:val="16"/>
                <w:color w:val="auto"/>
              </w:rPr>
              <w:t>4</w:t>
            </w:r>
          </w:p>
        </w:tc>
      </w:tr>
      <w:tr>
        <w:trPr>
          <w:trHeight w:val="216"/>
        </w:trPr>
        <w:tc>
          <w:tcPr>
            <w:tcW w:w="7640" w:type="dxa"/>
            <w:vAlign w:val="bottom"/>
            <w:tcBorders>
              <w:bottom w:val="single" w:sz="8" w:color="D4F1F5"/>
            </w:tcBorders>
          </w:tcPr>
          <w:p>
            <w:pPr>
              <w:ind w:left="20"/>
              <w:spacing w:after="0" w:line="216" w:lineRule="exact"/>
              <w:rPr>
                <w:sz w:val="20"/>
                <w:szCs w:val="20"/>
                <w:color w:val="auto"/>
              </w:rPr>
            </w:pPr>
            <w:r>
              <w:rPr>
                <w:rFonts w:ascii="Arial" w:cs="Arial" w:eastAsia="Arial" w:hAnsi="Arial"/>
                <w:sz w:val="16"/>
                <w:szCs w:val="16"/>
                <w:color w:val="auto"/>
              </w:rPr>
              <w:t>Other long-term assets</w:t>
            </w:r>
            <w:r>
              <w:rPr>
                <w:rFonts w:ascii="Arial" w:cs="Arial" w:eastAsia="Arial" w:hAnsi="Arial"/>
                <w:sz w:val="21"/>
                <w:szCs w:val="21"/>
                <w:color w:val="auto"/>
                <w:vertAlign w:val="superscript"/>
              </w:rPr>
              <w:t>(2)</w:t>
            </w:r>
          </w:p>
        </w:tc>
        <w:tc>
          <w:tcPr>
            <w:tcW w:w="24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17</w:t>
            </w:r>
          </w:p>
        </w:tc>
        <w:tc>
          <w:tcPr>
            <w:tcW w:w="26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w:t>
            </w:r>
          </w:p>
        </w:tc>
      </w:tr>
      <w:tr>
        <w:trPr>
          <w:trHeight w:val="216"/>
        </w:trPr>
        <w:tc>
          <w:tcPr>
            <w:tcW w:w="7640" w:type="dxa"/>
            <w:vAlign w:val="bottom"/>
            <w:tcBorders>
              <w:bottom w:val="single" w:sz="8" w:color="auto"/>
            </w:tcBorders>
            <w:shd w:val="clear" w:color="auto" w:fill="D4F1F5"/>
          </w:tcPr>
          <w:p>
            <w:pPr>
              <w:ind w:left="140"/>
              <w:spacing w:after="0"/>
              <w:rPr>
                <w:sz w:val="20"/>
                <w:szCs w:val="20"/>
                <w:color w:val="auto"/>
              </w:rPr>
            </w:pPr>
            <w:r>
              <w:rPr>
                <w:rFonts w:ascii="Arial" w:cs="Arial" w:eastAsia="Arial" w:hAnsi="Arial"/>
                <w:sz w:val="16"/>
                <w:szCs w:val="16"/>
                <w:color w:val="auto"/>
              </w:rPr>
              <w:t>Total</w:t>
            </w:r>
          </w:p>
        </w:tc>
        <w:tc>
          <w:tcPr>
            <w:tcW w:w="240" w:type="dxa"/>
            <w:vAlign w:val="bottom"/>
            <w:tcBorders>
              <w:bottom w:val="single" w:sz="8" w:color="auto"/>
            </w:tcBorders>
            <w:shd w:val="clear" w:color="auto" w:fill="D4F1F5"/>
          </w:tcPr>
          <w:p>
            <w:pPr>
              <w:jc w:val="right"/>
              <w:ind w:right="39"/>
              <w:spacing w:after="0"/>
              <w:rPr>
                <w:sz w:val="20"/>
                <w:szCs w:val="20"/>
                <w:color w:val="auto"/>
              </w:rPr>
            </w:pPr>
            <w:r>
              <w:rPr>
                <w:rFonts w:ascii="Arial" w:cs="Arial" w:eastAsia="Arial" w:hAnsi="Arial"/>
                <w:sz w:val="16"/>
                <w:szCs w:val="16"/>
                <w:color w:val="auto"/>
              </w:rPr>
              <w:t>$</w:t>
            </w:r>
          </w:p>
        </w:tc>
        <w:tc>
          <w:tcPr>
            <w:tcW w:w="1540" w:type="dxa"/>
            <w:vAlign w:val="bottom"/>
            <w:tcBorders>
              <w:bottom w:val="single" w:sz="8" w:color="auto"/>
            </w:tcBorders>
            <w:shd w:val="clear" w:color="auto" w:fill="D4F1F5"/>
          </w:tcPr>
          <w:p>
            <w:pPr>
              <w:jc w:val="right"/>
              <w:ind w:right="20"/>
              <w:spacing w:after="0"/>
              <w:rPr>
                <w:sz w:val="20"/>
                <w:szCs w:val="20"/>
                <w:color w:val="auto"/>
              </w:rPr>
            </w:pPr>
            <w:r>
              <w:rPr>
                <w:rFonts w:ascii="Arial" w:cs="Arial" w:eastAsia="Arial" w:hAnsi="Arial"/>
                <w:sz w:val="16"/>
                <w:szCs w:val="16"/>
                <w:color w:val="auto"/>
              </w:rPr>
              <w:t>727</w:t>
            </w:r>
          </w:p>
        </w:tc>
        <w:tc>
          <w:tcPr>
            <w:tcW w:w="260" w:type="dxa"/>
            <w:vAlign w:val="bottom"/>
            <w:tcBorders>
              <w:bottom w:val="single" w:sz="8" w:color="auto"/>
            </w:tcBorders>
            <w:shd w:val="clear" w:color="auto" w:fill="D4F1F5"/>
          </w:tcPr>
          <w:p>
            <w:pPr>
              <w:jc w:val="right"/>
              <w:spacing w:after="0"/>
              <w:rPr>
                <w:sz w:val="20"/>
                <w:szCs w:val="20"/>
                <w:color w:val="auto"/>
              </w:rPr>
            </w:pPr>
            <w:r>
              <w:rPr>
                <w:rFonts w:ascii="Arial" w:cs="Arial" w:eastAsia="Arial" w:hAnsi="Arial"/>
                <w:sz w:val="16"/>
                <w:szCs w:val="16"/>
                <w:color w:val="auto"/>
              </w:rPr>
              <w:t>$</w:t>
            </w:r>
          </w:p>
        </w:tc>
        <w:tc>
          <w:tcPr>
            <w:tcW w:w="1560" w:type="dxa"/>
            <w:vAlign w:val="bottom"/>
            <w:tcBorders>
              <w:bottom w:val="single" w:sz="8" w:color="auto"/>
            </w:tcBorders>
            <w:shd w:val="clear" w:color="auto" w:fill="D4F1F5"/>
          </w:tcPr>
          <w:p>
            <w:pPr>
              <w:jc w:val="right"/>
              <w:spacing w:after="0"/>
              <w:rPr>
                <w:sz w:val="20"/>
                <w:szCs w:val="20"/>
                <w:color w:val="auto"/>
              </w:rPr>
            </w:pPr>
            <w:r>
              <w:rPr>
                <w:rFonts w:ascii="Arial" w:cs="Arial" w:eastAsia="Arial" w:hAnsi="Arial"/>
                <w:sz w:val="16"/>
                <w:szCs w:val="16"/>
                <w:color w:val="auto"/>
              </w:rPr>
              <w:t>980</w:t>
            </w:r>
          </w:p>
        </w:tc>
      </w:tr>
    </w:tbl>
    <w:p>
      <w:pPr>
        <w:spacing w:after="0" w:line="141" w:lineRule="exact"/>
        <w:rPr>
          <w:sz w:val="20"/>
          <w:szCs w:val="20"/>
          <w:color w:val="auto"/>
        </w:rPr>
      </w:pPr>
    </w:p>
    <w:p>
      <w:pPr>
        <w:ind w:left="340" w:right="260" w:hanging="332"/>
        <w:spacing w:after="0" w:line="216" w:lineRule="auto"/>
        <w:tabs>
          <w:tab w:leader="none" w:pos="369" w:val="left"/>
        </w:tabs>
        <w:numPr>
          <w:ilvl w:val="0"/>
          <w:numId w:val="17"/>
        </w:numPr>
        <w:rPr>
          <w:rFonts w:ascii="Arial" w:cs="Arial" w:eastAsia="Arial" w:hAnsi="Arial"/>
          <w:sz w:val="21"/>
          <w:szCs w:val="21"/>
          <w:i w:val="1"/>
          <w:iCs w:val="1"/>
          <w:color w:val="auto"/>
          <w:vertAlign w:val="superscript"/>
        </w:rPr>
      </w:pPr>
      <w:r>
        <w:rPr>
          <w:rFonts w:ascii="Arial" w:cs="Arial" w:eastAsia="Arial" w:hAnsi="Arial"/>
          <w:sz w:val="14"/>
          <w:szCs w:val="14"/>
          <w:i w:val="1"/>
          <w:iCs w:val="1"/>
          <w:color w:val="auto"/>
        </w:rPr>
        <w:t>At March 31, 2026 and December 31, 2025, includes $135 and $152, respectively, of receivables due from customers that were billed on behalf of CCAs, which are not included in revenues.</w:t>
      </w:r>
    </w:p>
    <w:p>
      <w:pPr>
        <w:spacing w:after="0" w:line="1" w:lineRule="exact"/>
        <w:rPr>
          <w:rFonts w:ascii="Arial" w:cs="Arial" w:eastAsia="Arial" w:hAnsi="Arial"/>
          <w:sz w:val="21"/>
          <w:szCs w:val="21"/>
          <w:i w:val="1"/>
          <w:iCs w:val="1"/>
          <w:color w:val="auto"/>
          <w:vertAlign w:val="superscript"/>
        </w:rPr>
      </w:pPr>
    </w:p>
    <w:p>
      <w:pPr>
        <w:ind w:left="360" w:hanging="352"/>
        <w:spacing w:after="0" w:line="214" w:lineRule="auto"/>
        <w:tabs>
          <w:tab w:leader="none" w:pos="360" w:val="left"/>
        </w:tabs>
        <w:numPr>
          <w:ilvl w:val="0"/>
          <w:numId w:val="17"/>
        </w:numPr>
        <w:rPr>
          <w:rFonts w:ascii="Arial" w:cs="Arial" w:eastAsia="Arial" w:hAnsi="Arial"/>
          <w:sz w:val="21"/>
          <w:szCs w:val="21"/>
          <w:i w:val="1"/>
          <w:iCs w:val="1"/>
          <w:color w:val="auto"/>
          <w:vertAlign w:val="superscript"/>
        </w:rPr>
      </w:pPr>
      <w:r>
        <w:rPr>
          <w:rFonts w:ascii="Arial" w:cs="Arial" w:eastAsia="Arial" w:hAnsi="Arial"/>
          <w:sz w:val="14"/>
          <w:szCs w:val="14"/>
          <w:i w:val="1"/>
          <w:iCs w:val="1"/>
          <w:color w:val="auto"/>
        </w:rPr>
        <w:t>In 2024, the CPUC directed SDG&amp;E and SoCalGas to offer long-term payment plans to eligible residential customers with past-due balances.</w:t>
      </w:r>
    </w:p>
    <w:p>
      <w:pPr>
        <w:spacing w:after="0" w:line="67" w:lineRule="exact"/>
        <w:rPr>
          <w:rFonts w:ascii="Arial" w:cs="Arial" w:eastAsia="Arial" w:hAnsi="Arial"/>
          <w:sz w:val="21"/>
          <w:szCs w:val="21"/>
          <w:i w:val="1"/>
          <w:iCs w:val="1"/>
          <w:color w:val="auto"/>
          <w:vertAlign w:val="superscript"/>
        </w:rPr>
      </w:pPr>
    </w:p>
    <w:p>
      <w:pPr>
        <w:ind w:left="340" w:hanging="332"/>
        <w:spacing w:after="0" w:line="183" w:lineRule="auto"/>
        <w:tabs>
          <w:tab w:leader="none" w:pos="340" w:val="left"/>
        </w:tabs>
        <w:numPr>
          <w:ilvl w:val="0"/>
          <w:numId w:val="17"/>
        </w:numPr>
        <w:rPr>
          <w:rFonts w:ascii="Arial" w:cs="Arial" w:eastAsia="Arial" w:hAnsi="Arial"/>
          <w:sz w:val="20"/>
          <w:szCs w:val="20"/>
          <w:i w:val="1"/>
          <w:iCs w:val="1"/>
          <w:color w:val="auto"/>
          <w:vertAlign w:val="superscript"/>
        </w:rPr>
      </w:pPr>
      <w:r>
        <w:rPr>
          <w:rFonts w:ascii="Arial" w:cs="Arial" w:eastAsia="Arial" w:hAnsi="Arial"/>
          <w:sz w:val="14"/>
          <w:szCs w:val="14"/>
          <w:i w:val="1"/>
          <w:iCs w:val="1"/>
          <w:color w:val="auto"/>
        </w:rPr>
        <w:t>Amount is presented net of amounts due to unconsolidated affiliates on the Condensed Consolidated Balance Sheets, when right of offset exists.</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150495</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711835</wp:posOffset>
            </wp:positionV>
            <wp:extent cx="713232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20"/>
          <w:szCs w:val="20"/>
          <w:color w:val="auto"/>
        </w:rPr>
        <w:t>NOTE 4. REGULATORY MATTERS</w:t>
      </w:r>
    </w:p>
    <w:p>
      <w:pPr>
        <w:spacing w:after="0" w:line="97"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We discuss regulatory matters in Note 4 of the Notes to Consolidated Financial Statements in the Annual Report and provide updates to those discussions and information about new regulatory matters below.</w:t>
      </w: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REGULATORY ASSETS AND LIABILITIES</w:t>
      </w:r>
    </w:p>
    <w:p>
      <w:pPr>
        <w:spacing w:after="0" w:line="118" w:lineRule="exact"/>
        <w:rPr>
          <w:sz w:val="20"/>
          <w:szCs w:val="20"/>
          <w:color w:val="auto"/>
        </w:rPr>
      </w:pPr>
    </w:p>
    <w:p>
      <w:pPr>
        <w:ind w:right="280"/>
        <w:spacing w:after="0" w:line="271" w:lineRule="auto"/>
        <w:rPr>
          <w:sz w:val="20"/>
          <w:szCs w:val="20"/>
          <w:color w:val="auto"/>
        </w:rPr>
      </w:pPr>
      <w:r>
        <w:rPr>
          <w:rFonts w:ascii="Times New Roman" w:cs="Times New Roman" w:eastAsia="Times New Roman" w:hAnsi="Times New Roman"/>
          <w:sz w:val="18"/>
          <w:szCs w:val="18"/>
          <w:color w:val="auto"/>
        </w:rPr>
        <w:t>With the exception of regulatory balancing accounts, we generally do not earn a return on our regulatory assets until a related cash expenditure has been made. Upon the occurrence of a cash expenditure associated with a regulatory asset, the related amounts are recoverable through a regulatory account mechanism for which we earn a return authorized by applicable regulators, which generally approximates the three-month commercial paper rate. The periods during which we recognize a regulatory asset while we do not earn a return vary by regulatory asset.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78105</wp:posOffset>
            </wp:positionV>
            <wp:extent cx="7132320" cy="3003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2320" cy="300355"/>
                    </a:xfrm>
                    <a:prstGeom prst="rect">
                      <a:avLst/>
                    </a:prstGeom>
                    <a:noFill/>
                  </pic:spPr>
                </pic:pic>
              </a:graphicData>
            </a:graphic>
          </wp:anchor>
        </w:drawing>
      </w:r>
    </w:p>
    <w:p>
      <w:pPr>
        <w:spacing w:after="0" w:line="116"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FFFFFF"/>
        </w:rPr>
        <w:t>REGULATORY ASSETS (LIABILITIES)</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3400" w:type="dxa"/>
            <w:vAlign w:val="bottom"/>
          </w:tcPr>
          <w:p>
            <w:pPr>
              <w:ind w:left="20"/>
              <w:spacing w:after="0"/>
              <w:rPr>
                <w:sz w:val="20"/>
                <w:szCs w:val="20"/>
                <w:color w:val="auto"/>
              </w:rPr>
            </w:pPr>
            <w:r>
              <w:rPr>
                <w:rFonts w:ascii="Arial" w:cs="Arial" w:eastAsia="Arial" w:hAnsi="Arial"/>
                <w:sz w:val="14"/>
                <w:szCs w:val="14"/>
                <w:i w:val="1"/>
                <w:iCs w:val="1"/>
                <w:color w:val="FFFFFF"/>
              </w:rPr>
              <w:t>(Dollars in millions)</w:t>
            </w: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shd w:val="clear" w:color="auto" w:fill="001689"/>
          </w:tcPr>
          <w:p>
            <w:pPr>
              <w:spacing w:after="0"/>
              <w:rPr>
                <w:sz w:val="18"/>
                <w:szCs w:val="18"/>
                <w:color w:val="auto"/>
              </w:rPr>
            </w:pPr>
          </w:p>
        </w:tc>
        <w:tc>
          <w:tcPr>
            <w:tcW w:w="200" w:type="dxa"/>
            <w:vAlign w:val="bottom"/>
            <w:shd w:val="clear" w:color="auto" w:fill="001689"/>
          </w:tcPr>
          <w:p>
            <w:pPr>
              <w:spacing w:after="0"/>
              <w:rPr>
                <w:sz w:val="18"/>
                <w:szCs w:val="18"/>
                <w:color w:val="auto"/>
              </w:rPr>
            </w:pPr>
          </w:p>
        </w:tc>
        <w:tc>
          <w:tcPr>
            <w:tcW w:w="1060" w:type="dxa"/>
            <w:vAlign w:val="bottom"/>
            <w:shd w:val="clear" w:color="auto" w:fill="001689"/>
          </w:tcPr>
          <w:p>
            <w:pPr>
              <w:spacing w:after="0"/>
              <w:rPr>
                <w:sz w:val="18"/>
                <w:szCs w:val="18"/>
                <w:color w:val="auto"/>
              </w:rPr>
            </w:pPr>
          </w:p>
        </w:tc>
        <w:tc>
          <w:tcPr>
            <w:tcW w:w="180" w:type="dxa"/>
            <w:vAlign w:val="bottom"/>
            <w:shd w:val="clear" w:color="auto" w:fill="001689"/>
          </w:tcPr>
          <w:p>
            <w:pPr>
              <w:spacing w:after="0"/>
              <w:rPr>
                <w:sz w:val="18"/>
                <w:szCs w:val="18"/>
                <w:color w:val="auto"/>
              </w:rPr>
            </w:pPr>
          </w:p>
        </w:tc>
        <w:tc>
          <w:tcPr>
            <w:tcW w:w="1100" w:type="dxa"/>
            <w:vAlign w:val="bottom"/>
            <w:shd w:val="clear" w:color="auto" w:fill="001689"/>
          </w:tcPr>
          <w:p>
            <w:pPr>
              <w:spacing w:after="0"/>
              <w:rPr>
                <w:sz w:val="18"/>
                <w:szCs w:val="18"/>
                <w:color w:val="auto"/>
              </w:rPr>
            </w:pPr>
          </w:p>
        </w:tc>
        <w:tc>
          <w:tcPr>
            <w:tcW w:w="100" w:type="dxa"/>
            <w:vAlign w:val="bottom"/>
            <w:shd w:val="clear" w:color="auto" w:fill="001689"/>
          </w:tcPr>
          <w:p>
            <w:pPr>
              <w:spacing w:after="0"/>
              <w:rPr>
                <w:sz w:val="18"/>
                <w:szCs w:val="18"/>
                <w:color w:val="auto"/>
              </w:rPr>
            </w:pPr>
          </w:p>
        </w:tc>
        <w:tc>
          <w:tcPr>
            <w:tcW w:w="200" w:type="dxa"/>
            <w:vAlign w:val="bottom"/>
            <w:shd w:val="clear" w:color="auto" w:fill="001689"/>
          </w:tcPr>
          <w:p>
            <w:pPr>
              <w:spacing w:after="0"/>
              <w:rPr>
                <w:sz w:val="18"/>
                <w:szCs w:val="18"/>
                <w:color w:val="auto"/>
              </w:rPr>
            </w:pPr>
          </w:p>
        </w:tc>
        <w:tc>
          <w:tcPr>
            <w:tcW w:w="1060" w:type="dxa"/>
            <w:vAlign w:val="bottom"/>
            <w:shd w:val="clear" w:color="auto" w:fill="001689"/>
          </w:tcPr>
          <w:p>
            <w:pPr>
              <w:spacing w:after="0"/>
              <w:rPr>
                <w:sz w:val="18"/>
                <w:szCs w:val="18"/>
                <w:color w:val="auto"/>
              </w:rPr>
            </w:pPr>
          </w:p>
        </w:tc>
        <w:tc>
          <w:tcPr>
            <w:tcW w:w="180" w:type="dxa"/>
            <w:vAlign w:val="bottom"/>
            <w:shd w:val="clear" w:color="auto" w:fill="001689"/>
          </w:tcPr>
          <w:p>
            <w:pPr>
              <w:spacing w:after="0"/>
              <w:rPr>
                <w:sz w:val="18"/>
                <w:szCs w:val="18"/>
                <w:color w:val="auto"/>
              </w:rPr>
            </w:pPr>
          </w:p>
        </w:tc>
        <w:tc>
          <w:tcPr>
            <w:tcW w:w="1100" w:type="dxa"/>
            <w:vAlign w:val="bottom"/>
            <w:shd w:val="clear" w:color="auto" w:fill="001689"/>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34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340" w:type="dxa"/>
            <w:vAlign w:val="bottom"/>
            <w:tcBorders>
              <w:bottom w:val="single" w:sz="8" w:color="auto"/>
            </w:tcBorders>
            <w:gridSpan w:val="3"/>
          </w:tcPr>
          <w:p>
            <w:pPr>
              <w:jc w:val="right"/>
              <w:ind w:right="920"/>
              <w:spacing w:after="0"/>
              <w:rPr>
                <w:sz w:val="20"/>
                <w:szCs w:val="20"/>
                <w:color w:val="auto"/>
              </w:rPr>
            </w:pPr>
            <w:r>
              <w:rPr>
                <w:rFonts w:ascii="Arial" w:cs="Arial" w:eastAsia="Arial" w:hAnsi="Arial"/>
                <w:sz w:val="14"/>
                <w:szCs w:val="14"/>
                <w:color w:val="auto"/>
              </w:rPr>
              <w:t>Sempra</w:t>
            </w:r>
          </w:p>
        </w:tc>
        <w:tc>
          <w:tcPr>
            <w:tcW w:w="1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340" w:type="dxa"/>
            <w:vAlign w:val="bottom"/>
            <w:tcBorders>
              <w:bottom w:val="single" w:sz="8" w:color="auto"/>
            </w:tcBorders>
            <w:gridSpan w:val="3"/>
          </w:tcPr>
          <w:p>
            <w:pPr>
              <w:jc w:val="right"/>
              <w:ind w:right="940"/>
              <w:spacing w:after="0"/>
              <w:rPr>
                <w:sz w:val="20"/>
                <w:szCs w:val="20"/>
                <w:color w:val="auto"/>
              </w:rPr>
            </w:pPr>
            <w:r>
              <w:rPr>
                <w:rFonts w:ascii="Arial" w:cs="Arial" w:eastAsia="Arial" w:hAnsi="Arial"/>
                <w:sz w:val="14"/>
                <w:szCs w:val="14"/>
                <w:color w:val="auto"/>
              </w:rPr>
              <w:t>SDG&amp;E</w:t>
            </w: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340" w:type="dxa"/>
            <w:vAlign w:val="bottom"/>
            <w:tcBorders>
              <w:bottom w:val="single" w:sz="8" w:color="auto"/>
            </w:tcBorders>
            <w:gridSpan w:val="3"/>
          </w:tcPr>
          <w:p>
            <w:pPr>
              <w:jc w:val="right"/>
              <w:ind w:right="860"/>
              <w:spacing w:after="0"/>
              <w:rPr>
                <w:sz w:val="20"/>
                <w:szCs w:val="20"/>
                <w:color w:val="auto"/>
              </w:rPr>
            </w:pPr>
            <w:r>
              <w:rPr>
                <w:rFonts w:ascii="Arial" w:cs="Arial" w:eastAsia="Arial" w:hAnsi="Arial"/>
                <w:sz w:val="14"/>
                <w:szCs w:val="14"/>
                <w:color w:val="auto"/>
              </w:rPr>
              <w:t>SoCalGas</w:t>
            </w:r>
          </w:p>
        </w:tc>
        <w:tc>
          <w:tcPr>
            <w:tcW w:w="0" w:type="dxa"/>
            <w:vAlign w:val="bottom"/>
          </w:tcPr>
          <w:p>
            <w:pPr>
              <w:spacing w:after="0"/>
              <w:rPr>
                <w:sz w:val="1"/>
                <w:szCs w:val="1"/>
                <w:color w:val="auto"/>
              </w:rPr>
            </w:pPr>
          </w:p>
        </w:tc>
      </w:tr>
      <w:tr>
        <w:trPr>
          <w:trHeight w:val="177"/>
        </w:trPr>
        <w:tc>
          <w:tcPr>
            <w:tcW w:w="34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60" w:type="dxa"/>
            <w:vAlign w:val="bottom"/>
          </w:tcPr>
          <w:p>
            <w:pPr>
              <w:jc w:val="right"/>
              <w:ind w:right="240"/>
              <w:spacing w:after="0"/>
              <w:rPr>
                <w:sz w:val="20"/>
                <w:szCs w:val="20"/>
                <w:color w:val="auto"/>
              </w:rPr>
            </w:pPr>
            <w:r>
              <w:rPr>
                <w:rFonts w:ascii="Arial" w:cs="Arial" w:eastAsia="Arial" w:hAnsi="Arial"/>
                <w:sz w:val="14"/>
                <w:szCs w:val="14"/>
                <w:color w:val="auto"/>
              </w:rPr>
              <w:t>March 31,</w:t>
            </w:r>
          </w:p>
        </w:tc>
        <w:tc>
          <w:tcPr>
            <w:tcW w:w="200" w:type="dxa"/>
            <w:vAlign w:val="bottom"/>
          </w:tcPr>
          <w:p>
            <w:pPr>
              <w:spacing w:after="0"/>
              <w:rPr>
                <w:sz w:val="15"/>
                <w:szCs w:val="15"/>
                <w:color w:val="auto"/>
              </w:rPr>
            </w:pPr>
          </w:p>
        </w:tc>
        <w:tc>
          <w:tcPr>
            <w:tcW w:w="1080" w:type="dxa"/>
            <w:vAlign w:val="bottom"/>
          </w:tcPr>
          <w:p>
            <w:pPr>
              <w:jc w:val="right"/>
              <w:ind w:right="80"/>
              <w:spacing w:after="0"/>
              <w:rPr>
                <w:sz w:val="20"/>
                <w:szCs w:val="20"/>
                <w:color w:val="auto"/>
              </w:rPr>
            </w:pPr>
            <w:r>
              <w:rPr>
                <w:rFonts w:ascii="Arial" w:cs="Arial" w:eastAsia="Arial" w:hAnsi="Arial"/>
                <w:sz w:val="14"/>
                <w:szCs w:val="14"/>
                <w:color w:val="auto"/>
              </w:rPr>
              <w:t>December 31,</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60" w:type="dxa"/>
            <w:vAlign w:val="bottom"/>
          </w:tcPr>
          <w:p>
            <w:pPr>
              <w:jc w:val="right"/>
              <w:ind w:right="260"/>
              <w:spacing w:after="0"/>
              <w:rPr>
                <w:sz w:val="20"/>
                <w:szCs w:val="20"/>
                <w:color w:val="auto"/>
              </w:rPr>
            </w:pPr>
            <w:r>
              <w:rPr>
                <w:rFonts w:ascii="Arial" w:cs="Arial" w:eastAsia="Arial" w:hAnsi="Arial"/>
                <w:sz w:val="14"/>
                <w:szCs w:val="14"/>
                <w:color w:val="auto"/>
              </w:rPr>
              <w:t>March 31,</w:t>
            </w:r>
          </w:p>
        </w:tc>
        <w:tc>
          <w:tcPr>
            <w:tcW w:w="180" w:type="dxa"/>
            <w:vAlign w:val="bottom"/>
          </w:tcPr>
          <w:p>
            <w:pPr>
              <w:spacing w:after="0"/>
              <w:rPr>
                <w:sz w:val="15"/>
                <w:szCs w:val="15"/>
                <w:color w:val="auto"/>
              </w:rPr>
            </w:pPr>
          </w:p>
        </w:tc>
        <w:tc>
          <w:tcPr>
            <w:tcW w:w="1200" w:type="dxa"/>
            <w:vAlign w:val="bottom"/>
            <w:gridSpan w:val="2"/>
          </w:tcPr>
          <w:p>
            <w:pPr>
              <w:ind w:left="20"/>
              <w:spacing w:after="0"/>
              <w:rPr>
                <w:sz w:val="20"/>
                <w:szCs w:val="20"/>
                <w:color w:val="auto"/>
              </w:rPr>
            </w:pPr>
            <w:r>
              <w:rPr>
                <w:rFonts w:ascii="Arial" w:cs="Arial" w:eastAsia="Arial" w:hAnsi="Arial"/>
                <w:sz w:val="14"/>
                <w:szCs w:val="14"/>
                <w:color w:val="auto"/>
              </w:rPr>
              <w:t>December 31,</w:t>
            </w:r>
          </w:p>
        </w:tc>
        <w:tc>
          <w:tcPr>
            <w:tcW w:w="200" w:type="dxa"/>
            <w:vAlign w:val="bottom"/>
          </w:tcPr>
          <w:p>
            <w:pPr>
              <w:spacing w:after="0"/>
              <w:rPr>
                <w:sz w:val="15"/>
                <w:szCs w:val="15"/>
                <w:color w:val="auto"/>
              </w:rPr>
            </w:pPr>
          </w:p>
        </w:tc>
        <w:tc>
          <w:tcPr>
            <w:tcW w:w="1060" w:type="dxa"/>
            <w:vAlign w:val="bottom"/>
          </w:tcPr>
          <w:p>
            <w:pPr>
              <w:jc w:val="right"/>
              <w:ind w:right="260"/>
              <w:spacing w:after="0"/>
              <w:rPr>
                <w:sz w:val="20"/>
                <w:szCs w:val="20"/>
                <w:color w:val="auto"/>
              </w:rPr>
            </w:pPr>
            <w:r>
              <w:rPr>
                <w:rFonts w:ascii="Arial" w:cs="Arial" w:eastAsia="Arial" w:hAnsi="Arial"/>
                <w:sz w:val="14"/>
                <w:szCs w:val="14"/>
                <w:color w:val="auto"/>
              </w:rPr>
              <w:t>March 31,</w:t>
            </w:r>
          </w:p>
        </w:tc>
        <w:tc>
          <w:tcPr>
            <w:tcW w:w="180" w:type="dxa"/>
            <w:vAlign w:val="bottom"/>
          </w:tcPr>
          <w:p>
            <w:pPr>
              <w:spacing w:after="0"/>
              <w:rPr>
                <w:sz w:val="15"/>
                <w:szCs w:val="15"/>
                <w:color w:val="auto"/>
              </w:rPr>
            </w:pPr>
          </w:p>
        </w:tc>
        <w:tc>
          <w:tcPr>
            <w:tcW w:w="1100" w:type="dxa"/>
            <w:vAlign w:val="bottom"/>
          </w:tcPr>
          <w:p>
            <w:pPr>
              <w:jc w:val="right"/>
              <w:ind w:right="80"/>
              <w:spacing w:after="0"/>
              <w:rPr>
                <w:sz w:val="20"/>
                <w:szCs w:val="20"/>
                <w:color w:val="auto"/>
              </w:rPr>
            </w:pPr>
            <w:r>
              <w:rPr>
                <w:rFonts w:ascii="Arial" w:cs="Arial" w:eastAsia="Arial" w:hAnsi="Arial"/>
                <w:sz w:val="14"/>
                <w:szCs w:val="14"/>
                <w:color w:val="auto"/>
              </w:rPr>
              <w:t>December 31,</w:t>
            </w:r>
          </w:p>
        </w:tc>
        <w:tc>
          <w:tcPr>
            <w:tcW w:w="0" w:type="dxa"/>
            <w:vAlign w:val="bottom"/>
          </w:tcPr>
          <w:p>
            <w:pPr>
              <w:spacing w:after="0"/>
              <w:rPr>
                <w:sz w:val="1"/>
                <w:szCs w:val="1"/>
                <w:color w:val="auto"/>
              </w:rPr>
            </w:pPr>
          </w:p>
        </w:tc>
      </w:tr>
      <w:tr>
        <w:trPr>
          <w:trHeight w:val="190"/>
        </w:trPr>
        <w:tc>
          <w:tcPr>
            <w:tcW w:w="34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tcPr>
          <w:p>
            <w:pPr>
              <w:jc w:val="right"/>
              <w:ind w:right="400"/>
              <w:spacing w:after="0"/>
              <w:rPr>
                <w:sz w:val="20"/>
                <w:szCs w:val="20"/>
                <w:color w:val="auto"/>
              </w:rPr>
            </w:pPr>
            <w:r>
              <w:rPr>
                <w:rFonts w:ascii="Arial" w:cs="Arial" w:eastAsia="Arial" w:hAnsi="Arial"/>
                <w:sz w:val="14"/>
                <w:szCs w:val="14"/>
                <w:color w:val="auto"/>
              </w:rPr>
              <w:t>2026</w:t>
            </w:r>
          </w:p>
        </w:tc>
        <w:tc>
          <w:tcPr>
            <w:tcW w:w="200" w:type="dxa"/>
            <w:vAlign w:val="bottom"/>
          </w:tcPr>
          <w:p>
            <w:pPr>
              <w:spacing w:after="0"/>
              <w:rPr>
                <w:sz w:val="16"/>
                <w:szCs w:val="16"/>
                <w:color w:val="auto"/>
              </w:rPr>
            </w:pPr>
          </w:p>
        </w:tc>
        <w:tc>
          <w:tcPr>
            <w:tcW w:w="1080" w:type="dxa"/>
            <w:vAlign w:val="bottom"/>
          </w:tcPr>
          <w:p>
            <w:pPr>
              <w:jc w:val="right"/>
              <w:ind w:right="360"/>
              <w:spacing w:after="0"/>
              <w:rPr>
                <w:sz w:val="20"/>
                <w:szCs w:val="20"/>
                <w:color w:val="auto"/>
              </w:rPr>
            </w:pPr>
            <w:r>
              <w:rPr>
                <w:rFonts w:ascii="Arial" w:cs="Arial" w:eastAsia="Arial" w:hAnsi="Arial"/>
                <w:sz w:val="14"/>
                <w:szCs w:val="14"/>
                <w:color w:val="auto"/>
              </w:rPr>
              <w:t>2025</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tcPr>
          <w:p>
            <w:pPr>
              <w:jc w:val="right"/>
              <w:ind w:right="420"/>
              <w:spacing w:after="0"/>
              <w:rPr>
                <w:sz w:val="20"/>
                <w:szCs w:val="20"/>
                <w:color w:val="auto"/>
              </w:rPr>
            </w:pPr>
            <w:r>
              <w:rPr>
                <w:rFonts w:ascii="Arial" w:cs="Arial" w:eastAsia="Arial" w:hAnsi="Arial"/>
                <w:sz w:val="14"/>
                <w:szCs w:val="14"/>
                <w:color w:val="auto"/>
              </w:rPr>
              <w:t>2026</w:t>
            </w:r>
          </w:p>
        </w:tc>
        <w:tc>
          <w:tcPr>
            <w:tcW w:w="180" w:type="dxa"/>
            <w:vAlign w:val="bottom"/>
          </w:tcPr>
          <w:p>
            <w:pPr>
              <w:spacing w:after="0"/>
              <w:rPr>
                <w:sz w:val="16"/>
                <w:szCs w:val="16"/>
                <w:color w:val="auto"/>
              </w:rPr>
            </w:pPr>
          </w:p>
        </w:tc>
        <w:tc>
          <w:tcPr>
            <w:tcW w:w="1100" w:type="dxa"/>
            <w:vAlign w:val="bottom"/>
          </w:tcPr>
          <w:p>
            <w:pPr>
              <w:jc w:val="right"/>
              <w:ind w:right="380"/>
              <w:spacing w:after="0"/>
              <w:rPr>
                <w:sz w:val="20"/>
                <w:szCs w:val="20"/>
                <w:color w:val="auto"/>
              </w:rPr>
            </w:pPr>
            <w:r>
              <w:rPr>
                <w:rFonts w:ascii="Arial" w:cs="Arial" w:eastAsia="Arial" w:hAnsi="Arial"/>
                <w:sz w:val="14"/>
                <w:szCs w:val="14"/>
                <w:color w:val="auto"/>
              </w:rPr>
              <w:t>2025</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tcPr>
          <w:p>
            <w:pPr>
              <w:jc w:val="right"/>
              <w:ind w:right="420"/>
              <w:spacing w:after="0"/>
              <w:rPr>
                <w:sz w:val="20"/>
                <w:szCs w:val="20"/>
                <w:color w:val="auto"/>
              </w:rPr>
            </w:pPr>
            <w:r>
              <w:rPr>
                <w:rFonts w:ascii="Arial" w:cs="Arial" w:eastAsia="Arial" w:hAnsi="Arial"/>
                <w:sz w:val="14"/>
                <w:szCs w:val="14"/>
                <w:color w:val="auto"/>
              </w:rPr>
              <w:t>2026</w:t>
            </w:r>
          </w:p>
        </w:tc>
        <w:tc>
          <w:tcPr>
            <w:tcW w:w="180" w:type="dxa"/>
            <w:vAlign w:val="bottom"/>
          </w:tcPr>
          <w:p>
            <w:pPr>
              <w:spacing w:after="0"/>
              <w:rPr>
                <w:sz w:val="16"/>
                <w:szCs w:val="16"/>
                <w:color w:val="auto"/>
              </w:rPr>
            </w:pPr>
          </w:p>
        </w:tc>
        <w:tc>
          <w:tcPr>
            <w:tcW w:w="1100" w:type="dxa"/>
            <w:vAlign w:val="bottom"/>
          </w:tcPr>
          <w:p>
            <w:pPr>
              <w:jc w:val="right"/>
              <w:ind w:right="380"/>
              <w:spacing w:after="0"/>
              <w:rPr>
                <w:sz w:val="20"/>
                <w:szCs w:val="20"/>
                <w:color w:val="auto"/>
              </w:rPr>
            </w:pPr>
            <w:r>
              <w:rPr>
                <w:rFonts w:ascii="Arial" w:cs="Arial" w:eastAsia="Arial" w:hAnsi="Arial"/>
                <w:sz w:val="14"/>
                <w:szCs w:val="14"/>
                <w:color w:val="auto"/>
              </w:rPr>
              <w:t>2025</w:t>
            </w:r>
          </w:p>
        </w:tc>
        <w:tc>
          <w:tcPr>
            <w:tcW w:w="0" w:type="dxa"/>
            <w:vAlign w:val="bottom"/>
          </w:tcPr>
          <w:p>
            <w:pPr>
              <w:spacing w:after="0"/>
              <w:rPr>
                <w:sz w:val="1"/>
                <w:szCs w:val="1"/>
                <w:color w:val="auto"/>
              </w:rPr>
            </w:pPr>
          </w:p>
        </w:tc>
      </w:tr>
      <w:tr>
        <w:trPr>
          <w:trHeight w:val="22"/>
        </w:trPr>
        <w:tc>
          <w:tcPr>
            <w:tcW w:w="34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5"/>
        </w:trPr>
        <w:tc>
          <w:tcPr>
            <w:tcW w:w="3400" w:type="dxa"/>
            <w:vAlign w:val="bottom"/>
            <w:shd w:val="clear" w:color="auto" w:fill="D4F1F5"/>
          </w:tcPr>
          <w:p>
            <w:pPr>
              <w:ind w:left="20"/>
              <w:spacing w:after="0" w:line="155" w:lineRule="exact"/>
              <w:rPr>
                <w:sz w:val="20"/>
                <w:szCs w:val="20"/>
                <w:color w:val="auto"/>
              </w:rPr>
            </w:pPr>
            <w:r>
              <w:rPr>
                <w:rFonts w:ascii="Arial" w:cs="Arial" w:eastAsia="Arial" w:hAnsi="Arial"/>
                <w:sz w:val="16"/>
                <w:szCs w:val="16"/>
                <w:color w:val="auto"/>
              </w:rPr>
              <w:t>Fixed-price contracts and other</w:t>
            </w:r>
          </w:p>
        </w:tc>
        <w:tc>
          <w:tcPr>
            <w:tcW w:w="200" w:type="dxa"/>
            <w:vAlign w:val="bottom"/>
            <w:vMerge w:val="restart"/>
            <w:shd w:val="clear" w:color="auto" w:fill="D4F1F5"/>
          </w:tcPr>
          <w:p>
            <w:pPr>
              <w:jc w:val="right"/>
              <w:spacing w:after="0"/>
              <w:rPr>
                <w:sz w:val="20"/>
                <w:szCs w:val="20"/>
                <w:color w:val="auto"/>
              </w:rPr>
            </w:pPr>
            <w:r>
              <w:rPr>
                <w:rFonts w:ascii="Arial" w:cs="Arial" w:eastAsia="Arial" w:hAnsi="Arial"/>
                <w:sz w:val="16"/>
                <w:szCs w:val="16"/>
                <w:color w:val="auto"/>
              </w:rPr>
              <w:t>$</w:t>
            </w:r>
          </w:p>
        </w:tc>
        <w:tc>
          <w:tcPr>
            <w:tcW w:w="1060" w:type="dxa"/>
            <w:vAlign w:val="bottom"/>
            <w:vMerge w:val="restart"/>
            <w:shd w:val="clear" w:color="auto" w:fill="D4F1F5"/>
          </w:tcPr>
          <w:p>
            <w:pPr>
              <w:jc w:val="right"/>
              <w:ind w:right="20"/>
              <w:spacing w:after="0"/>
              <w:rPr>
                <w:sz w:val="20"/>
                <w:szCs w:val="20"/>
                <w:color w:val="auto"/>
              </w:rPr>
            </w:pPr>
            <w:r>
              <w:rPr>
                <w:rFonts w:ascii="Arial" w:cs="Arial" w:eastAsia="Arial" w:hAnsi="Arial"/>
                <w:sz w:val="16"/>
                <w:szCs w:val="16"/>
                <w:color w:val="auto"/>
              </w:rPr>
              <w:t>21</w:t>
            </w:r>
          </w:p>
        </w:tc>
        <w:tc>
          <w:tcPr>
            <w:tcW w:w="200" w:type="dxa"/>
            <w:vAlign w:val="bottom"/>
            <w:vMerge w:val="restart"/>
            <w:shd w:val="clear" w:color="auto" w:fill="D4F1F5"/>
          </w:tcPr>
          <w:p>
            <w:pPr>
              <w:jc w:val="right"/>
              <w:spacing w:after="0"/>
              <w:rPr>
                <w:sz w:val="20"/>
                <w:szCs w:val="20"/>
                <w:color w:val="auto"/>
              </w:rPr>
            </w:pPr>
            <w:r>
              <w:rPr>
                <w:rFonts w:ascii="Arial" w:cs="Arial" w:eastAsia="Arial" w:hAnsi="Arial"/>
                <w:sz w:val="16"/>
                <w:szCs w:val="16"/>
                <w:color w:val="auto"/>
              </w:rPr>
              <w:t>$</w:t>
            </w:r>
          </w:p>
        </w:tc>
        <w:tc>
          <w:tcPr>
            <w:tcW w:w="1080" w:type="dxa"/>
            <w:vAlign w:val="bottom"/>
            <w:vMerge w:val="restart"/>
            <w:shd w:val="clear" w:color="auto" w:fill="D4F1F5"/>
          </w:tcPr>
          <w:p>
            <w:pPr>
              <w:jc w:val="right"/>
              <w:spacing w:after="0"/>
              <w:rPr>
                <w:sz w:val="20"/>
                <w:szCs w:val="20"/>
                <w:color w:val="auto"/>
              </w:rPr>
            </w:pPr>
            <w:r>
              <w:rPr>
                <w:rFonts w:ascii="Arial" w:cs="Arial" w:eastAsia="Arial" w:hAnsi="Arial"/>
                <w:sz w:val="16"/>
                <w:szCs w:val="16"/>
                <w:color w:val="auto"/>
              </w:rPr>
              <w:t>50</w:t>
            </w:r>
          </w:p>
        </w:tc>
        <w:tc>
          <w:tcPr>
            <w:tcW w:w="320" w:type="dxa"/>
            <w:vAlign w:val="bottom"/>
            <w:gridSpan w:val="2"/>
            <w:vMerge w:val="restart"/>
            <w:shd w:val="clear" w:color="auto" w:fill="D4F1F5"/>
          </w:tcPr>
          <w:p>
            <w:pPr>
              <w:jc w:val="right"/>
              <w:ind w:right="100"/>
              <w:spacing w:after="0"/>
              <w:rPr>
                <w:sz w:val="20"/>
                <w:szCs w:val="20"/>
                <w:color w:val="auto"/>
              </w:rPr>
            </w:pPr>
            <w:r>
              <w:rPr>
                <w:rFonts w:ascii="Arial" w:cs="Arial" w:eastAsia="Arial" w:hAnsi="Arial"/>
                <w:sz w:val="16"/>
                <w:szCs w:val="16"/>
                <w:color w:val="auto"/>
              </w:rPr>
              <w:t>$</w:t>
            </w:r>
          </w:p>
        </w:tc>
        <w:tc>
          <w:tcPr>
            <w:tcW w:w="1060" w:type="dxa"/>
            <w:vAlign w:val="bottom"/>
            <w:vMerge w:val="restart"/>
            <w:shd w:val="clear" w:color="auto" w:fill="D4F1F5"/>
          </w:tcPr>
          <w:p>
            <w:pPr>
              <w:jc w:val="right"/>
              <w:ind w:right="40"/>
              <w:spacing w:after="0"/>
              <w:rPr>
                <w:sz w:val="20"/>
                <w:szCs w:val="20"/>
                <w:color w:val="auto"/>
              </w:rPr>
            </w:pPr>
            <w:r>
              <w:rPr>
                <w:rFonts w:ascii="Arial" w:cs="Arial" w:eastAsia="Arial" w:hAnsi="Arial"/>
                <w:sz w:val="16"/>
                <w:szCs w:val="16"/>
                <w:color w:val="auto"/>
              </w:rPr>
              <w:t>6</w:t>
            </w:r>
          </w:p>
        </w:tc>
        <w:tc>
          <w:tcPr>
            <w:tcW w:w="180" w:type="dxa"/>
            <w:vAlign w:val="bottom"/>
            <w:vMerge w:val="restart"/>
            <w:shd w:val="clear" w:color="auto" w:fill="D4F1F5"/>
          </w:tcPr>
          <w:p>
            <w:pPr>
              <w:jc w:val="right"/>
              <w:spacing w:after="0"/>
              <w:rPr>
                <w:sz w:val="20"/>
                <w:szCs w:val="20"/>
                <w:color w:val="auto"/>
              </w:rPr>
            </w:pPr>
            <w:r>
              <w:rPr>
                <w:rFonts w:ascii="Arial" w:cs="Arial" w:eastAsia="Arial" w:hAnsi="Arial"/>
                <w:sz w:val="16"/>
                <w:szCs w:val="16"/>
                <w:color w:val="auto"/>
              </w:rPr>
              <w:t>$</w:t>
            </w:r>
          </w:p>
        </w:tc>
        <w:tc>
          <w:tcPr>
            <w:tcW w:w="1100" w:type="dxa"/>
            <w:vAlign w:val="bottom"/>
            <w:vMerge w:val="restart"/>
            <w:shd w:val="clear" w:color="auto" w:fill="D4F1F5"/>
          </w:tcPr>
          <w:p>
            <w:pPr>
              <w:jc w:val="right"/>
              <w:spacing w:after="0"/>
              <w:rPr>
                <w:sz w:val="20"/>
                <w:szCs w:val="20"/>
                <w:color w:val="auto"/>
              </w:rPr>
            </w:pPr>
            <w:r>
              <w:rPr>
                <w:rFonts w:ascii="Arial" w:cs="Arial" w:eastAsia="Arial" w:hAnsi="Arial"/>
                <w:sz w:val="16"/>
                <w:szCs w:val="16"/>
                <w:color w:val="auto"/>
              </w:rPr>
              <w:t>7</w:t>
            </w:r>
          </w:p>
        </w:tc>
        <w:tc>
          <w:tcPr>
            <w:tcW w:w="100" w:type="dxa"/>
            <w:vAlign w:val="bottom"/>
            <w:shd w:val="clear" w:color="auto" w:fill="D4F1F5"/>
          </w:tcPr>
          <w:p>
            <w:pPr>
              <w:spacing w:after="0"/>
              <w:rPr>
                <w:sz w:val="13"/>
                <w:szCs w:val="13"/>
                <w:color w:val="auto"/>
              </w:rPr>
            </w:pPr>
          </w:p>
        </w:tc>
        <w:tc>
          <w:tcPr>
            <w:tcW w:w="200" w:type="dxa"/>
            <w:vAlign w:val="bottom"/>
            <w:vMerge w:val="restart"/>
            <w:shd w:val="clear" w:color="auto" w:fill="D4F1F5"/>
          </w:tcPr>
          <w:p>
            <w:pPr>
              <w:jc w:val="right"/>
              <w:spacing w:after="0"/>
              <w:rPr>
                <w:sz w:val="20"/>
                <w:szCs w:val="20"/>
                <w:color w:val="auto"/>
              </w:rPr>
            </w:pPr>
            <w:r>
              <w:rPr>
                <w:rFonts w:ascii="Arial" w:cs="Arial" w:eastAsia="Arial" w:hAnsi="Arial"/>
                <w:sz w:val="16"/>
                <w:szCs w:val="16"/>
                <w:color w:val="auto"/>
              </w:rPr>
              <w:t>$</w:t>
            </w:r>
          </w:p>
        </w:tc>
        <w:tc>
          <w:tcPr>
            <w:tcW w:w="1060" w:type="dxa"/>
            <w:vAlign w:val="bottom"/>
            <w:vMerge w:val="restart"/>
            <w:shd w:val="clear" w:color="auto" w:fill="D4F1F5"/>
          </w:tcPr>
          <w:p>
            <w:pPr>
              <w:jc w:val="right"/>
              <w:ind w:right="40"/>
              <w:spacing w:after="0"/>
              <w:rPr>
                <w:sz w:val="20"/>
                <w:szCs w:val="20"/>
                <w:color w:val="auto"/>
              </w:rPr>
            </w:pPr>
            <w:r>
              <w:rPr>
                <w:rFonts w:ascii="Arial" w:cs="Arial" w:eastAsia="Arial" w:hAnsi="Arial"/>
                <w:sz w:val="16"/>
                <w:szCs w:val="16"/>
                <w:color w:val="auto"/>
              </w:rPr>
              <w:t>15</w:t>
            </w:r>
          </w:p>
        </w:tc>
        <w:tc>
          <w:tcPr>
            <w:tcW w:w="180" w:type="dxa"/>
            <w:vAlign w:val="bottom"/>
            <w:vMerge w:val="restart"/>
            <w:shd w:val="clear" w:color="auto" w:fill="D4F1F5"/>
          </w:tcPr>
          <w:p>
            <w:pPr>
              <w:jc w:val="right"/>
              <w:spacing w:after="0"/>
              <w:rPr>
                <w:sz w:val="20"/>
                <w:szCs w:val="20"/>
                <w:color w:val="auto"/>
              </w:rPr>
            </w:pPr>
            <w:r>
              <w:rPr>
                <w:rFonts w:ascii="Arial" w:cs="Arial" w:eastAsia="Arial" w:hAnsi="Arial"/>
                <w:sz w:val="16"/>
                <w:szCs w:val="16"/>
                <w:color w:val="auto"/>
              </w:rPr>
              <w:t>$</w:t>
            </w:r>
          </w:p>
        </w:tc>
        <w:tc>
          <w:tcPr>
            <w:tcW w:w="1100" w:type="dxa"/>
            <w:vAlign w:val="bottom"/>
            <w:vMerge w:val="restart"/>
            <w:shd w:val="clear" w:color="auto" w:fill="D4F1F5"/>
          </w:tcPr>
          <w:p>
            <w:pPr>
              <w:jc w:val="right"/>
              <w:spacing w:after="0"/>
              <w:rPr>
                <w:sz w:val="20"/>
                <w:szCs w:val="20"/>
                <w:color w:val="auto"/>
              </w:rPr>
            </w:pPr>
            <w:r>
              <w:rPr>
                <w:rFonts w:ascii="Arial" w:cs="Arial" w:eastAsia="Arial" w:hAnsi="Arial"/>
                <w:sz w:val="16"/>
                <w:szCs w:val="16"/>
                <w:color w:val="auto"/>
              </w:rPr>
              <w:t>43</w:t>
            </w:r>
          </w:p>
        </w:tc>
        <w:tc>
          <w:tcPr>
            <w:tcW w:w="0" w:type="dxa"/>
            <w:vAlign w:val="bottom"/>
          </w:tcPr>
          <w:p>
            <w:pPr>
              <w:spacing w:after="0"/>
              <w:rPr>
                <w:sz w:val="1"/>
                <w:szCs w:val="1"/>
                <w:color w:val="auto"/>
              </w:rPr>
            </w:pPr>
          </w:p>
        </w:tc>
      </w:tr>
      <w:tr>
        <w:trPr>
          <w:trHeight w:val="216"/>
        </w:trPr>
        <w:tc>
          <w:tcPr>
            <w:tcW w:w="3400" w:type="dxa"/>
            <w:vAlign w:val="bottom"/>
            <w:shd w:val="clear" w:color="auto" w:fill="D4F1F5"/>
          </w:tcPr>
          <w:p>
            <w:pPr>
              <w:ind w:left="140"/>
              <w:spacing w:after="0"/>
              <w:rPr>
                <w:sz w:val="20"/>
                <w:szCs w:val="20"/>
                <w:color w:val="auto"/>
              </w:rPr>
            </w:pPr>
            <w:r>
              <w:rPr>
                <w:rFonts w:ascii="Arial" w:cs="Arial" w:eastAsia="Arial" w:hAnsi="Arial"/>
                <w:sz w:val="16"/>
                <w:szCs w:val="16"/>
                <w:color w:val="auto"/>
              </w:rPr>
              <w:t>derivatives</w:t>
            </w:r>
          </w:p>
        </w:tc>
        <w:tc>
          <w:tcPr>
            <w:tcW w:w="200" w:type="dxa"/>
            <w:vAlign w:val="bottom"/>
            <w:vMerge w:val="continue"/>
            <w:shd w:val="clear" w:color="auto" w:fill="D4F1F5"/>
          </w:tcPr>
          <w:p>
            <w:pPr>
              <w:spacing w:after="0"/>
              <w:rPr>
                <w:sz w:val="18"/>
                <w:szCs w:val="18"/>
                <w:color w:val="auto"/>
              </w:rPr>
            </w:pPr>
          </w:p>
        </w:tc>
        <w:tc>
          <w:tcPr>
            <w:tcW w:w="1060" w:type="dxa"/>
            <w:vAlign w:val="bottom"/>
            <w:vMerge w:val="continue"/>
            <w:shd w:val="clear" w:color="auto" w:fill="D4F1F5"/>
          </w:tcPr>
          <w:p>
            <w:pPr>
              <w:spacing w:after="0"/>
              <w:rPr>
                <w:sz w:val="18"/>
                <w:szCs w:val="18"/>
                <w:color w:val="auto"/>
              </w:rPr>
            </w:pPr>
          </w:p>
        </w:tc>
        <w:tc>
          <w:tcPr>
            <w:tcW w:w="200" w:type="dxa"/>
            <w:vAlign w:val="bottom"/>
            <w:vMerge w:val="continue"/>
            <w:shd w:val="clear" w:color="auto" w:fill="D4F1F5"/>
          </w:tcPr>
          <w:p>
            <w:pPr>
              <w:spacing w:after="0"/>
              <w:rPr>
                <w:sz w:val="18"/>
                <w:szCs w:val="18"/>
                <w:color w:val="auto"/>
              </w:rPr>
            </w:pPr>
          </w:p>
        </w:tc>
        <w:tc>
          <w:tcPr>
            <w:tcW w:w="1080" w:type="dxa"/>
            <w:vAlign w:val="bottom"/>
            <w:vMerge w:val="continue"/>
            <w:shd w:val="clear" w:color="auto" w:fill="D4F1F5"/>
          </w:tcPr>
          <w:p>
            <w:pPr>
              <w:spacing w:after="0"/>
              <w:rPr>
                <w:sz w:val="18"/>
                <w:szCs w:val="18"/>
                <w:color w:val="auto"/>
              </w:rPr>
            </w:pPr>
          </w:p>
        </w:tc>
        <w:tc>
          <w:tcPr>
            <w:tcW w:w="320" w:type="dxa"/>
            <w:vAlign w:val="bottom"/>
            <w:gridSpan w:val="2"/>
            <w:vMerge w:val="continue"/>
            <w:shd w:val="clear" w:color="auto" w:fill="D4F1F5"/>
          </w:tcPr>
          <w:p>
            <w:pPr>
              <w:spacing w:after="0"/>
              <w:rPr>
                <w:sz w:val="18"/>
                <w:szCs w:val="18"/>
                <w:color w:val="auto"/>
              </w:rPr>
            </w:pPr>
          </w:p>
        </w:tc>
        <w:tc>
          <w:tcPr>
            <w:tcW w:w="1060" w:type="dxa"/>
            <w:vAlign w:val="bottom"/>
            <w:vMerge w:val="continue"/>
            <w:shd w:val="clear" w:color="auto" w:fill="D4F1F5"/>
          </w:tcPr>
          <w:p>
            <w:pPr>
              <w:spacing w:after="0"/>
              <w:rPr>
                <w:sz w:val="18"/>
                <w:szCs w:val="18"/>
                <w:color w:val="auto"/>
              </w:rPr>
            </w:pPr>
          </w:p>
        </w:tc>
        <w:tc>
          <w:tcPr>
            <w:tcW w:w="180" w:type="dxa"/>
            <w:vAlign w:val="bottom"/>
            <w:vMerge w:val="continue"/>
            <w:shd w:val="clear" w:color="auto" w:fill="D4F1F5"/>
          </w:tcPr>
          <w:p>
            <w:pPr>
              <w:spacing w:after="0"/>
              <w:rPr>
                <w:sz w:val="18"/>
                <w:szCs w:val="18"/>
                <w:color w:val="auto"/>
              </w:rPr>
            </w:pPr>
          </w:p>
        </w:tc>
        <w:tc>
          <w:tcPr>
            <w:tcW w:w="1100" w:type="dxa"/>
            <w:vAlign w:val="bottom"/>
            <w:vMerge w:val="continue"/>
            <w:shd w:val="clear" w:color="auto" w:fill="D4F1F5"/>
          </w:tcPr>
          <w:p>
            <w:pPr>
              <w:spacing w:after="0"/>
              <w:rPr>
                <w:sz w:val="18"/>
                <w:szCs w:val="18"/>
                <w:color w:val="auto"/>
              </w:rPr>
            </w:pPr>
          </w:p>
        </w:tc>
        <w:tc>
          <w:tcPr>
            <w:tcW w:w="100" w:type="dxa"/>
            <w:vAlign w:val="bottom"/>
            <w:shd w:val="clear" w:color="auto" w:fill="D4F1F5"/>
          </w:tcPr>
          <w:p>
            <w:pPr>
              <w:spacing w:after="0"/>
              <w:rPr>
                <w:sz w:val="18"/>
                <w:szCs w:val="18"/>
                <w:color w:val="auto"/>
              </w:rPr>
            </w:pPr>
          </w:p>
        </w:tc>
        <w:tc>
          <w:tcPr>
            <w:tcW w:w="200" w:type="dxa"/>
            <w:vAlign w:val="bottom"/>
            <w:vMerge w:val="continue"/>
            <w:shd w:val="clear" w:color="auto" w:fill="D4F1F5"/>
          </w:tcPr>
          <w:p>
            <w:pPr>
              <w:spacing w:after="0"/>
              <w:rPr>
                <w:sz w:val="18"/>
                <w:szCs w:val="18"/>
                <w:color w:val="auto"/>
              </w:rPr>
            </w:pPr>
          </w:p>
        </w:tc>
        <w:tc>
          <w:tcPr>
            <w:tcW w:w="1060" w:type="dxa"/>
            <w:vAlign w:val="bottom"/>
            <w:vMerge w:val="continue"/>
            <w:shd w:val="clear" w:color="auto" w:fill="D4F1F5"/>
          </w:tcPr>
          <w:p>
            <w:pPr>
              <w:spacing w:after="0"/>
              <w:rPr>
                <w:sz w:val="18"/>
                <w:szCs w:val="18"/>
                <w:color w:val="auto"/>
              </w:rPr>
            </w:pPr>
          </w:p>
        </w:tc>
        <w:tc>
          <w:tcPr>
            <w:tcW w:w="180" w:type="dxa"/>
            <w:vAlign w:val="bottom"/>
            <w:vMerge w:val="continue"/>
            <w:shd w:val="clear" w:color="auto" w:fill="D4F1F5"/>
          </w:tcPr>
          <w:p>
            <w:pPr>
              <w:spacing w:after="0"/>
              <w:rPr>
                <w:sz w:val="18"/>
                <w:szCs w:val="18"/>
                <w:color w:val="auto"/>
              </w:rPr>
            </w:pPr>
          </w:p>
        </w:tc>
        <w:tc>
          <w:tcPr>
            <w:tcW w:w="1100" w:type="dxa"/>
            <w:vAlign w:val="bottom"/>
            <w:vMerge w:val="continue"/>
            <w:shd w:val="clear" w:color="auto" w:fill="D4F1F5"/>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0" w:type="dxa"/>
            <w:vAlign w:val="bottom"/>
          </w:tcPr>
          <w:p>
            <w:pPr>
              <w:ind w:left="20"/>
              <w:spacing w:after="0" w:line="216" w:lineRule="exact"/>
              <w:rPr>
                <w:sz w:val="20"/>
                <w:szCs w:val="20"/>
                <w:color w:val="auto"/>
              </w:rPr>
            </w:pPr>
            <w:r>
              <w:rPr>
                <w:rFonts w:ascii="Arial" w:cs="Arial" w:eastAsia="Arial" w:hAnsi="Arial"/>
                <w:sz w:val="16"/>
                <w:szCs w:val="16"/>
                <w:color w:val="auto"/>
              </w:rPr>
              <w:t>Deferred income taxes recoverable in rates</w:t>
            </w:r>
            <w:r>
              <w:rPr>
                <w:rFonts w:ascii="Arial" w:cs="Arial" w:eastAsia="Arial" w:hAnsi="Arial"/>
                <w:sz w:val="21"/>
                <w:szCs w:val="21"/>
                <w:color w:val="auto"/>
                <w:vertAlign w:val="superscript"/>
              </w:rPr>
              <w:t>(1)</w:t>
            </w:r>
          </w:p>
        </w:tc>
        <w:tc>
          <w:tcPr>
            <w:tcW w:w="200" w:type="dxa"/>
            <w:vAlign w:val="bottom"/>
          </w:tcPr>
          <w:p>
            <w:pPr>
              <w:spacing w:after="0"/>
              <w:rPr>
                <w:sz w:val="18"/>
                <w:szCs w:val="18"/>
                <w:color w:val="auto"/>
              </w:rPr>
            </w:pPr>
          </w:p>
        </w:tc>
        <w:tc>
          <w:tcPr>
            <w:tcW w:w="1060" w:type="dxa"/>
            <w:vAlign w:val="bottom"/>
          </w:tcPr>
          <w:p>
            <w:pPr>
              <w:jc w:val="right"/>
              <w:ind w:right="20"/>
              <w:spacing w:after="0"/>
              <w:rPr>
                <w:sz w:val="20"/>
                <w:szCs w:val="20"/>
                <w:color w:val="auto"/>
              </w:rPr>
            </w:pPr>
            <w:r>
              <w:rPr>
                <w:rFonts w:ascii="Arial" w:cs="Arial" w:eastAsia="Arial" w:hAnsi="Arial"/>
                <w:sz w:val="16"/>
                <w:szCs w:val="16"/>
                <w:color w:val="auto"/>
              </w:rPr>
              <w:t>2,503</w:t>
            </w:r>
          </w:p>
        </w:tc>
        <w:tc>
          <w:tcPr>
            <w:tcW w:w="2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2,314</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jc w:val="right"/>
              <w:ind w:right="40"/>
              <w:spacing w:after="0"/>
              <w:rPr>
                <w:sz w:val="20"/>
                <w:szCs w:val="20"/>
                <w:color w:val="auto"/>
              </w:rPr>
            </w:pPr>
            <w:r>
              <w:rPr>
                <w:rFonts w:ascii="Arial" w:cs="Arial" w:eastAsia="Arial" w:hAnsi="Arial"/>
                <w:sz w:val="16"/>
                <w:szCs w:val="16"/>
                <w:color w:val="auto"/>
              </w:rPr>
              <w:t>1,134</w:t>
            </w:r>
          </w:p>
        </w:tc>
        <w:tc>
          <w:tcPr>
            <w:tcW w:w="1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1,098</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jc w:val="right"/>
              <w:ind w:right="40"/>
              <w:spacing w:after="0"/>
              <w:rPr>
                <w:sz w:val="20"/>
                <w:szCs w:val="20"/>
                <w:color w:val="auto"/>
              </w:rPr>
            </w:pPr>
            <w:r>
              <w:rPr>
                <w:rFonts w:ascii="Arial" w:cs="Arial" w:eastAsia="Arial" w:hAnsi="Arial"/>
                <w:sz w:val="16"/>
                <w:szCs w:val="16"/>
                <w:color w:val="auto"/>
              </w:rPr>
              <w:t>1,334</w:t>
            </w:r>
          </w:p>
        </w:tc>
        <w:tc>
          <w:tcPr>
            <w:tcW w:w="1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1,189</w:t>
            </w:r>
          </w:p>
        </w:tc>
        <w:tc>
          <w:tcPr>
            <w:tcW w:w="0" w:type="dxa"/>
            <w:vAlign w:val="bottom"/>
          </w:tcPr>
          <w:p>
            <w:pPr>
              <w:spacing w:after="0"/>
              <w:rPr>
                <w:sz w:val="1"/>
                <w:szCs w:val="1"/>
                <w:color w:val="auto"/>
              </w:rPr>
            </w:pPr>
          </w:p>
        </w:tc>
      </w:tr>
      <w:tr>
        <w:trPr>
          <w:trHeight w:val="216"/>
        </w:trPr>
        <w:tc>
          <w:tcPr>
            <w:tcW w:w="3400" w:type="dxa"/>
            <w:vAlign w:val="bottom"/>
            <w:shd w:val="clear" w:color="auto" w:fill="D4F1F5"/>
          </w:tcPr>
          <w:p>
            <w:pPr>
              <w:ind w:left="20"/>
              <w:spacing w:after="0"/>
              <w:rPr>
                <w:sz w:val="20"/>
                <w:szCs w:val="20"/>
                <w:color w:val="auto"/>
              </w:rPr>
            </w:pPr>
            <w:r>
              <w:rPr>
                <w:rFonts w:ascii="Arial" w:cs="Arial" w:eastAsia="Arial" w:hAnsi="Arial"/>
                <w:sz w:val="16"/>
                <w:szCs w:val="16"/>
                <w:color w:val="auto"/>
              </w:rPr>
              <w:t>Pension and PBOP plan obligations</w:t>
            </w:r>
          </w:p>
        </w:tc>
        <w:tc>
          <w:tcPr>
            <w:tcW w:w="200" w:type="dxa"/>
            <w:vAlign w:val="bottom"/>
            <w:shd w:val="clear" w:color="auto" w:fill="D4F1F5"/>
          </w:tcPr>
          <w:p>
            <w:pPr>
              <w:spacing w:after="0"/>
              <w:rPr>
                <w:sz w:val="18"/>
                <w:szCs w:val="18"/>
                <w:color w:val="auto"/>
              </w:rPr>
            </w:pPr>
          </w:p>
        </w:tc>
        <w:tc>
          <w:tcPr>
            <w:tcW w:w="1060" w:type="dxa"/>
            <w:vAlign w:val="bottom"/>
            <w:shd w:val="clear" w:color="auto" w:fill="D4F1F5"/>
          </w:tcPr>
          <w:p>
            <w:pPr>
              <w:jc w:val="right"/>
              <w:spacing w:after="0"/>
              <w:rPr>
                <w:sz w:val="20"/>
                <w:szCs w:val="20"/>
                <w:color w:val="auto"/>
              </w:rPr>
            </w:pPr>
            <w:r>
              <w:rPr>
                <w:rFonts w:ascii="Arial" w:cs="Arial" w:eastAsia="Arial" w:hAnsi="Arial"/>
                <w:sz w:val="16"/>
                <w:szCs w:val="16"/>
                <w:color w:val="auto"/>
              </w:rPr>
              <w:t>(570)</w:t>
            </w:r>
          </w:p>
        </w:tc>
        <w:tc>
          <w:tcPr>
            <w:tcW w:w="200" w:type="dxa"/>
            <w:vAlign w:val="bottom"/>
            <w:shd w:val="clear" w:color="auto" w:fill="D4F1F5"/>
          </w:tcPr>
          <w:p>
            <w:pPr>
              <w:spacing w:after="0"/>
              <w:rPr>
                <w:sz w:val="18"/>
                <w:szCs w:val="18"/>
                <w:color w:val="auto"/>
              </w:rPr>
            </w:pPr>
          </w:p>
        </w:tc>
        <w:tc>
          <w:tcPr>
            <w:tcW w:w="1080" w:type="dxa"/>
            <w:vAlign w:val="bottom"/>
            <w:shd w:val="clear" w:color="auto" w:fill="D4F1F5"/>
          </w:tcPr>
          <w:p>
            <w:pPr>
              <w:jc w:val="right"/>
              <w:spacing w:after="0"/>
              <w:rPr>
                <w:sz w:val="20"/>
                <w:szCs w:val="20"/>
                <w:color w:val="auto"/>
              </w:rPr>
            </w:pPr>
            <w:r>
              <w:rPr>
                <w:rFonts w:ascii="Arial" w:cs="Arial" w:eastAsia="Arial" w:hAnsi="Arial"/>
                <w:sz w:val="16"/>
                <w:szCs w:val="16"/>
                <w:color w:val="auto"/>
              </w:rPr>
              <w:t>(610)</w:t>
            </w:r>
          </w:p>
        </w:tc>
        <w:tc>
          <w:tcPr>
            <w:tcW w:w="120" w:type="dxa"/>
            <w:vAlign w:val="bottom"/>
            <w:shd w:val="clear" w:color="auto" w:fill="D4F1F5"/>
          </w:tcPr>
          <w:p>
            <w:pPr>
              <w:spacing w:after="0"/>
              <w:rPr>
                <w:sz w:val="18"/>
                <w:szCs w:val="18"/>
                <w:color w:val="auto"/>
              </w:rPr>
            </w:pPr>
          </w:p>
        </w:tc>
        <w:tc>
          <w:tcPr>
            <w:tcW w:w="200" w:type="dxa"/>
            <w:vAlign w:val="bottom"/>
            <w:shd w:val="clear" w:color="auto" w:fill="D4F1F5"/>
          </w:tcPr>
          <w:p>
            <w:pPr>
              <w:spacing w:after="0"/>
              <w:rPr>
                <w:sz w:val="18"/>
                <w:szCs w:val="18"/>
                <w:color w:val="auto"/>
              </w:rPr>
            </w:pPr>
          </w:p>
        </w:tc>
        <w:tc>
          <w:tcPr>
            <w:tcW w:w="1060" w:type="dxa"/>
            <w:vAlign w:val="bottom"/>
            <w:shd w:val="clear" w:color="auto" w:fill="D4F1F5"/>
          </w:tcPr>
          <w:p>
            <w:pPr>
              <w:jc w:val="right"/>
              <w:ind w:right="40"/>
              <w:spacing w:after="0"/>
              <w:rPr>
                <w:sz w:val="20"/>
                <w:szCs w:val="20"/>
                <w:color w:val="auto"/>
              </w:rPr>
            </w:pPr>
            <w:r>
              <w:rPr>
                <w:rFonts w:ascii="Arial" w:cs="Arial" w:eastAsia="Arial" w:hAnsi="Arial"/>
                <w:sz w:val="16"/>
                <w:szCs w:val="16"/>
                <w:color w:val="auto"/>
              </w:rPr>
              <w:t>15</w:t>
            </w:r>
          </w:p>
        </w:tc>
        <w:tc>
          <w:tcPr>
            <w:tcW w:w="180" w:type="dxa"/>
            <w:vAlign w:val="bottom"/>
            <w:shd w:val="clear" w:color="auto" w:fill="D4F1F5"/>
          </w:tcPr>
          <w:p>
            <w:pPr>
              <w:spacing w:after="0"/>
              <w:rPr>
                <w:sz w:val="18"/>
                <w:szCs w:val="18"/>
                <w:color w:val="auto"/>
              </w:rPr>
            </w:pPr>
          </w:p>
        </w:tc>
        <w:tc>
          <w:tcPr>
            <w:tcW w:w="1100" w:type="dxa"/>
            <w:vAlign w:val="bottom"/>
            <w:shd w:val="clear" w:color="auto" w:fill="D4F1F5"/>
          </w:tcPr>
          <w:p>
            <w:pPr>
              <w:jc w:val="right"/>
              <w:spacing w:after="0"/>
              <w:rPr>
                <w:sz w:val="20"/>
                <w:szCs w:val="20"/>
                <w:color w:val="auto"/>
              </w:rPr>
            </w:pPr>
            <w:r>
              <w:rPr>
                <w:rFonts w:ascii="Arial" w:cs="Arial" w:eastAsia="Arial" w:hAnsi="Arial"/>
                <w:sz w:val="16"/>
                <w:szCs w:val="16"/>
                <w:color w:val="auto"/>
              </w:rPr>
              <w:t>(1)</w:t>
            </w:r>
          </w:p>
        </w:tc>
        <w:tc>
          <w:tcPr>
            <w:tcW w:w="100" w:type="dxa"/>
            <w:vAlign w:val="bottom"/>
            <w:shd w:val="clear" w:color="auto" w:fill="D4F1F5"/>
          </w:tcPr>
          <w:p>
            <w:pPr>
              <w:spacing w:after="0"/>
              <w:rPr>
                <w:sz w:val="18"/>
                <w:szCs w:val="18"/>
                <w:color w:val="auto"/>
              </w:rPr>
            </w:pPr>
          </w:p>
        </w:tc>
        <w:tc>
          <w:tcPr>
            <w:tcW w:w="200" w:type="dxa"/>
            <w:vAlign w:val="bottom"/>
            <w:shd w:val="clear" w:color="auto" w:fill="D4F1F5"/>
          </w:tcPr>
          <w:p>
            <w:pPr>
              <w:spacing w:after="0"/>
              <w:rPr>
                <w:sz w:val="18"/>
                <w:szCs w:val="18"/>
                <w:color w:val="auto"/>
              </w:rPr>
            </w:pPr>
          </w:p>
        </w:tc>
        <w:tc>
          <w:tcPr>
            <w:tcW w:w="1060" w:type="dxa"/>
            <w:vAlign w:val="bottom"/>
            <w:shd w:val="clear" w:color="auto" w:fill="D4F1F5"/>
          </w:tcPr>
          <w:p>
            <w:pPr>
              <w:jc w:val="right"/>
              <w:spacing w:after="0"/>
              <w:rPr>
                <w:sz w:val="20"/>
                <w:szCs w:val="20"/>
                <w:color w:val="auto"/>
              </w:rPr>
            </w:pPr>
            <w:r>
              <w:rPr>
                <w:rFonts w:ascii="Arial" w:cs="Arial" w:eastAsia="Arial" w:hAnsi="Arial"/>
                <w:sz w:val="16"/>
                <w:szCs w:val="16"/>
                <w:color w:val="auto"/>
              </w:rPr>
              <w:t>(585)</w:t>
            </w:r>
          </w:p>
        </w:tc>
        <w:tc>
          <w:tcPr>
            <w:tcW w:w="180" w:type="dxa"/>
            <w:vAlign w:val="bottom"/>
            <w:shd w:val="clear" w:color="auto" w:fill="D4F1F5"/>
          </w:tcPr>
          <w:p>
            <w:pPr>
              <w:spacing w:after="0"/>
              <w:rPr>
                <w:sz w:val="18"/>
                <w:szCs w:val="18"/>
                <w:color w:val="auto"/>
              </w:rPr>
            </w:pPr>
          </w:p>
        </w:tc>
        <w:tc>
          <w:tcPr>
            <w:tcW w:w="1100" w:type="dxa"/>
            <w:vAlign w:val="bottom"/>
            <w:shd w:val="clear" w:color="auto" w:fill="D4F1F5"/>
          </w:tcPr>
          <w:p>
            <w:pPr>
              <w:jc w:val="right"/>
              <w:spacing w:after="0"/>
              <w:rPr>
                <w:sz w:val="20"/>
                <w:szCs w:val="20"/>
                <w:color w:val="auto"/>
              </w:rPr>
            </w:pPr>
            <w:r>
              <w:rPr>
                <w:rFonts w:ascii="Arial" w:cs="Arial" w:eastAsia="Arial" w:hAnsi="Arial"/>
                <w:sz w:val="16"/>
                <w:szCs w:val="16"/>
                <w:color w:val="auto"/>
              </w:rPr>
              <w:t>(609)</w:t>
            </w:r>
          </w:p>
        </w:tc>
        <w:tc>
          <w:tcPr>
            <w:tcW w:w="0" w:type="dxa"/>
            <w:vAlign w:val="bottom"/>
          </w:tcPr>
          <w:p>
            <w:pPr>
              <w:spacing w:after="0"/>
              <w:rPr>
                <w:sz w:val="1"/>
                <w:szCs w:val="1"/>
                <w:color w:val="auto"/>
              </w:rPr>
            </w:pPr>
          </w:p>
        </w:tc>
      </w:tr>
      <w:tr>
        <w:trPr>
          <w:trHeight w:val="215"/>
        </w:trPr>
        <w:tc>
          <w:tcPr>
            <w:tcW w:w="3400" w:type="dxa"/>
            <w:vAlign w:val="bottom"/>
          </w:tcPr>
          <w:p>
            <w:pPr>
              <w:ind w:left="20"/>
              <w:spacing w:after="0"/>
              <w:rPr>
                <w:sz w:val="20"/>
                <w:szCs w:val="20"/>
                <w:color w:val="auto"/>
              </w:rPr>
            </w:pPr>
            <w:r>
              <w:rPr>
                <w:rFonts w:ascii="Arial" w:cs="Arial" w:eastAsia="Arial" w:hAnsi="Arial"/>
                <w:sz w:val="16"/>
                <w:szCs w:val="16"/>
                <w:color w:val="auto"/>
              </w:rPr>
              <w:t>Employee benefit costs</w:t>
            </w:r>
          </w:p>
        </w:tc>
        <w:tc>
          <w:tcPr>
            <w:tcW w:w="200" w:type="dxa"/>
            <w:vAlign w:val="bottom"/>
          </w:tcPr>
          <w:p>
            <w:pPr>
              <w:spacing w:after="0"/>
              <w:rPr>
                <w:sz w:val="18"/>
                <w:szCs w:val="18"/>
                <w:color w:val="auto"/>
              </w:rPr>
            </w:pPr>
          </w:p>
        </w:tc>
        <w:tc>
          <w:tcPr>
            <w:tcW w:w="1060" w:type="dxa"/>
            <w:vAlign w:val="bottom"/>
          </w:tcPr>
          <w:p>
            <w:pPr>
              <w:jc w:val="right"/>
              <w:ind w:right="20"/>
              <w:spacing w:after="0"/>
              <w:rPr>
                <w:sz w:val="20"/>
                <w:szCs w:val="20"/>
                <w:color w:val="auto"/>
              </w:rPr>
            </w:pPr>
            <w:r>
              <w:rPr>
                <w:rFonts w:ascii="Arial" w:cs="Arial" w:eastAsia="Arial" w:hAnsi="Arial"/>
                <w:sz w:val="16"/>
                <w:szCs w:val="16"/>
                <w:color w:val="auto"/>
              </w:rPr>
              <w:t>18</w:t>
            </w:r>
          </w:p>
        </w:tc>
        <w:tc>
          <w:tcPr>
            <w:tcW w:w="2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18</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jc w:val="right"/>
              <w:ind w:right="40"/>
              <w:spacing w:after="0"/>
              <w:rPr>
                <w:sz w:val="20"/>
                <w:szCs w:val="20"/>
                <w:color w:val="auto"/>
              </w:rPr>
            </w:pPr>
            <w:r>
              <w:rPr>
                <w:rFonts w:ascii="Arial" w:cs="Arial" w:eastAsia="Arial" w:hAnsi="Arial"/>
                <w:sz w:val="16"/>
                <w:szCs w:val="16"/>
                <w:color w:val="auto"/>
              </w:rPr>
              <w:t>3</w:t>
            </w:r>
          </w:p>
        </w:tc>
        <w:tc>
          <w:tcPr>
            <w:tcW w:w="1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jc w:val="right"/>
              <w:ind w:right="40"/>
              <w:spacing w:after="0"/>
              <w:rPr>
                <w:sz w:val="20"/>
                <w:szCs w:val="20"/>
                <w:color w:val="auto"/>
              </w:rPr>
            </w:pPr>
            <w:r>
              <w:rPr>
                <w:rFonts w:ascii="Arial" w:cs="Arial" w:eastAsia="Arial" w:hAnsi="Arial"/>
                <w:sz w:val="16"/>
                <w:szCs w:val="16"/>
                <w:color w:val="auto"/>
              </w:rPr>
              <w:t>15</w:t>
            </w:r>
          </w:p>
        </w:tc>
        <w:tc>
          <w:tcPr>
            <w:tcW w:w="1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15</w:t>
            </w:r>
          </w:p>
        </w:tc>
        <w:tc>
          <w:tcPr>
            <w:tcW w:w="0" w:type="dxa"/>
            <w:vAlign w:val="bottom"/>
          </w:tcPr>
          <w:p>
            <w:pPr>
              <w:spacing w:after="0"/>
              <w:rPr>
                <w:sz w:val="1"/>
                <w:szCs w:val="1"/>
                <w:color w:val="auto"/>
              </w:rPr>
            </w:pPr>
          </w:p>
        </w:tc>
      </w:tr>
      <w:tr>
        <w:trPr>
          <w:trHeight w:val="217"/>
        </w:trPr>
        <w:tc>
          <w:tcPr>
            <w:tcW w:w="3400" w:type="dxa"/>
            <w:vAlign w:val="bottom"/>
            <w:shd w:val="clear" w:color="auto" w:fill="D4F1F5"/>
          </w:tcPr>
          <w:p>
            <w:pPr>
              <w:ind w:left="20"/>
              <w:spacing w:after="0"/>
              <w:rPr>
                <w:sz w:val="20"/>
                <w:szCs w:val="20"/>
                <w:color w:val="auto"/>
              </w:rPr>
            </w:pPr>
            <w:r>
              <w:rPr>
                <w:rFonts w:ascii="Arial" w:cs="Arial" w:eastAsia="Arial" w:hAnsi="Arial"/>
                <w:sz w:val="16"/>
                <w:szCs w:val="16"/>
                <w:color w:val="auto"/>
              </w:rPr>
              <w:t>Removal obligations</w:t>
            </w:r>
          </w:p>
        </w:tc>
        <w:tc>
          <w:tcPr>
            <w:tcW w:w="200" w:type="dxa"/>
            <w:vAlign w:val="bottom"/>
            <w:shd w:val="clear" w:color="auto" w:fill="D4F1F5"/>
          </w:tcPr>
          <w:p>
            <w:pPr>
              <w:spacing w:after="0"/>
              <w:rPr>
                <w:sz w:val="18"/>
                <w:szCs w:val="18"/>
                <w:color w:val="auto"/>
              </w:rPr>
            </w:pPr>
          </w:p>
        </w:tc>
        <w:tc>
          <w:tcPr>
            <w:tcW w:w="1060" w:type="dxa"/>
            <w:vAlign w:val="bottom"/>
            <w:shd w:val="clear" w:color="auto" w:fill="D4F1F5"/>
          </w:tcPr>
          <w:p>
            <w:pPr>
              <w:jc w:val="right"/>
              <w:spacing w:after="0"/>
              <w:rPr>
                <w:sz w:val="20"/>
                <w:szCs w:val="20"/>
                <w:color w:val="auto"/>
              </w:rPr>
            </w:pPr>
            <w:r>
              <w:rPr>
                <w:rFonts w:ascii="Arial" w:cs="Arial" w:eastAsia="Arial" w:hAnsi="Arial"/>
                <w:sz w:val="16"/>
                <w:szCs w:val="16"/>
                <w:color w:val="auto"/>
              </w:rPr>
              <w:t>(3,584)</w:t>
            </w:r>
          </w:p>
        </w:tc>
        <w:tc>
          <w:tcPr>
            <w:tcW w:w="200" w:type="dxa"/>
            <w:vAlign w:val="bottom"/>
            <w:shd w:val="clear" w:color="auto" w:fill="D4F1F5"/>
          </w:tcPr>
          <w:p>
            <w:pPr>
              <w:spacing w:after="0"/>
              <w:rPr>
                <w:sz w:val="18"/>
                <w:szCs w:val="18"/>
                <w:color w:val="auto"/>
              </w:rPr>
            </w:pPr>
          </w:p>
        </w:tc>
        <w:tc>
          <w:tcPr>
            <w:tcW w:w="1080" w:type="dxa"/>
            <w:vAlign w:val="bottom"/>
            <w:shd w:val="clear" w:color="auto" w:fill="D4F1F5"/>
          </w:tcPr>
          <w:p>
            <w:pPr>
              <w:jc w:val="right"/>
              <w:spacing w:after="0"/>
              <w:rPr>
                <w:sz w:val="20"/>
                <w:szCs w:val="20"/>
                <w:color w:val="auto"/>
              </w:rPr>
            </w:pPr>
            <w:r>
              <w:rPr>
                <w:rFonts w:ascii="Arial" w:cs="Arial" w:eastAsia="Arial" w:hAnsi="Arial"/>
                <w:sz w:val="16"/>
                <w:szCs w:val="16"/>
                <w:color w:val="auto"/>
              </w:rPr>
              <w:t>(3,540)</w:t>
            </w:r>
          </w:p>
        </w:tc>
        <w:tc>
          <w:tcPr>
            <w:tcW w:w="120" w:type="dxa"/>
            <w:vAlign w:val="bottom"/>
            <w:shd w:val="clear" w:color="auto" w:fill="D4F1F5"/>
          </w:tcPr>
          <w:p>
            <w:pPr>
              <w:spacing w:after="0"/>
              <w:rPr>
                <w:sz w:val="18"/>
                <w:szCs w:val="18"/>
                <w:color w:val="auto"/>
              </w:rPr>
            </w:pPr>
          </w:p>
        </w:tc>
        <w:tc>
          <w:tcPr>
            <w:tcW w:w="200" w:type="dxa"/>
            <w:vAlign w:val="bottom"/>
            <w:shd w:val="clear" w:color="auto" w:fill="D4F1F5"/>
          </w:tcPr>
          <w:p>
            <w:pPr>
              <w:spacing w:after="0"/>
              <w:rPr>
                <w:sz w:val="18"/>
                <w:szCs w:val="18"/>
                <w:color w:val="auto"/>
              </w:rPr>
            </w:pPr>
          </w:p>
        </w:tc>
        <w:tc>
          <w:tcPr>
            <w:tcW w:w="1060" w:type="dxa"/>
            <w:vAlign w:val="bottom"/>
            <w:shd w:val="clear" w:color="auto" w:fill="D4F1F5"/>
          </w:tcPr>
          <w:p>
            <w:pPr>
              <w:jc w:val="right"/>
              <w:spacing w:after="0"/>
              <w:rPr>
                <w:sz w:val="20"/>
                <w:szCs w:val="20"/>
                <w:color w:val="auto"/>
              </w:rPr>
            </w:pPr>
            <w:r>
              <w:rPr>
                <w:rFonts w:ascii="Arial" w:cs="Arial" w:eastAsia="Arial" w:hAnsi="Arial"/>
                <w:sz w:val="16"/>
                <w:szCs w:val="16"/>
                <w:color w:val="auto"/>
              </w:rPr>
              <w:t>(2,956)</w:t>
            </w:r>
          </w:p>
        </w:tc>
        <w:tc>
          <w:tcPr>
            <w:tcW w:w="180" w:type="dxa"/>
            <w:vAlign w:val="bottom"/>
            <w:shd w:val="clear" w:color="auto" w:fill="D4F1F5"/>
          </w:tcPr>
          <w:p>
            <w:pPr>
              <w:spacing w:after="0"/>
              <w:rPr>
                <w:sz w:val="18"/>
                <w:szCs w:val="18"/>
                <w:color w:val="auto"/>
              </w:rPr>
            </w:pPr>
          </w:p>
        </w:tc>
        <w:tc>
          <w:tcPr>
            <w:tcW w:w="1100" w:type="dxa"/>
            <w:vAlign w:val="bottom"/>
            <w:shd w:val="clear" w:color="auto" w:fill="D4F1F5"/>
          </w:tcPr>
          <w:p>
            <w:pPr>
              <w:jc w:val="right"/>
              <w:spacing w:after="0"/>
              <w:rPr>
                <w:sz w:val="20"/>
                <w:szCs w:val="20"/>
                <w:color w:val="auto"/>
              </w:rPr>
            </w:pPr>
            <w:r>
              <w:rPr>
                <w:rFonts w:ascii="Arial" w:cs="Arial" w:eastAsia="Arial" w:hAnsi="Arial"/>
                <w:sz w:val="16"/>
                <w:szCs w:val="16"/>
                <w:color w:val="auto"/>
              </w:rPr>
              <w:t>(2,913)</w:t>
            </w:r>
          </w:p>
        </w:tc>
        <w:tc>
          <w:tcPr>
            <w:tcW w:w="100" w:type="dxa"/>
            <w:vAlign w:val="bottom"/>
            <w:shd w:val="clear" w:color="auto" w:fill="D4F1F5"/>
          </w:tcPr>
          <w:p>
            <w:pPr>
              <w:spacing w:after="0"/>
              <w:rPr>
                <w:sz w:val="18"/>
                <w:szCs w:val="18"/>
                <w:color w:val="auto"/>
              </w:rPr>
            </w:pPr>
          </w:p>
        </w:tc>
        <w:tc>
          <w:tcPr>
            <w:tcW w:w="200" w:type="dxa"/>
            <w:vAlign w:val="bottom"/>
            <w:shd w:val="clear" w:color="auto" w:fill="D4F1F5"/>
          </w:tcPr>
          <w:p>
            <w:pPr>
              <w:spacing w:after="0"/>
              <w:rPr>
                <w:sz w:val="18"/>
                <w:szCs w:val="18"/>
                <w:color w:val="auto"/>
              </w:rPr>
            </w:pPr>
          </w:p>
        </w:tc>
        <w:tc>
          <w:tcPr>
            <w:tcW w:w="1060" w:type="dxa"/>
            <w:vAlign w:val="bottom"/>
            <w:shd w:val="clear" w:color="auto" w:fill="D4F1F5"/>
          </w:tcPr>
          <w:p>
            <w:pPr>
              <w:jc w:val="right"/>
              <w:spacing w:after="0"/>
              <w:rPr>
                <w:sz w:val="20"/>
                <w:szCs w:val="20"/>
                <w:color w:val="auto"/>
              </w:rPr>
            </w:pPr>
            <w:r>
              <w:rPr>
                <w:rFonts w:ascii="Arial" w:cs="Arial" w:eastAsia="Arial" w:hAnsi="Arial"/>
                <w:sz w:val="16"/>
                <w:szCs w:val="16"/>
                <w:color w:val="auto"/>
              </w:rPr>
              <w:t>(628)</w:t>
            </w:r>
          </w:p>
        </w:tc>
        <w:tc>
          <w:tcPr>
            <w:tcW w:w="180" w:type="dxa"/>
            <w:vAlign w:val="bottom"/>
            <w:shd w:val="clear" w:color="auto" w:fill="D4F1F5"/>
          </w:tcPr>
          <w:p>
            <w:pPr>
              <w:spacing w:after="0"/>
              <w:rPr>
                <w:sz w:val="18"/>
                <w:szCs w:val="18"/>
                <w:color w:val="auto"/>
              </w:rPr>
            </w:pPr>
          </w:p>
        </w:tc>
        <w:tc>
          <w:tcPr>
            <w:tcW w:w="1100" w:type="dxa"/>
            <w:vAlign w:val="bottom"/>
            <w:shd w:val="clear" w:color="auto" w:fill="D4F1F5"/>
          </w:tcPr>
          <w:p>
            <w:pPr>
              <w:jc w:val="right"/>
              <w:spacing w:after="0"/>
              <w:rPr>
                <w:sz w:val="20"/>
                <w:szCs w:val="20"/>
                <w:color w:val="auto"/>
              </w:rPr>
            </w:pPr>
            <w:r>
              <w:rPr>
                <w:rFonts w:ascii="Arial" w:cs="Arial" w:eastAsia="Arial" w:hAnsi="Arial"/>
                <w:sz w:val="16"/>
                <w:szCs w:val="16"/>
                <w:color w:val="auto"/>
              </w:rPr>
              <w:t>(627)</w:t>
            </w:r>
          </w:p>
        </w:tc>
        <w:tc>
          <w:tcPr>
            <w:tcW w:w="0" w:type="dxa"/>
            <w:vAlign w:val="bottom"/>
          </w:tcPr>
          <w:p>
            <w:pPr>
              <w:spacing w:after="0"/>
              <w:rPr>
                <w:sz w:val="1"/>
                <w:szCs w:val="1"/>
                <w:color w:val="auto"/>
              </w:rPr>
            </w:pPr>
          </w:p>
        </w:tc>
      </w:tr>
      <w:tr>
        <w:trPr>
          <w:trHeight w:val="215"/>
        </w:trPr>
        <w:tc>
          <w:tcPr>
            <w:tcW w:w="3400" w:type="dxa"/>
            <w:vAlign w:val="bottom"/>
          </w:tcPr>
          <w:p>
            <w:pPr>
              <w:ind w:left="20"/>
              <w:spacing w:after="0"/>
              <w:rPr>
                <w:sz w:val="20"/>
                <w:szCs w:val="20"/>
                <w:color w:val="auto"/>
              </w:rPr>
            </w:pPr>
            <w:r>
              <w:rPr>
                <w:rFonts w:ascii="Arial" w:cs="Arial" w:eastAsia="Arial" w:hAnsi="Arial"/>
                <w:sz w:val="16"/>
                <w:szCs w:val="16"/>
                <w:color w:val="auto"/>
              </w:rPr>
              <w:t>Environmental costs</w:t>
            </w:r>
          </w:p>
        </w:tc>
        <w:tc>
          <w:tcPr>
            <w:tcW w:w="200" w:type="dxa"/>
            <w:vAlign w:val="bottom"/>
          </w:tcPr>
          <w:p>
            <w:pPr>
              <w:spacing w:after="0"/>
              <w:rPr>
                <w:sz w:val="18"/>
                <w:szCs w:val="18"/>
                <w:color w:val="auto"/>
              </w:rPr>
            </w:pPr>
          </w:p>
        </w:tc>
        <w:tc>
          <w:tcPr>
            <w:tcW w:w="1060" w:type="dxa"/>
            <w:vAlign w:val="bottom"/>
          </w:tcPr>
          <w:p>
            <w:pPr>
              <w:jc w:val="right"/>
              <w:ind w:right="20"/>
              <w:spacing w:after="0"/>
              <w:rPr>
                <w:sz w:val="20"/>
                <w:szCs w:val="20"/>
                <w:color w:val="auto"/>
              </w:rPr>
            </w:pPr>
            <w:r>
              <w:rPr>
                <w:rFonts w:ascii="Arial" w:cs="Arial" w:eastAsia="Arial" w:hAnsi="Arial"/>
                <w:sz w:val="16"/>
                <w:szCs w:val="16"/>
                <w:color w:val="auto"/>
              </w:rPr>
              <w:t>152</w:t>
            </w:r>
          </w:p>
        </w:tc>
        <w:tc>
          <w:tcPr>
            <w:tcW w:w="2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152</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jc w:val="right"/>
              <w:ind w:right="40"/>
              <w:spacing w:after="0"/>
              <w:rPr>
                <w:sz w:val="20"/>
                <w:szCs w:val="20"/>
                <w:color w:val="auto"/>
              </w:rPr>
            </w:pPr>
            <w:r>
              <w:rPr>
                <w:rFonts w:ascii="Arial" w:cs="Arial" w:eastAsia="Arial" w:hAnsi="Arial"/>
                <w:sz w:val="16"/>
                <w:szCs w:val="16"/>
                <w:color w:val="auto"/>
              </w:rPr>
              <w:t>113</w:t>
            </w:r>
          </w:p>
        </w:tc>
        <w:tc>
          <w:tcPr>
            <w:tcW w:w="1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113</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jc w:val="right"/>
              <w:ind w:right="40"/>
              <w:spacing w:after="0"/>
              <w:rPr>
                <w:sz w:val="20"/>
                <w:szCs w:val="20"/>
                <w:color w:val="auto"/>
              </w:rPr>
            </w:pPr>
            <w:r>
              <w:rPr>
                <w:rFonts w:ascii="Arial" w:cs="Arial" w:eastAsia="Arial" w:hAnsi="Arial"/>
                <w:sz w:val="16"/>
                <w:szCs w:val="16"/>
                <w:color w:val="auto"/>
              </w:rPr>
              <w:t>39</w:t>
            </w:r>
          </w:p>
        </w:tc>
        <w:tc>
          <w:tcPr>
            <w:tcW w:w="1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39</w:t>
            </w:r>
          </w:p>
        </w:tc>
        <w:tc>
          <w:tcPr>
            <w:tcW w:w="0" w:type="dxa"/>
            <w:vAlign w:val="bottom"/>
          </w:tcPr>
          <w:p>
            <w:pPr>
              <w:spacing w:after="0"/>
              <w:rPr>
                <w:sz w:val="1"/>
                <w:szCs w:val="1"/>
                <w:color w:val="auto"/>
              </w:rPr>
            </w:pPr>
          </w:p>
        </w:tc>
      </w:tr>
      <w:tr>
        <w:trPr>
          <w:trHeight w:val="217"/>
        </w:trPr>
        <w:tc>
          <w:tcPr>
            <w:tcW w:w="3400" w:type="dxa"/>
            <w:vAlign w:val="bottom"/>
            <w:shd w:val="clear" w:color="auto" w:fill="D4F1F5"/>
          </w:tcPr>
          <w:p>
            <w:pPr>
              <w:ind w:left="20"/>
              <w:spacing w:after="0"/>
              <w:rPr>
                <w:sz w:val="20"/>
                <w:szCs w:val="20"/>
                <w:color w:val="auto"/>
              </w:rPr>
            </w:pPr>
            <w:r>
              <w:rPr>
                <w:rFonts w:ascii="Arial" w:cs="Arial" w:eastAsia="Arial" w:hAnsi="Arial"/>
                <w:sz w:val="16"/>
                <w:szCs w:val="16"/>
                <w:color w:val="auto"/>
              </w:rPr>
              <w:t>Sunrise Powerlink fire mitigation</w:t>
            </w:r>
          </w:p>
        </w:tc>
        <w:tc>
          <w:tcPr>
            <w:tcW w:w="200" w:type="dxa"/>
            <w:vAlign w:val="bottom"/>
            <w:shd w:val="clear" w:color="auto" w:fill="D4F1F5"/>
          </w:tcPr>
          <w:p>
            <w:pPr>
              <w:spacing w:after="0"/>
              <w:rPr>
                <w:sz w:val="18"/>
                <w:szCs w:val="18"/>
                <w:color w:val="auto"/>
              </w:rPr>
            </w:pPr>
          </w:p>
        </w:tc>
        <w:tc>
          <w:tcPr>
            <w:tcW w:w="1060" w:type="dxa"/>
            <w:vAlign w:val="bottom"/>
            <w:shd w:val="clear" w:color="auto" w:fill="D4F1F5"/>
          </w:tcPr>
          <w:p>
            <w:pPr>
              <w:jc w:val="right"/>
              <w:ind w:right="20"/>
              <w:spacing w:after="0"/>
              <w:rPr>
                <w:sz w:val="20"/>
                <w:szCs w:val="20"/>
                <w:color w:val="auto"/>
              </w:rPr>
            </w:pPr>
            <w:r>
              <w:rPr>
                <w:rFonts w:ascii="Arial" w:cs="Arial" w:eastAsia="Arial" w:hAnsi="Arial"/>
                <w:sz w:val="16"/>
                <w:szCs w:val="16"/>
                <w:color w:val="auto"/>
              </w:rPr>
              <w:t>122</w:t>
            </w:r>
          </w:p>
        </w:tc>
        <w:tc>
          <w:tcPr>
            <w:tcW w:w="200" w:type="dxa"/>
            <w:vAlign w:val="bottom"/>
            <w:shd w:val="clear" w:color="auto" w:fill="D4F1F5"/>
          </w:tcPr>
          <w:p>
            <w:pPr>
              <w:spacing w:after="0"/>
              <w:rPr>
                <w:sz w:val="18"/>
                <w:szCs w:val="18"/>
                <w:color w:val="auto"/>
              </w:rPr>
            </w:pPr>
          </w:p>
        </w:tc>
        <w:tc>
          <w:tcPr>
            <w:tcW w:w="1080" w:type="dxa"/>
            <w:vAlign w:val="bottom"/>
            <w:shd w:val="clear" w:color="auto" w:fill="D4F1F5"/>
          </w:tcPr>
          <w:p>
            <w:pPr>
              <w:jc w:val="right"/>
              <w:spacing w:after="0"/>
              <w:rPr>
                <w:sz w:val="20"/>
                <w:szCs w:val="20"/>
                <w:color w:val="auto"/>
              </w:rPr>
            </w:pPr>
            <w:r>
              <w:rPr>
                <w:rFonts w:ascii="Arial" w:cs="Arial" w:eastAsia="Arial" w:hAnsi="Arial"/>
                <w:sz w:val="16"/>
                <w:szCs w:val="16"/>
                <w:color w:val="auto"/>
              </w:rPr>
              <w:t>125</w:t>
            </w:r>
          </w:p>
        </w:tc>
        <w:tc>
          <w:tcPr>
            <w:tcW w:w="120" w:type="dxa"/>
            <w:vAlign w:val="bottom"/>
            <w:shd w:val="clear" w:color="auto" w:fill="D4F1F5"/>
          </w:tcPr>
          <w:p>
            <w:pPr>
              <w:spacing w:after="0"/>
              <w:rPr>
                <w:sz w:val="18"/>
                <w:szCs w:val="18"/>
                <w:color w:val="auto"/>
              </w:rPr>
            </w:pPr>
          </w:p>
        </w:tc>
        <w:tc>
          <w:tcPr>
            <w:tcW w:w="200" w:type="dxa"/>
            <w:vAlign w:val="bottom"/>
            <w:shd w:val="clear" w:color="auto" w:fill="D4F1F5"/>
          </w:tcPr>
          <w:p>
            <w:pPr>
              <w:spacing w:after="0"/>
              <w:rPr>
                <w:sz w:val="18"/>
                <w:szCs w:val="18"/>
                <w:color w:val="auto"/>
              </w:rPr>
            </w:pPr>
          </w:p>
        </w:tc>
        <w:tc>
          <w:tcPr>
            <w:tcW w:w="1060" w:type="dxa"/>
            <w:vAlign w:val="bottom"/>
            <w:shd w:val="clear" w:color="auto" w:fill="D4F1F5"/>
          </w:tcPr>
          <w:p>
            <w:pPr>
              <w:jc w:val="right"/>
              <w:ind w:right="40"/>
              <w:spacing w:after="0"/>
              <w:rPr>
                <w:sz w:val="20"/>
                <w:szCs w:val="20"/>
                <w:color w:val="auto"/>
              </w:rPr>
            </w:pPr>
            <w:r>
              <w:rPr>
                <w:rFonts w:ascii="Arial" w:cs="Arial" w:eastAsia="Arial" w:hAnsi="Arial"/>
                <w:sz w:val="16"/>
                <w:szCs w:val="16"/>
                <w:color w:val="auto"/>
              </w:rPr>
              <w:t>122</w:t>
            </w:r>
          </w:p>
        </w:tc>
        <w:tc>
          <w:tcPr>
            <w:tcW w:w="180" w:type="dxa"/>
            <w:vAlign w:val="bottom"/>
            <w:shd w:val="clear" w:color="auto" w:fill="D4F1F5"/>
          </w:tcPr>
          <w:p>
            <w:pPr>
              <w:spacing w:after="0"/>
              <w:rPr>
                <w:sz w:val="18"/>
                <w:szCs w:val="18"/>
                <w:color w:val="auto"/>
              </w:rPr>
            </w:pPr>
          </w:p>
        </w:tc>
        <w:tc>
          <w:tcPr>
            <w:tcW w:w="1100" w:type="dxa"/>
            <w:vAlign w:val="bottom"/>
            <w:shd w:val="clear" w:color="auto" w:fill="D4F1F5"/>
          </w:tcPr>
          <w:p>
            <w:pPr>
              <w:jc w:val="right"/>
              <w:spacing w:after="0"/>
              <w:rPr>
                <w:sz w:val="20"/>
                <w:szCs w:val="20"/>
                <w:color w:val="auto"/>
              </w:rPr>
            </w:pPr>
            <w:r>
              <w:rPr>
                <w:rFonts w:ascii="Arial" w:cs="Arial" w:eastAsia="Arial" w:hAnsi="Arial"/>
                <w:sz w:val="16"/>
                <w:szCs w:val="16"/>
                <w:color w:val="auto"/>
              </w:rPr>
              <w:t>125</w:t>
            </w:r>
          </w:p>
        </w:tc>
        <w:tc>
          <w:tcPr>
            <w:tcW w:w="100" w:type="dxa"/>
            <w:vAlign w:val="bottom"/>
            <w:shd w:val="clear" w:color="auto" w:fill="D4F1F5"/>
          </w:tcPr>
          <w:p>
            <w:pPr>
              <w:spacing w:after="0"/>
              <w:rPr>
                <w:sz w:val="18"/>
                <w:szCs w:val="18"/>
                <w:color w:val="auto"/>
              </w:rPr>
            </w:pPr>
          </w:p>
        </w:tc>
        <w:tc>
          <w:tcPr>
            <w:tcW w:w="200" w:type="dxa"/>
            <w:vAlign w:val="bottom"/>
            <w:shd w:val="clear" w:color="auto" w:fill="D4F1F5"/>
          </w:tcPr>
          <w:p>
            <w:pPr>
              <w:spacing w:after="0"/>
              <w:rPr>
                <w:sz w:val="18"/>
                <w:szCs w:val="18"/>
                <w:color w:val="auto"/>
              </w:rPr>
            </w:pPr>
          </w:p>
        </w:tc>
        <w:tc>
          <w:tcPr>
            <w:tcW w:w="1060" w:type="dxa"/>
            <w:vAlign w:val="bottom"/>
            <w:shd w:val="clear" w:color="auto" w:fill="D4F1F5"/>
          </w:tcPr>
          <w:p>
            <w:pPr>
              <w:jc w:val="right"/>
              <w:ind w:right="40"/>
              <w:spacing w:after="0"/>
              <w:rPr>
                <w:sz w:val="20"/>
                <w:szCs w:val="20"/>
                <w:color w:val="auto"/>
              </w:rPr>
            </w:pPr>
            <w:r>
              <w:rPr>
                <w:rFonts w:ascii="Arial" w:cs="Arial" w:eastAsia="Arial" w:hAnsi="Arial"/>
                <w:sz w:val="16"/>
                <w:szCs w:val="16"/>
                <w:color w:val="auto"/>
              </w:rPr>
              <w:t>—</w:t>
            </w:r>
          </w:p>
        </w:tc>
        <w:tc>
          <w:tcPr>
            <w:tcW w:w="180" w:type="dxa"/>
            <w:vAlign w:val="bottom"/>
            <w:shd w:val="clear" w:color="auto" w:fill="D4F1F5"/>
          </w:tcPr>
          <w:p>
            <w:pPr>
              <w:spacing w:after="0"/>
              <w:rPr>
                <w:sz w:val="18"/>
                <w:szCs w:val="18"/>
                <w:color w:val="auto"/>
              </w:rPr>
            </w:pPr>
          </w:p>
        </w:tc>
        <w:tc>
          <w:tcPr>
            <w:tcW w:w="1100" w:type="dxa"/>
            <w:vAlign w:val="bottom"/>
            <w:shd w:val="clear" w:color="auto" w:fill="D4F1F5"/>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3400" w:type="dxa"/>
            <w:vAlign w:val="bottom"/>
          </w:tcPr>
          <w:p>
            <w:pPr>
              <w:ind w:left="20"/>
              <w:spacing w:after="0" w:line="216" w:lineRule="exact"/>
              <w:rPr>
                <w:sz w:val="20"/>
                <w:szCs w:val="20"/>
                <w:color w:val="auto"/>
              </w:rPr>
            </w:pPr>
            <w:r>
              <w:rPr>
                <w:rFonts w:ascii="Arial" w:cs="Arial" w:eastAsia="Arial" w:hAnsi="Arial"/>
                <w:sz w:val="16"/>
                <w:szCs w:val="16"/>
                <w:color w:val="auto"/>
              </w:rPr>
              <w:t>Regulatory balancing accounts</w:t>
            </w:r>
            <w:r>
              <w:rPr>
                <w:rFonts w:ascii="Arial" w:cs="Arial" w:eastAsia="Arial" w:hAnsi="Arial"/>
                <w:sz w:val="21"/>
                <w:szCs w:val="21"/>
                <w:color w:val="auto"/>
                <w:vertAlign w:val="superscript"/>
              </w:rPr>
              <w:t>(2)(3)</w:t>
            </w: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0" w:type="dxa"/>
            <w:vAlign w:val="bottom"/>
            <w:shd w:val="clear" w:color="auto" w:fill="D4F1F5"/>
          </w:tcPr>
          <w:p>
            <w:pPr>
              <w:ind w:left="240"/>
              <w:spacing w:after="0"/>
              <w:rPr>
                <w:sz w:val="20"/>
                <w:szCs w:val="20"/>
                <w:color w:val="auto"/>
              </w:rPr>
            </w:pPr>
            <w:r>
              <w:rPr>
                <w:rFonts w:ascii="Arial" w:cs="Arial" w:eastAsia="Arial" w:hAnsi="Arial"/>
                <w:sz w:val="16"/>
                <w:szCs w:val="16"/>
                <w:color w:val="auto"/>
              </w:rPr>
              <w:t>Commodity – electric</w:t>
            </w:r>
          </w:p>
        </w:tc>
        <w:tc>
          <w:tcPr>
            <w:tcW w:w="200" w:type="dxa"/>
            <w:vAlign w:val="bottom"/>
            <w:shd w:val="clear" w:color="auto" w:fill="D4F1F5"/>
          </w:tcPr>
          <w:p>
            <w:pPr>
              <w:spacing w:after="0"/>
              <w:rPr>
                <w:sz w:val="18"/>
                <w:szCs w:val="18"/>
                <w:color w:val="auto"/>
              </w:rPr>
            </w:pPr>
          </w:p>
        </w:tc>
        <w:tc>
          <w:tcPr>
            <w:tcW w:w="1060" w:type="dxa"/>
            <w:vAlign w:val="bottom"/>
            <w:shd w:val="clear" w:color="auto" w:fill="D4F1F5"/>
          </w:tcPr>
          <w:p>
            <w:pPr>
              <w:jc w:val="right"/>
              <w:ind w:right="20"/>
              <w:spacing w:after="0"/>
              <w:rPr>
                <w:sz w:val="20"/>
                <w:szCs w:val="20"/>
                <w:color w:val="auto"/>
              </w:rPr>
            </w:pPr>
            <w:r>
              <w:rPr>
                <w:rFonts w:ascii="Arial" w:cs="Arial" w:eastAsia="Arial" w:hAnsi="Arial"/>
                <w:sz w:val="16"/>
                <w:szCs w:val="16"/>
                <w:color w:val="auto"/>
              </w:rPr>
              <w:t>228</w:t>
            </w:r>
          </w:p>
        </w:tc>
        <w:tc>
          <w:tcPr>
            <w:tcW w:w="200" w:type="dxa"/>
            <w:vAlign w:val="bottom"/>
            <w:shd w:val="clear" w:color="auto" w:fill="D4F1F5"/>
          </w:tcPr>
          <w:p>
            <w:pPr>
              <w:spacing w:after="0"/>
              <w:rPr>
                <w:sz w:val="18"/>
                <w:szCs w:val="18"/>
                <w:color w:val="auto"/>
              </w:rPr>
            </w:pPr>
          </w:p>
        </w:tc>
        <w:tc>
          <w:tcPr>
            <w:tcW w:w="1080" w:type="dxa"/>
            <w:vAlign w:val="bottom"/>
            <w:shd w:val="clear" w:color="auto" w:fill="D4F1F5"/>
          </w:tcPr>
          <w:p>
            <w:pPr>
              <w:jc w:val="right"/>
              <w:spacing w:after="0"/>
              <w:rPr>
                <w:sz w:val="20"/>
                <w:szCs w:val="20"/>
                <w:color w:val="auto"/>
              </w:rPr>
            </w:pPr>
            <w:r>
              <w:rPr>
                <w:rFonts w:ascii="Arial" w:cs="Arial" w:eastAsia="Arial" w:hAnsi="Arial"/>
                <w:sz w:val="16"/>
                <w:szCs w:val="16"/>
                <w:color w:val="auto"/>
              </w:rPr>
              <w:t>186</w:t>
            </w:r>
          </w:p>
        </w:tc>
        <w:tc>
          <w:tcPr>
            <w:tcW w:w="120" w:type="dxa"/>
            <w:vAlign w:val="bottom"/>
            <w:shd w:val="clear" w:color="auto" w:fill="D4F1F5"/>
          </w:tcPr>
          <w:p>
            <w:pPr>
              <w:spacing w:after="0"/>
              <w:rPr>
                <w:sz w:val="18"/>
                <w:szCs w:val="18"/>
                <w:color w:val="auto"/>
              </w:rPr>
            </w:pPr>
          </w:p>
        </w:tc>
        <w:tc>
          <w:tcPr>
            <w:tcW w:w="200" w:type="dxa"/>
            <w:vAlign w:val="bottom"/>
            <w:shd w:val="clear" w:color="auto" w:fill="D4F1F5"/>
          </w:tcPr>
          <w:p>
            <w:pPr>
              <w:spacing w:after="0"/>
              <w:rPr>
                <w:sz w:val="18"/>
                <w:szCs w:val="18"/>
                <w:color w:val="auto"/>
              </w:rPr>
            </w:pPr>
          </w:p>
        </w:tc>
        <w:tc>
          <w:tcPr>
            <w:tcW w:w="1060" w:type="dxa"/>
            <w:vAlign w:val="bottom"/>
            <w:shd w:val="clear" w:color="auto" w:fill="D4F1F5"/>
          </w:tcPr>
          <w:p>
            <w:pPr>
              <w:jc w:val="right"/>
              <w:ind w:right="40"/>
              <w:spacing w:after="0"/>
              <w:rPr>
                <w:sz w:val="20"/>
                <w:szCs w:val="20"/>
                <w:color w:val="auto"/>
              </w:rPr>
            </w:pPr>
            <w:r>
              <w:rPr>
                <w:rFonts w:ascii="Arial" w:cs="Arial" w:eastAsia="Arial" w:hAnsi="Arial"/>
                <w:sz w:val="16"/>
                <w:szCs w:val="16"/>
                <w:color w:val="auto"/>
              </w:rPr>
              <w:t>228</w:t>
            </w:r>
          </w:p>
        </w:tc>
        <w:tc>
          <w:tcPr>
            <w:tcW w:w="180" w:type="dxa"/>
            <w:vAlign w:val="bottom"/>
            <w:shd w:val="clear" w:color="auto" w:fill="D4F1F5"/>
          </w:tcPr>
          <w:p>
            <w:pPr>
              <w:spacing w:after="0"/>
              <w:rPr>
                <w:sz w:val="18"/>
                <w:szCs w:val="18"/>
                <w:color w:val="auto"/>
              </w:rPr>
            </w:pPr>
          </w:p>
        </w:tc>
        <w:tc>
          <w:tcPr>
            <w:tcW w:w="1100" w:type="dxa"/>
            <w:vAlign w:val="bottom"/>
            <w:shd w:val="clear" w:color="auto" w:fill="D4F1F5"/>
          </w:tcPr>
          <w:p>
            <w:pPr>
              <w:jc w:val="right"/>
              <w:spacing w:after="0"/>
              <w:rPr>
                <w:sz w:val="20"/>
                <w:szCs w:val="20"/>
                <w:color w:val="auto"/>
              </w:rPr>
            </w:pPr>
            <w:r>
              <w:rPr>
                <w:rFonts w:ascii="Arial" w:cs="Arial" w:eastAsia="Arial" w:hAnsi="Arial"/>
                <w:sz w:val="16"/>
                <w:szCs w:val="16"/>
                <w:color w:val="auto"/>
              </w:rPr>
              <w:t>186</w:t>
            </w:r>
          </w:p>
        </w:tc>
        <w:tc>
          <w:tcPr>
            <w:tcW w:w="100" w:type="dxa"/>
            <w:vAlign w:val="bottom"/>
            <w:shd w:val="clear" w:color="auto" w:fill="D4F1F5"/>
          </w:tcPr>
          <w:p>
            <w:pPr>
              <w:spacing w:after="0"/>
              <w:rPr>
                <w:sz w:val="18"/>
                <w:szCs w:val="18"/>
                <w:color w:val="auto"/>
              </w:rPr>
            </w:pPr>
          </w:p>
        </w:tc>
        <w:tc>
          <w:tcPr>
            <w:tcW w:w="200" w:type="dxa"/>
            <w:vAlign w:val="bottom"/>
            <w:shd w:val="clear" w:color="auto" w:fill="D4F1F5"/>
          </w:tcPr>
          <w:p>
            <w:pPr>
              <w:spacing w:after="0"/>
              <w:rPr>
                <w:sz w:val="18"/>
                <w:szCs w:val="18"/>
                <w:color w:val="auto"/>
              </w:rPr>
            </w:pPr>
          </w:p>
        </w:tc>
        <w:tc>
          <w:tcPr>
            <w:tcW w:w="1060" w:type="dxa"/>
            <w:vAlign w:val="bottom"/>
            <w:shd w:val="clear" w:color="auto" w:fill="D4F1F5"/>
          </w:tcPr>
          <w:p>
            <w:pPr>
              <w:jc w:val="right"/>
              <w:ind w:right="40"/>
              <w:spacing w:after="0"/>
              <w:rPr>
                <w:sz w:val="20"/>
                <w:szCs w:val="20"/>
                <w:color w:val="auto"/>
              </w:rPr>
            </w:pPr>
            <w:r>
              <w:rPr>
                <w:rFonts w:ascii="Arial" w:cs="Arial" w:eastAsia="Arial" w:hAnsi="Arial"/>
                <w:sz w:val="16"/>
                <w:szCs w:val="16"/>
                <w:color w:val="auto"/>
              </w:rPr>
              <w:t>—</w:t>
            </w:r>
          </w:p>
        </w:tc>
        <w:tc>
          <w:tcPr>
            <w:tcW w:w="180" w:type="dxa"/>
            <w:vAlign w:val="bottom"/>
            <w:shd w:val="clear" w:color="auto" w:fill="D4F1F5"/>
          </w:tcPr>
          <w:p>
            <w:pPr>
              <w:spacing w:after="0"/>
              <w:rPr>
                <w:sz w:val="18"/>
                <w:szCs w:val="18"/>
                <w:color w:val="auto"/>
              </w:rPr>
            </w:pPr>
          </w:p>
        </w:tc>
        <w:tc>
          <w:tcPr>
            <w:tcW w:w="1100" w:type="dxa"/>
            <w:vAlign w:val="bottom"/>
            <w:shd w:val="clear" w:color="auto" w:fill="D4F1F5"/>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62"/>
        </w:trPr>
        <w:tc>
          <w:tcPr>
            <w:tcW w:w="3400" w:type="dxa"/>
            <w:vAlign w:val="bottom"/>
          </w:tcPr>
          <w:p>
            <w:pPr>
              <w:ind w:left="240"/>
              <w:spacing w:after="0" w:line="162" w:lineRule="exact"/>
              <w:rPr>
                <w:sz w:val="20"/>
                <w:szCs w:val="20"/>
                <w:color w:val="auto"/>
              </w:rPr>
            </w:pPr>
            <w:r>
              <w:rPr>
                <w:rFonts w:ascii="Arial" w:cs="Arial" w:eastAsia="Arial" w:hAnsi="Arial"/>
                <w:sz w:val="16"/>
                <w:szCs w:val="16"/>
                <w:color w:val="auto"/>
              </w:rPr>
              <w:t>Commodity – gas, including</w:t>
            </w:r>
          </w:p>
        </w:tc>
        <w:tc>
          <w:tcPr>
            <w:tcW w:w="200" w:type="dxa"/>
            <w:vAlign w:val="bottom"/>
          </w:tcPr>
          <w:p>
            <w:pPr>
              <w:spacing w:after="0"/>
              <w:rPr>
                <w:sz w:val="14"/>
                <w:szCs w:val="14"/>
                <w:color w:val="auto"/>
              </w:rPr>
            </w:pPr>
          </w:p>
        </w:tc>
        <w:tc>
          <w:tcPr>
            <w:tcW w:w="1060" w:type="dxa"/>
            <w:vAlign w:val="bottom"/>
            <w:vMerge w:val="restart"/>
          </w:tcPr>
          <w:p>
            <w:pPr>
              <w:jc w:val="right"/>
              <w:ind w:right="20"/>
              <w:spacing w:after="0"/>
              <w:rPr>
                <w:sz w:val="20"/>
                <w:szCs w:val="20"/>
                <w:color w:val="auto"/>
              </w:rPr>
            </w:pPr>
            <w:r>
              <w:rPr>
                <w:rFonts w:ascii="Arial" w:cs="Arial" w:eastAsia="Arial" w:hAnsi="Arial"/>
                <w:sz w:val="16"/>
                <w:szCs w:val="16"/>
                <w:color w:val="auto"/>
              </w:rPr>
              <w:t>403</w:t>
            </w:r>
          </w:p>
        </w:tc>
        <w:tc>
          <w:tcPr>
            <w:tcW w:w="200" w:type="dxa"/>
            <w:vAlign w:val="bottom"/>
          </w:tcPr>
          <w:p>
            <w:pPr>
              <w:spacing w:after="0"/>
              <w:rPr>
                <w:sz w:val="14"/>
                <w:szCs w:val="14"/>
                <w:color w:val="auto"/>
              </w:rPr>
            </w:pPr>
          </w:p>
        </w:tc>
        <w:tc>
          <w:tcPr>
            <w:tcW w:w="1080" w:type="dxa"/>
            <w:vAlign w:val="bottom"/>
            <w:vMerge w:val="restart"/>
          </w:tcPr>
          <w:p>
            <w:pPr>
              <w:jc w:val="right"/>
              <w:spacing w:after="0"/>
              <w:rPr>
                <w:sz w:val="20"/>
                <w:szCs w:val="20"/>
                <w:color w:val="auto"/>
              </w:rPr>
            </w:pPr>
            <w:r>
              <w:rPr>
                <w:rFonts w:ascii="Arial" w:cs="Arial" w:eastAsia="Arial" w:hAnsi="Arial"/>
                <w:sz w:val="16"/>
                <w:szCs w:val="16"/>
                <w:color w:val="auto"/>
              </w:rPr>
              <w:t>173</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vMerge w:val="restart"/>
          </w:tcPr>
          <w:p>
            <w:pPr>
              <w:jc w:val="right"/>
              <w:ind w:right="40"/>
              <w:spacing w:after="0"/>
              <w:rPr>
                <w:sz w:val="20"/>
                <w:szCs w:val="20"/>
                <w:color w:val="auto"/>
              </w:rPr>
            </w:pPr>
            <w:r>
              <w:rPr>
                <w:rFonts w:ascii="Arial" w:cs="Arial" w:eastAsia="Arial" w:hAnsi="Arial"/>
                <w:sz w:val="16"/>
                <w:szCs w:val="16"/>
                <w:color w:val="auto"/>
              </w:rPr>
              <w:t>49</w:t>
            </w:r>
          </w:p>
        </w:tc>
        <w:tc>
          <w:tcPr>
            <w:tcW w:w="180" w:type="dxa"/>
            <w:vAlign w:val="bottom"/>
          </w:tcPr>
          <w:p>
            <w:pPr>
              <w:spacing w:after="0"/>
              <w:rPr>
                <w:sz w:val="14"/>
                <w:szCs w:val="14"/>
                <w:color w:val="auto"/>
              </w:rPr>
            </w:pPr>
          </w:p>
        </w:tc>
        <w:tc>
          <w:tcPr>
            <w:tcW w:w="1100" w:type="dxa"/>
            <w:vAlign w:val="bottom"/>
            <w:vMerge w:val="restart"/>
          </w:tcPr>
          <w:p>
            <w:pPr>
              <w:jc w:val="right"/>
              <w:spacing w:after="0"/>
              <w:rPr>
                <w:sz w:val="20"/>
                <w:szCs w:val="20"/>
                <w:color w:val="auto"/>
              </w:rPr>
            </w:pPr>
            <w:r>
              <w:rPr>
                <w:rFonts w:ascii="Arial" w:cs="Arial" w:eastAsia="Arial" w:hAnsi="Arial"/>
                <w:sz w:val="16"/>
                <w:szCs w:val="16"/>
                <w:color w:val="auto"/>
              </w:rPr>
              <w:t>17</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vMerge w:val="restart"/>
          </w:tcPr>
          <w:p>
            <w:pPr>
              <w:jc w:val="right"/>
              <w:ind w:right="40"/>
              <w:spacing w:after="0"/>
              <w:rPr>
                <w:sz w:val="20"/>
                <w:szCs w:val="20"/>
                <w:color w:val="auto"/>
              </w:rPr>
            </w:pPr>
            <w:r>
              <w:rPr>
                <w:rFonts w:ascii="Arial" w:cs="Arial" w:eastAsia="Arial" w:hAnsi="Arial"/>
                <w:sz w:val="16"/>
                <w:szCs w:val="16"/>
                <w:color w:val="auto"/>
              </w:rPr>
              <w:t>354</w:t>
            </w:r>
          </w:p>
        </w:tc>
        <w:tc>
          <w:tcPr>
            <w:tcW w:w="180" w:type="dxa"/>
            <w:vAlign w:val="bottom"/>
          </w:tcPr>
          <w:p>
            <w:pPr>
              <w:spacing w:after="0"/>
              <w:rPr>
                <w:sz w:val="14"/>
                <w:szCs w:val="14"/>
                <w:color w:val="auto"/>
              </w:rPr>
            </w:pPr>
          </w:p>
        </w:tc>
        <w:tc>
          <w:tcPr>
            <w:tcW w:w="1100" w:type="dxa"/>
            <w:vAlign w:val="bottom"/>
            <w:vMerge w:val="restart"/>
          </w:tcPr>
          <w:p>
            <w:pPr>
              <w:jc w:val="right"/>
              <w:spacing w:after="0"/>
              <w:rPr>
                <w:sz w:val="20"/>
                <w:szCs w:val="20"/>
                <w:color w:val="auto"/>
              </w:rPr>
            </w:pPr>
            <w:r>
              <w:rPr>
                <w:rFonts w:ascii="Arial" w:cs="Arial" w:eastAsia="Arial" w:hAnsi="Arial"/>
                <w:sz w:val="16"/>
                <w:szCs w:val="16"/>
                <w:color w:val="auto"/>
              </w:rPr>
              <w:t>156</w:t>
            </w:r>
          </w:p>
        </w:tc>
        <w:tc>
          <w:tcPr>
            <w:tcW w:w="0" w:type="dxa"/>
            <w:vAlign w:val="bottom"/>
          </w:tcPr>
          <w:p>
            <w:pPr>
              <w:spacing w:after="0"/>
              <w:rPr>
                <w:sz w:val="1"/>
                <w:szCs w:val="1"/>
                <w:color w:val="auto"/>
              </w:rPr>
            </w:pPr>
          </w:p>
        </w:tc>
      </w:tr>
      <w:tr>
        <w:trPr>
          <w:trHeight w:val="215"/>
        </w:trPr>
        <w:tc>
          <w:tcPr>
            <w:tcW w:w="3400" w:type="dxa"/>
            <w:vAlign w:val="bottom"/>
          </w:tcPr>
          <w:p>
            <w:pPr>
              <w:ind w:left="360"/>
              <w:spacing w:after="0"/>
              <w:rPr>
                <w:sz w:val="20"/>
                <w:szCs w:val="20"/>
                <w:color w:val="auto"/>
              </w:rPr>
            </w:pPr>
            <w:r>
              <w:rPr>
                <w:rFonts w:ascii="Arial" w:cs="Arial" w:eastAsia="Arial" w:hAnsi="Arial"/>
                <w:sz w:val="16"/>
                <w:szCs w:val="16"/>
                <w:color w:val="auto"/>
              </w:rPr>
              <w:t>transportation</w:t>
            </w:r>
          </w:p>
        </w:tc>
        <w:tc>
          <w:tcPr>
            <w:tcW w:w="200" w:type="dxa"/>
            <w:vAlign w:val="bottom"/>
          </w:tcPr>
          <w:p>
            <w:pPr>
              <w:spacing w:after="0"/>
              <w:rPr>
                <w:sz w:val="18"/>
                <w:szCs w:val="18"/>
                <w:color w:val="auto"/>
              </w:rPr>
            </w:pPr>
          </w:p>
        </w:tc>
        <w:tc>
          <w:tcPr>
            <w:tcW w:w="106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3400" w:type="dxa"/>
            <w:vAlign w:val="bottom"/>
            <w:shd w:val="clear" w:color="auto" w:fill="D4F1F5"/>
          </w:tcPr>
          <w:p>
            <w:pPr>
              <w:ind w:left="240"/>
              <w:spacing w:after="0"/>
              <w:rPr>
                <w:sz w:val="20"/>
                <w:szCs w:val="20"/>
                <w:color w:val="auto"/>
              </w:rPr>
            </w:pPr>
            <w:r>
              <w:rPr>
                <w:rFonts w:ascii="Arial" w:cs="Arial" w:eastAsia="Arial" w:hAnsi="Arial"/>
                <w:sz w:val="16"/>
                <w:szCs w:val="16"/>
                <w:color w:val="auto"/>
              </w:rPr>
              <w:t>Safety and reliability</w:t>
            </w:r>
          </w:p>
        </w:tc>
        <w:tc>
          <w:tcPr>
            <w:tcW w:w="200" w:type="dxa"/>
            <w:vAlign w:val="bottom"/>
            <w:shd w:val="clear" w:color="auto" w:fill="D4F1F5"/>
          </w:tcPr>
          <w:p>
            <w:pPr>
              <w:spacing w:after="0"/>
              <w:rPr>
                <w:sz w:val="18"/>
                <w:szCs w:val="18"/>
                <w:color w:val="auto"/>
              </w:rPr>
            </w:pPr>
          </w:p>
        </w:tc>
        <w:tc>
          <w:tcPr>
            <w:tcW w:w="1060" w:type="dxa"/>
            <w:vAlign w:val="bottom"/>
            <w:shd w:val="clear" w:color="auto" w:fill="D4F1F5"/>
          </w:tcPr>
          <w:p>
            <w:pPr>
              <w:jc w:val="right"/>
              <w:ind w:right="20"/>
              <w:spacing w:after="0"/>
              <w:rPr>
                <w:sz w:val="20"/>
                <w:szCs w:val="20"/>
                <w:color w:val="auto"/>
              </w:rPr>
            </w:pPr>
            <w:r>
              <w:rPr>
                <w:rFonts w:ascii="Arial" w:cs="Arial" w:eastAsia="Arial" w:hAnsi="Arial"/>
                <w:sz w:val="16"/>
                <w:szCs w:val="16"/>
                <w:color w:val="auto"/>
              </w:rPr>
              <w:t>893</w:t>
            </w:r>
          </w:p>
        </w:tc>
        <w:tc>
          <w:tcPr>
            <w:tcW w:w="200" w:type="dxa"/>
            <w:vAlign w:val="bottom"/>
            <w:shd w:val="clear" w:color="auto" w:fill="D4F1F5"/>
          </w:tcPr>
          <w:p>
            <w:pPr>
              <w:spacing w:after="0"/>
              <w:rPr>
                <w:sz w:val="18"/>
                <w:szCs w:val="18"/>
                <w:color w:val="auto"/>
              </w:rPr>
            </w:pPr>
          </w:p>
        </w:tc>
        <w:tc>
          <w:tcPr>
            <w:tcW w:w="1080" w:type="dxa"/>
            <w:vAlign w:val="bottom"/>
            <w:shd w:val="clear" w:color="auto" w:fill="D4F1F5"/>
          </w:tcPr>
          <w:p>
            <w:pPr>
              <w:jc w:val="right"/>
              <w:spacing w:after="0"/>
              <w:rPr>
                <w:sz w:val="20"/>
                <w:szCs w:val="20"/>
                <w:color w:val="auto"/>
              </w:rPr>
            </w:pPr>
            <w:r>
              <w:rPr>
                <w:rFonts w:ascii="Arial" w:cs="Arial" w:eastAsia="Arial" w:hAnsi="Arial"/>
                <w:sz w:val="16"/>
                <w:szCs w:val="16"/>
                <w:color w:val="auto"/>
              </w:rPr>
              <w:t>894</w:t>
            </w:r>
          </w:p>
        </w:tc>
        <w:tc>
          <w:tcPr>
            <w:tcW w:w="120" w:type="dxa"/>
            <w:vAlign w:val="bottom"/>
            <w:shd w:val="clear" w:color="auto" w:fill="D4F1F5"/>
          </w:tcPr>
          <w:p>
            <w:pPr>
              <w:spacing w:after="0"/>
              <w:rPr>
                <w:sz w:val="18"/>
                <w:szCs w:val="18"/>
                <w:color w:val="auto"/>
              </w:rPr>
            </w:pPr>
          </w:p>
        </w:tc>
        <w:tc>
          <w:tcPr>
            <w:tcW w:w="200" w:type="dxa"/>
            <w:vAlign w:val="bottom"/>
            <w:shd w:val="clear" w:color="auto" w:fill="D4F1F5"/>
          </w:tcPr>
          <w:p>
            <w:pPr>
              <w:spacing w:after="0"/>
              <w:rPr>
                <w:sz w:val="18"/>
                <w:szCs w:val="18"/>
                <w:color w:val="auto"/>
              </w:rPr>
            </w:pPr>
          </w:p>
        </w:tc>
        <w:tc>
          <w:tcPr>
            <w:tcW w:w="1060" w:type="dxa"/>
            <w:vAlign w:val="bottom"/>
            <w:shd w:val="clear" w:color="auto" w:fill="D4F1F5"/>
          </w:tcPr>
          <w:p>
            <w:pPr>
              <w:jc w:val="right"/>
              <w:ind w:right="40"/>
              <w:spacing w:after="0"/>
              <w:rPr>
                <w:sz w:val="20"/>
                <w:szCs w:val="20"/>
                <w:color w:val="auto"/>
              </w:rPr>
            </w:pPr>
            <w:r>
              <w:rPr>
                <w:rFonts w:ascii="Arial" w:cs="Arial" w:eastAsia="Arial" w:hAnsi="Arial"/>
                <w:sz w:val="16"/>
                <w:szCs w:val="16"/>
                <w:color w:val="auto"/>
              </w:rPr>
              <w:t>290</w:t>
            </w:r>
          </w:p>
        </w:tc>
        <w:tc>
          <w:tcPr>
            <w:tcW w:w="180" w:type="dxa"/>
            <w:vAlign w:val="bottom"/>
            <w:shd w:val="clear" w:color="auto" w:fill="D4F1F5"/>
          </w:tcPr>
          <w:p>
            <w:pPr>
              <w:spacing w:after="0"/>
              <w:rPr>
                <w:sz w:val="18"/>
                <w:szCs w:val="18"/>
                <w:color w:val="auto"/>
              </w:rPr>
            </w:pPr>
          </w:p>
        </w:tc>
        <w:tc>
          <w:tcPr>
            <w:tcW w:w="1100" w:type="dxa"/>
            <w:vAlign w:val="bottom"/>
            <w:shd w:val="clear" w:color="auto" w:fill="D4F1F5"/>
          </w:tcPr>
          <w:p>
            <w:pPr>
              <w:jc w:val="right"/>
              <w:spacing w:after="0"/>
              <w:rPr>
                <w:sz w:val="20"/>
                <w:szCs w:val="20"/>
                <w:color w:val="auto"/>
              </w:rPr>
            </w:pPr>
            <w:r>
              <w:rPr>
                <w:rFonts w:ascii="Arial" w:cs="Arial" w:eastAsia="Arial" w:hAnsi="Arial"/>
                <w:sz w:val="16"/>
                <w:szCs w:val="16"/>
                <w:color w:val="auto"/>
              </w:rPr>
              <w:t>286</w:t>
            </w:r>
          </w:p>
        </w:tc>
        <w:tc>
          <w:tcPr>
            <w:tcW w:w="100" w:type="dxa"/>
            <w:vAlign w:val="bottom"/>
            <w:shd w:val="clear" w:color="auto" w:fill="D4F1F5"/>
          </w:tcPr>
          <w:p>
            <w:pPr>
              <w:spacing w:after="0"/>
              <w:rPr>
                <w:sz w:val="18"/>
                <w:szCs w:val="18"/>
                <w:color w:val="auto"/>
              </w:rPr>
            </w:pPr>
          </w:p>
        </w:tc>
        <w:tc>
          <w:tcPr>
            <w:tcW w:w="200" w:type="dxa"/>
            <w:vAlign w:val="bottom"/>
            <w:shd w:val="clear" w:color="auto" w:fill="D4F1F5"/>
          </w:tcPr>
          <w:p>
            <w:pPr>
              <w:spacing w:after="0"/>
              <w:rPr>
                <w:sz w:val="18"/>
                <w:szCs w:val="18"/>
                <w:color w:val="auto"/>
              </w:rPr>
            </w:pPr>
          </w:p>
        </w:tc>
        <w:tc>
          <w:tcPr>
            <w:tcW w:w="1060" w:type="dxa"/>
            <w:vAlign w:val="bottom"/>
            <w:shd w:val="clear" w:color="auto" w:fill="D4F1F5"/>
          </w:tcPr>
          <w:p>
            <w:pPr>
              <w:jc w:val="right"/>
              <w:ind w:right="40"/>
              <w:spacing w:after="0"/>
              <w:rPr>
                <w:sz w:val="20"/>
                <w:szCs w:val="20"/>
                <w:color w:val="auto"/>
              </w:rPr>
            </w:pPr>
            <w:r>
              <w:rPr>
                <w:rFonts w:ascii="Arial" w:cs="Arial" w:eastAsia="Arial" w:hAnsi="Arial"/>
                <w:sz w:val="16"/>
                <w:szCs w:val="16"/>
                <w:color w:val="auto"/>
              </w:rPr>
              <w:t>603</w:t>
            </w:r>
          </w:p>
        </w:tc>
        <w:tc>
          <w:tcPr>
            <w:tcW w:w="180" w:type="dxa"/>
            <w:vAlign w:val="bottom"/>
            <w:shd w:val="clear" w:color="auto" w:fill="D4F1F5"/>
          </w:tcPr>
          <w:p>
            <w:pPr>
              <w:spacing w:after="0"/>
              <w:rPr>
                <w:sz w:val="18"/>
                <w:szCs w:val="18"/>
                <w:color w:val="auto"/>
              </w:rPr>
            </w:pPr>
          </w:p>
        </w:tc>
        <w:tc>
          <w:tcPr>
            <w:tcW w:w="1100" w:type="dxa"/>
            <w:vAlign w:val="bottom"/>
            <w:shd w:val="clear" w:color="auto" w:fill="D4F1F5"/>
          </w:tcPr>
          <w:p>
            <w:pPr>
              <w:jc w:val="right"/>
              <w:spacing w:after="0"/>
              <w:rPr>
                <w:sz w:val="20"/>
                <w:szCs w:val="20"/>
                <w:color w:val="auto"/>
              </w:rPr>
            </w:pPr>
            <w:r>
              <w:rPr>
                <w:rFonts w:ascii="Arial" w:cs="Arial" w:eastAsia="Arial" w:hAnsi="Arial"/>
                <w:sz w:val="16"/>
                <w:szCs w:val="16"/>
                <w:color w:val="auto"/>
              </w:rPr>
              <w:t>608</w:t>
            </w:r>
          </w:p>
        </w:tc>
        <w:tc>
          <w:tcPr>
            <w:tcW w:w="0" w:type="dxa"/>
            <w:vAlign w:val="bottom"/>
          </w:tcPr>
          <w:p>
            <w:pPr>
              <w:spacing w:after="0"/>
              <w:rPr>
                <w:sz w:val="1"/>
                <w:szCs w:val="1"/>
                <w:color w:val="auto"/>
              </w:rPr>
            </w:pPr>
          </w:p>
        </w:tc>
      </w:tr>
      <w:tr>
        <w:trPr>
          <w:trHeight w:val="215"/>
        </w:trPr>
        <w:tc>
          <w:tcPr>
            <w:tcW w:w="3400" w:type="dxa"/>
            <w:vAlign w:val="bottom"/>
          </w:tcPr>
          <w:p>
            <w:pPr>
              <w:ind w:left="240"/>
              <w:spacing w:after="0"/>
              <w:rPr>
                <w:sz w:val="20"/>
                <w:szCs w:val="20"/>
                <w:color w:val="auto"/>
              </w:rPr>
            </w:pPr>
            <w:r>
              <w:rPr>
                <w:rFonts w:ascii="Arial" w:cs="Arial" w:eastAsia="Arial" w:hAnsi="Arial"/>
                <w:sz w:val="16"/>
                <w:szCs w:val="16"/>
                <w:color w:val="auto"/>
              </w:rPr>
              <w:t>Public purpose programs</w:t>
            </w:r>
          </w:p>
        </w:tc>
        <w:tc>
          <w:tcPr>
            <w:tcW w:w="2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(330)</w:t>
            </w:r>
          </w:p>
        </w:tc>
        <w:tc>
          <w:tcPr>
            <w:tcW w:w="2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(347)</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(143)</w:t>
            </w:r>
          </w:p>
        </w:tc>
        <w:tc>
          <w:tcPr>
            <w:tcW w:w="1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(175)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(187)</w:t>
            </w:r>
          </w:p>
        </w:tc>
        <w:tc>
          <w:tcPr>
            <w:tcW w:w="1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(172)</w:t>
            </w:r>
          </w:p>
        </w:tc>
        <w:tc>
          <w:tcPr>
            <w:tcW w:w="0" w:type="dxa"/>
            <w:vAlign w:val="bottom"/>
          </w:tcPr>
          <w:p>
            <w:pPr>
              <w:spacing w:after="0"/>
              <w:rPr>
                <w:sz w:val="1"/>
                <w:szCs w:val="1"/>
                <w:color w:val="auto"/>
              </w:rPr>
            </w:pPr>
          </w:p>
        </w:tc>
      </w:tr>
      <w:tr>
        <w:trPr>
          <w:trHeight w:val="217"/>
        </w:trPr>
        <w:tc>
          <w:tcPr>
            <w:tcW w:w="3400" w:type="dxa"/>
            <w:vAlign w:val="bottom"/>
            <w:shd w:val="clear" w:color="auto" w:fill="D4F1F5"/>
          </w:tcPr>
          <w:p>
            <w:pPr>
              <w:ind w:left="220"/>
              <w:spacing w:after="0"/>
              <w:rPr>
                <w:sz w:val="20"/>
                <w:szCs w:val="20"/>
                <w:color w:val="auto"/>
              </w:rPr>
            </w:pPr>
            <w:r>
              <w:rPr>
                <w:rFonts w:ascii="Arial" w:cs="Arial" w:eastAsia="Arial" w:hAnsi="Arial"/>
                <w:sz w:val="16"/>
                <w:szCs w:val="16"/>
                <w:color w:val="auto"/>
              </w:rPr>
              <w:t>2024 GRC retroactive impacts</w:t>
            </w:r>
          </w:p>
        </w:tc>
        <w:tc>
          <w:tcPr>
            <w:tcW w:w="200" w:type="dxa"/>
            <w:vAlign w:val="bottom"/>
            <w:shd w:val="clear" w:color="auto" w:fill="D4F1F5"/>
          </w:tcPr>
          <w:p>
            <w:pPr>
              <w:spacing w:after="0"/>
              <w:rPr>
                <w:sz w:val="18"/>
                <w:szCs w:val="18"/>
                <w:color w:val="auto"/>
              </w:rPr>
            </w:pPr>
          </w:p>
        </w:tc>
        <w:tc>
          <w:tcPr>
            <w:tcW w:w="1060" w:type="dxa"/>
            <w:vAlign w:val="bottom"/>
            <w:shd w:val="clear" w:color="auto" w:fill="D4F1F5"/>
          </w:tcPr>
          <w:p>
            <w:pPr>
              <w:jc w:val="right"/>
              <w:ind w:right="20"/>
              <w:spacing w:after="0"/>
              <w:rPr>
                <w:sz w:val="20"/>
                <w:szCs w:val="20"/>
                <w:color w:val="auto"/>
              </w:rPr>
            </w:pPr>
            <w:r>
              <w:rPr>
                <w:rFonts w:ascii="Arial" w:cs="Arial" w:eastAsia="Arial" w:hAnsi="Arial"/>
                <w:sz w:val="16"/>
                <w:szCs w:val="16"/>
                <w:color w:val="auto"/>
              </w:rPr>
              <w:t>172</w:t>
            </w:r>
          </w:p>
        </w:tc>
        <w:tc>
          <w:tcPr>
            <w:tcW w:w="200" w:type="dxa"/>
            <w:vAlign w:val="bottom"/>
            <w:shd w:val="clear" w:color="auto" w:fill="D4F1F5"/>
          </w:tcPr>
          <w:p>
            <w:pPr>
              <w:spacing w:after="0"/>
              <w:rPr>
                <w:sz w:val="18"/>
                <w:szCs w:val="18"/>
                <w:color w:val="auto"/>
              </w:rPr>
            </w:pPr>
          </w:p>
        </w:tc>
        <w:tc>
          <w:tcPr>
            <w:tcW w:w="1080" w:type="dxa"/>
            <w:vAlign w:val="bottom"/>
            <w:shd w:val="clear" w:color="auto" w:fill="D4F1F5"/>
          </w:tcPr>
          <w:p>
            <w:pPr>
              <w:jc w:val="right"/>
              <w:spacing w:after="0"/>
              <w:rPr>
                <w:sz w:val="20"/>
                <w:szCs w:val="20"/>
                <w:color w:val="auto"/>
              </w:rPr>
            </w:pPr>
            <w:r>
              <w:rPr>
                <w:rFonts w:ascii="Arial" w:cs="Arial" w:eastAsia="Arial" w:hAnsi="Arial"/>
                <w:sz w:val="16"/>
                <w:szCs w:val="16"/>
                <w:color w:val="auto"/>
              </w:rPr>
              <w:t>299</w:t>
            </w:r>
          </w:p>
        </w:tc>
        <w:tc>
          <w:tcPr>
            <w:tcW w:w="120" w:type="dxa"/>
            <w:vAlign w:val="bottom"/>
            <w:shd w:val="clear" w:color="auto" w:fill="D4F1F5"/>
          </w:tcPr>
          <w:p>
            <w:pPr>
              <w:spacing w:after="0"/>
              <w:rPr>
                <w:sz w:val="18"/>
                <w:szCs w:val="18"/>
                <w:color w:val="auto"/>
              </w:rPr>
            </w:pPr>
          </w:p>
        </w:tc>
        <w:tc>
          <w:tcPr>
            <w:tcW w:w="200" w:type="dxa"/>
            <w:vAlign w:val="bottom"/>
            <w:shd w:val="clear" w:color="auto" w:fill="D4F1F5"/>
          </w:tcPr>
          <w:p>
            <w:pPr>
              <w:spacing w:after="0"/>
              <w:rPr>
                <w:sz w:val="18"/>
                <w:szCs w:val="18"/>
                <w:color w:val="auto"/>
              </w:rPr>
            </w:pPr>
          </w:p>
        </w:tc>
        <w:tc>
          <w:tcPr>
            <w:tcW w:w="1060" w:type="dxa"/>
            <w:vAlign w:val="bottom"/>
            <w:shd w:val="clear" w:color="auto" w:fill="D4F1F5"/>
          </w:tcPr>
          <w:p>
            <w:pPr>
              <w:jc w:val="right"/>
              <w:ind w:right="40"/>
              <w:spacing w:after="0"/>
              <w:rPr>
                <w:sz w:val="20"/>
                <w:szCs w:val="20"/>
                <w:color w:val="auto"/>
              </w:rPr>
            </w:pPr>
            <w:r>
              <w:rPr>
                <w:rFonts w:ascii="Arial" w:cs="Arial" w:eastAsia="Arial" w:hAnsi="Arial"/>
                <w:sz w:val="16"/>
                <w:szCs w:val="16"/>
                <w:color w:val="auto"/>
              </w:rPr>
              <w:t>71</w:t>
            </w:r>
          </w:p>
        </w:tc>
        <w:tc>
          <w:tcPr>
            <w:tcW w:w="180" w:type="dxa"/>
            <w:vAlign w:val="bottom"/>
            <w:shd w:val="clear" w:color="auto" w:fill="D4F1F5"/>
          </w:tcPr>
          <w:p>
            <w:pPr>
              <w:spacing w:after="0"/>
              <w:rPr>
                <w:sz w:val="18"/>
                <w:szCs w:val="18"/>
                <w:color w:val="auto"/>
              </w:rPr>
            </w:pPr>
          </w:p>
        </w:tc>
        <w:tc>
          <w:tcPr>
            <w:tcW w:w="1100" w:type="dxa"/>
            <w:vAlign w:val="bottom"/>
            <w:shd w:val="clear" w:color="auto" w:fill="D4F1F5"/>
          </w:tcPr>
          <w:p>
            <w:pPr>
              <w:jc w:val="right"/>
              <w:spacing w:after="0"/>
              <w:rPr>
                <w:sz w:val="20"/>
                <w:szCs w:val="20"/>
                <w:color w:val="auto"/>
              </w:rPr>
            </w:pPr>
            <w:r>
              <w:rPr>
                <w:rFonts w:ascii="Arial" w:cs="Arial" w:eastAsia="Arial" w:hAnsi="Arial"/>
                <w:sz w:val="16"/>
                <w:szCs w:val="16"/>
                <w:color w:val="auto"/>
              </w:rPr>
              <w:t>124</w:t>
            </w:r>
          </w:p>
        </w:tc>
        <w:tc>
          <w:tcPr>
            <w:tcW w:w="100" w:type="dxa"/>
            <w:vAlign w:val="bottom"/>
            <w:shd w:val="clear" w:color="auto" w:fill="D4F1F5"/>
          </w:tcPr>
          <w:p>
            <w:pPr>
              <w:spacing w:after="0"/>
              <w:rPr>
                <w:sz w:val="18"/>
                <w:szCs w:val="18"/>
                <w:color w:val="auto"/>
              </w:rPr>
            </w:pPr>
          </w:p>
        </w:tc>
        <w:tc>
          <w:tcPr>
            <w:tcW w:w="200" w:type="dxa"/>
            <w:vAlign w:val="bottom"/>
            <w:shd w:val="clear" w:color="auto" w:fill="D4F1F5"/>
          </w:tcPr>
          <w:p>
            <w:pPr>
              <w:spacing w:after="0"/>
              <w:rPr>
                <w:sz w:val="18"/>
                <w:szCs w:val="18"/>
                <w:color w:val="auto"/>
              </w:rPr>
            </w:pPr>
          </w:p>
        </w:tc>
        <w:tc>
          <w:tcPr>
            <w:tcW w:w="1060" w:type="dxa"/>
            <w:vAlign w:val="bottom"/>
            <w:shd w:val="clear" w:color="auto" w:fill="D4F1F5"/>
          </w:tcPr>
          <w:p>
            <w:pPr>
              <w:jc w:val="right"/>
              <w:ind w:right="40"/>
              <w:spacing w:after="0"/>
              <w:rPr>
                <w:sz w:val="20"/>
                <w:szCs w:val="20"/>
                <w:color w:val="auto"/>
              </w:rPr>
            </w:pPr>
            <w:r>
              <w:rPr>
                <w:rFonts w:ascii="Arial" w:cs="Arial" w:eastAsia="Arial" w:hAnsi="Arial"/>
                <w:sz w:val="16"/>
                <w:szCs w:val="16"/>
                <w:color w:val="auto"/>
              </w:rPr>
              <w:t>101</w:t>
            </w:r>
          </w:p>
        </w:tc>
        <w:tc>
          <w:tcPr>
            <w:tcW w:w="180" w:type="dxa"/>
            <w:vAlign w:val="bottom"/>
            <w:shd w:val="clear" w:color="auto" w:fill="D4F1F5"/>
          </w:tcPr>
          <w:p>
            <w:pPr>
              <w:spacing w:after="0"/>
              <w:rPr>
                <w:sz w:val="18"/>
                <w:szCs w:val="18"/>
                <w:color w:val="auto"/>
              </w:rPr>
            </w:pPr>
          </w:p>
        </w:tc>
        <w:tc>
          <w:tcPr>
            <w:tcW w:w="1100" w:type="dxa"/>
            <w:vAlign w:val="bottom"/>
            <w:shd w:val="clear" w:color="auto" w:fill="D4F1F5"/>
          </w:tcPr>
          <w:p>
            <w:pPr>
              <w:jc w:val="right"/>
              <w:spacing w:after="0"/>
              <w:rPr>
                <w:sz w:val="20"/>
                <w:szCs w:val="20"/>
                <w:color w:val="auto"/>
              </w:rPr>
            </w:pPr>
            <w:r>
              <w:rPr>
                <w:rFonts w:ascii="Arial" w:cs="Arial" w:eastAsia="Arial" w:hAnsi="Arial"/>
                <w:sz w:val="16"/>
                <w:szCs w:val="16"/>
                <w:color w:val="auto"/>
              </w:rPr>
              <w:t>175</w:t>
            </w:r>
          </w:p>
        </w:tc>
        <w:tc>
          <w:tcPr>
            <w:tcW w:w="0" w:type="dxa"/>
            <w:vAlign w:val="bottom"/>
          </w:tcPr>
          <w:p>
            <w:pPr>
              <w:spacing w:after="0"/>
              <w:rPr>
                <w:sz w:val="1"/>
                <w:szCs w:val="1"/>
                <w:color w:val="auto"/>
              </w:rPr>
            </w:pPr>
          </w:p>
        </w:tc>
      </w:tr>
      <w:tr>
        <w:trPr>
          <w:trHeight w:val="215"/>
        </w:trPr>
        <w:tc>
          <w:tcPr>
            <w:tcW w:w="3400" w:type="dxa"/>
            <w:vAlign w:val="bottom"/>
          </w:tcPr>
          <w:p>
            <w:pPr>
              <w:ind w:left="240"/>
              <w:spacing w:after="0"/>
              <w:rPr>
                <w:sz w:val="20"/>
                <w:szCs w:val="20"/>
                <w:color w:val="auto"/>
              </w:rPr>
            </w:pPr>
            <w:r>
              <w:rPr>
                <w:rFonts w:ascii="Arial" w:cs="Arial" w:eastAsia="Arial" w:hAnsi="Arial"/>
                <w:sz w:val="16"/>
                <w:szCs w:val="16"/>
                <w:color w:val="auto"/>
              </w:rPr>
              <w:t>Wildfire mitigation plan</w:t>
            </w:r>
          </w:p>
        </w:tc>
        <w:tc>
          <w:tcPr>
            <w:tcW w:w="200" w:type="dxa"/>
            <w:vAlign w:val="bottom"/>
          </w:tcPr>
          <w:p>
            <w:pPr>
              <w:spacing w:after="0"/>
              <w:rPr>
                <w:sz w:val="18"/>
                <w:szCs w:val="18"/>
                <w:color w:val="auto"/>
              </w:rPr>
            </w:pPr>
          </w:p>
        </w:tc>
        <w:tc>
          <w:tcPr>
            <w:tcW w:w="1060" w:type="dxa"/>
            <w:vAlign w:val="bottom"/>
          </w:tcPr>
          <w:p>
            <w:pPr>
              <w:jc w:val="right"/>
              <w:ind w:right="20"/>
              <w:spacing w:after="0"/>
              <w:rPr>
                <w:sz w:val="20"/>
                <w:szCs w:val="20"/>
                <w:color w:val="auto"/>
              </w:rPr>
            </w:pPr>
            <w:r>
              <w:rPr>
                <w:rFonts w:ascii="Arial" w:cs="Arial" w:eastAsia="Arial" w:hAnsi="Arial"/>
                <w:sz w:val="16"/>
                <w:szCs w:val="16"/>
                <w:color w:val="auto"/>
              </w:rPr>
              <w:t>560</w:t>
            </w:r>
          </w:p>
        </w:tc>
        <w:tc>
          <w:tcPr>
            <w:tcW w:w="2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530</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jc w:val="right"/>
              <w:ind w:right="40"/>
              <w:spacing w:after="0"/>
              <w:rPr>
                <w:sz w:val="20"/>
                <w:szCs w:val="20"/>
                <w:color w:val="auto"/>
              </w:rPr>
            </w:pPr>
            <w:r>
              <w:rPr>
                <w:rFonts w:ascii="Arial" w:cs="Arial" w:eastAsia="Arial" w:hAnsi="Arial"/>
                <w:sz w:val="16"/>
                <w:szCs w:val="16"/>
                <w:color w:val="auto"/>
              </w:rPr>
              <w:t>560</w:t>
            </w:r>
          </w:p>
        </w:tc>
        <w:tc>
          <w:tcPr>
            <w:tcW w:w="1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530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7"/>
        </w:trPr>
        <w:tc>
          <w:tcPr>
            <w:tcW w:w="3400" w:type="dxa"/>
            <w:vAlign w:val="bottom"/>
            <w:shd w:val="clear" w:color="auto" w:fill="D4F1F5"/>
          </w:tcPr>
          <w:p>
            <w:pPr>
              <w:ind w:left="240"/>
              <w:spacing w:after="0"/>
              <w:rPr>
                <w:sz w:val="20"/>
                <w:szCs w:val="20"/>
                <w:color w:val="auto"/>
              </w:rPr>
            </w:pPr>
            <w:r>
              <w:rPr>
                <w:rFonts w:ascii="Arial" w:cs="Arial" w:eastAsia="Arial" w:hAnsi="Arial"/>
                <w:sz w:val="16"/>
                <w:szCs w:val="16"/>
                <w:color w:val="auto"/>
              </w:rPr>
              <w:t>Liability insurance premium</w:t>
            </w:r>
          </w:p>
        </w:tc>
        <w:tc>
          <w:tcPr>
            <w:tcW w:w="200" w:type="dxa"/>
            <w:vAlign w:val="bottom"/>
            <w:shd w:val="clear" w:color="auto" w:fill="D4F1F5"/>
          </w:tcPr>
          <w:p>
            <w:pPr>
              <w:spacing w:after="0"/>
              <w:rPr>
                <w:sz w:val="18"/>
                <w:szCs w:val="18"/>
                <w:color w:val="auto"/>
              </w:rPr>
            </w:pPr>
          </w:p>
        </w:tc>
        <w:tc>
          <w:tcPr>
            <w:tcW w:w="1060" w:type="dxa"/>
            <w:vAlign w:val="bottom"/>
            <w:shd w:val="clear" w:color="auto" w:fill="D4F1F5"/>
          </w:tcPr>
          <w:p>
            <w:pPr>
              <w:jc w:val="right"/>
              <w:spacing w:after="0"/>
              <w:rPr>
                <w:sz w:val="20"/>
                <w:szCs w:val="20"/>
                <w:color w:val="auto"/>
              </w:rPr>
            </w:pPr>
            <w:r>
              <w:rPr>
                <w:rFonts w:ascii="Arial" w:cs="Arial" w:eastAsia="Arial" w:hAnsi="Arial"/>
                <w:sz w:val="16"/>
                <w:szCs w:val="16"/>
                <w:color w:val="auto"/>
              </w:rPr>
              <w:t>(62)</w:t>
            </w:r>
          </w:p>
        </w:tc>
        <w:tc>
          <w:tcPr>
            <w:tcW w:w="200" w:type="dxa"/>
            <w:vAlign w:val="bottom"/>
            <w:shd w:val="clear" w:color="auto" w:fill="D4F1F5"/>
          </w:tcPr>
          <w:p>
            <w:pPr>
              <w:spacing w:after="0"/>
              <w:rPr>
                <w:sz w:val="18"/>
                <w:szCs w:val="18"/>
                <w:color w:val="auto"/>
              </w:rPr>
            </w:pPr>
          </w:p>
        </w:tc>
        <w:tc>
          <w:tcPr>
            <w:tcW w:w="1080" w:type="dxa"/>
            <w:vAlign w:val="bottom"/>
            <w:shd w:val="clear" w:color="auto" w:fill="D4F1F5"/>
          </w:tcPr>
          <w:p>
            <w:pPr>
              <w:jc w:val="right"/>
              <w:spacing w:after="0"/>
              <w:rPr>
                <w:sz w:val="20"/>
                <w:szCs w:val="20"/>
                <w:color w:val="auto"/>
              </w:rPr>
            </w:pPr>
            <w:r>
              <w:rPr>
                <w:rFonts w:ascii="Arial" w:cs="Arial" w:eastAsia="Arial" w:hAnsi="Arial"/>
                <w:sz w:val="16"/>
                <w:szCs w:val="16"/>
                <w:color w:val="auto"/>
              </w:rPr>
              <w:t>(62)</w:t>
            </w:r>
          </w:p>
        </w:tc>
        <w:tc>
          <w:tcPr>
            <w:tcW w:w="120" w:type="dxa"/>
            <w:vAlign w:val="bottom"/>
            <w:shd w:val="clear" w:color="auto" w:fill="D4F1F5"/>
          </w:tcPr>
          <w:p>
            <w:pPr>
              <w:spacing w:after="0"/>
              <w:rPr>
                <w:sz w:val="18"/>
                <w:szCs w:val="18"/>
                <w:color w:val="auto"/>
              </w:rPr>
            </w:pPr>
          </w:p>
        </w:tc>
        <w:tc>
          <w:tcPr>
            <w:tcW w:w="200" w:type="dxa"/>
            <w:vAlign w:val="bottom"/>
            <w:shd w:val="clear" w:color="auto" w:fill="D4F1F5"/>
          </w:tcPr>
          <w:p>
            <w:pPr>
              <w:spacing w:after="0"/>
              <w:rPr>
                <w:sz w:val="18"/>
                <w:szCs w:val="18"/>
                <w:color w:val="auto"/>
              </w:rPr>
            </w:pPr>
          </w:p>
        </w:tc>
        <w:tc>
          <w:tcPr>
            <w:tcW w:w="1060" w:type="dxa"/>
            <w:vAlign w:val="bottom"/>
            <w:shd w:val="clear" w:color="auto" w:fill="D4F1F5"/>
          </w:tcPr>
          <w:p>
            <w:pPr>
              <w:jc w:val="right"/>
              <w:spacing w:after="0"/>
              <w:rPr>
                <w:sz w:val="20"/>
                <w:szCs w:val="20"/>
                <w:color w:val="auto"/>
              </w:rPr>
            </w:pPr>
            <w:r>
              <w:rPr>
                <w:rFonts w:ascii="Arial" w:cs="Arial" w:eastAsia="Arial" w:hAnsi="Arial"/>
                <w:sz w:val="16"/>
                <w:szCs w:val="16"/>
                <w:color w:val="auto"/>
              </w:rPr>
              <w:t>(54)</w:t>
            </w:r>
          </w:p>
        </w:tc>
        <w:tc>
          <w:tcPr>
            <w:tcW w:w="180" w:type="dxa"/>
            <w:vAlign w:val="bottom"/>
            <w:shd w:val="clear" w:color="auto" w:fill="D4F1F5"/>
          </w:tcPr>
          <w:p>
            <w:pPr>
              <w:spacing w:after="0"/>
              <w:rPr>
                <w:sz w:val="18"/>
                <w:szCs w:val="18"/>
                <w:color w:val="auto"/>
              </w:rPr>
            </w:pPr>
          </w:p>
        </w:tc>
        <w:tc>
          <w:tcPr>
            <w:tcW w:w="1100" w:type="dxa"/>
            <w:vAlign w:val="bottom"/>
            <w:shd w:val="clear" w:color="auto" w:fill="D4F1F5"/>
          </w:tcPr>
          <w:p>
            <w:pPr>
              <w:jc w:val="right"/>
              <w:spacing w:after="0"/>
              <w:rPr>
                <w:sz w:val="20"/>
                <w:szCs w:val="20"/>
                <w:color w:val="auto"/>
              </w:rPr>
            </w:pPr>
            <w:r>
              <w:rPr>
                <w:rFonts w:ascii="Arial" w:cs="Arial" w:eastAsia="Arial" w:hAnsi="Arial"/>
                <w:sz w:val="16"/>
                <w:szCs w:val="16"/>
                <w:color w:val="auto"/>
              </w:rPr>
              <w:t>(53)</w:t>
            </w:r>
          </w:p>
        </w:tc>
        <w:tc>
          <w:tcPr>
            <w:tcW w:w="100" w:type="dxa"/>
            <w:vAlign w:val="bottom"/>
            <w:shd w:val="clear" w:color="auto" w:fill="D4F1F5"/>
          </w:tcPr>
          <w:p>
            <w:pPr>
              <w:spacing w:after="0"/>
              <w:rPr>
                <w:sz w:val="18"/>
                <w:szCs w:val="18"/>
                <w:color w:val="auto"/>
              </w:rPr>
            </w:pPr>
          </w:p>
        </w:tc>
        <w:tc>
          <w:tcPr>
            <w:tcW w:w="200" w:type="dxa"/>
            <w:vAlign w:val="bottom"/>
            <w:shd w:val="clear" w:color="auto" w:fill="D4F1F5"/>
          </w:tcPr>
          <w:p>
            <w:pPr>
              <w:spacing w:after="0"/>
              <w:rPr>
                <w:sz w:val="18"/>
                <w:szCs w:val="18"/>
                <w:color w:val="auto"/>
              </w:rPr>
            </w:pPr>
          </w:p>
        </w:tc>
        <w:tc>
          <w:tcPr>
            <w:tcW w:w="1060" w:type="dxa"/>
            <w:vAlign w:val="bottom"/>
            <w:shd w:val="clear" w:color="auto" w:fill="D4F1F5"/>
          </w:tcPr>
          <w:p>
            <w:pPr>
              <w:jc w:val="right"/>
              <w:spacing w:after="0"/>
              <w:rPr>
                <w:sz w:val="20"/>
                <w:szCs w:val="20"/>
                <w:color w:val="auto"/>
              </w:rPr>
            </w:pPr>
            <w:r>
              <w:rPr>
                <w:rFonts w:ascii="Arial" w:cs="Arial" w:eastAsia="Arial" w:hAnsi="Arial"/>
                <w:sz w:val="16"/>
                <w:szCs w:val="16"/>
                <w:color w:val="auto"/>
              </w:rPr>
              <w:t>(8)</w:t>
            </w:r>
          </w:p>
        </w:tc>
        <w:tc>
          <w:tcPr>
            <w:tcW w:w="180" w:type="dxa"/>
            <w:vAlign w:val="bottom"/>
            <w:shd w:val="clear" w:color="auto" w:fill="D4F1F5"/>
          </w:tcPr>
          <w:p>
            <w:pPr>
              <w:spacing w:after="0"/>
              <w:rPr>
                <w:sz w:val="18"/>
                <w:szCs w:val="18"/>
                <w:color w:val="auto"/>
              </w:rPr>
            </w:pPr>
          </w:p>
        </w:tc>
        <w:tc>
          <w:tcPr>
            <w:tcW w:w="1100" w:type="dxa"/>
            <w:vAlign w:val="bottom"/>
            <w:shd w:val="clear" w:color="auto" w:fill="D4F1F5"/>
          </w:tcPr>
          <w:p>
            <w:pPr>
              <w:jc w:val="right"/>
              <w:spacing w:after="0"/>
              <w:rPr>
                <w:sz w:val="20"/>
                <w:szCs w:val="20"/>
                <w:color w:val="auto"/>
              </w:rPr>
            </w:pPr>
            <w:r>
              <w:rPr>
                <w:rFonts w:ascii="Arial" w:cs="Arial" w:eastAsia="Arial" w:hAnsi="Arial"/>
                <w:sz w:val="16"/>
                <w:szCs w:val="16"/>
                <w:color w:val="auto"/>
              </w:rPr>
              <w:t>(9)</w:t>
            </w:r>
          </w:p>
        </w:tc>
        <w:tc>
          <w:tcPr>
            <w:tcW w:w="0" w:type="dxa"/>
            <w:vAlign w:val="bottom"/>
          </w:tcPr>
          <w:p>
            <w:pPr>
              <w:spacing w:after="0"/>
              <w:rPr>
                <w:sz w:val="1"/>
                <w:szCs w:val="1"/>
                <w:color w:val="auto"/>
              </w:rPr>
            </w:pPr>
          </w:p>
        </w:tc>
      </w:tr>
      <w:tr>
        <w:trPr>
          <w:trHeight w:val="215"/>
        </w:trPr>
        <w:tc>
          <w:tcPr>
            <w:tcW w:w="3400" w:type="dxa"/>
            <w:vAlign w:val="bottom"/>
          </w:tcPr>
          <w:p>
            <w:pPr>
              <w:ind w:left="240"/>
              <w:spacing w:after="0"/>
              <w:rPr>
                <w:sz w:val="20"/>
                <w:szCs w:val="20"/>
                <w:color w:val="auto"/>
              </w:rPr>
            </w:pPr>
            <w:r>
              <w:rPr>
                <w:rFonts w:ascii="Arial" w:cs="Arial" w:eastAsia="Arial" w:hAnsi="Arial"/>
                <w:sz w:val="16"/>
                <w:szCs w:val="16"/>
                <w:color w:val="auto"/>
              </w:rPr>
              <w:t>Other balancing accounts</w:t>
            </w:r>
          </w:p>
        </w:tc>
        <w:tc>
          <w:tcPr>
            <w:tcW w:w="2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(254)</w:t>
            </w:r>
          </w:p>
        </w:tc>
        <w:tc>
          <w:tcPr>
            <w:tcW w:w="2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90</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(150)</w:t>
            </w:r>
          </w:p>
        </w:tc>
        <w:tc>
          <w:tcPr>
            <w:tcW w:w="1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4</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(104)</w:t>
            </w:r>
          </w:p>
        </w:tc>
        <w:tc>
          <w:tcPr>
            <w:tcW w:w="1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86</w:t>
            </w:r>
          </w:p>
        </w:tc>
        <w:tc>
          <w:tcPr>
            <w:tcW w:w="0" w:type="dxa"/>
            <w:vAlign w:val="bottom"/>
          </w:tcPr>
          <w:p>
            <w:pPr>
              <w:spacing w:after="0"/>
              <w:rPr>
                <w:sz w:val="1"/>
                <w:szCs w:val="1"/>
                <w:color w:val="auto"/>
              </w:rPr>
            </w:pPr>
          </w:p>
        </w:tc>
      </w:tr>
      <w:tr>
        <w:trPr>
          <w:trHeight w:val="217"/>
        </w:trPr>
        <w:tc>
          <w:tcPr>
            <w:tcW w:w="3400" w:type="dxa"/>
            <w:vAlign w:val="bottom"/>
            <w:shd w:val="clear" w:color="auto" w:fill="D4F1F5"/>
          </w:tcPr>
          <w:p>
            <w:pPr>
              <w:ind w:left="20"/>
              <w:spacing w:after="0" w:line="217" w:lineRule="exact"/>
              <w:rPr>
                <w:sz w:val="20"/>
                <w:szCs w:val="20"/>
                <w:color w:val="auto"/>
              </w:rPr>
            </w:pPr>
            <w:r>
              <w:rPr>
                <w:rFonts w:ascii="Arial" w:cs="Arial" w:eastAsia="Arial" w:hAnsi="Arial"/>
                <w:sz w:val="16"/>
                <w:szCs w:val="16"/>
                <w:color w:val="auto"/>
              </w:rPr>
              <w:t>Other regulatory assets, net</w:t>
            </w:r>
            <w:r>
              <w:rPr>
                <w:rFonts w:ascii="Arial" w:cs="Arial" w:eastAsia="Arial" w:hAnsi="Arial"/>
                <w:sz w:val="21"/>
                <w:szCs w:val="21"/>
                <w:color w:val="auto"/>
                <w:vertAlign w:val="superscript"/>
              </w:rPr>
              <w:t>(3)</w:t>
            </w:r>
          </w:p>
        </w:tc>
        <w:tc>
          <w:tcPr>
            <w:tcW w:w="200" w:type="dxa"/>
            <w:vAlign w:val="bottom"/>
            <w:tcBorders>
              <w:bottom w:val="single" w:sz="8" w:color="auto"/>
            </w:tcBorders>
            <w:shd w:val="clear" w:color="auto" w:fill="D4F1F5"/>
          </w:tcPr>
          <w:p>
            <w:pPr>
              <w:spacing w:after="0"/>
              <w:rPr>
                <w:sz w:val="18"/>
                <w:szCs w:val="18"/>
                <w:color w:val="auto"/>
              </w:rPr>
            </w:pPr>
          </w:p>
        </w:tc>
        <w:tc>
          <w:tcPr>
            <w:tcW w:w="1060" w:type="dxa"/>
            <w:vAlign w:val="bottom"/>
            <w:tcBorders>
              <w:bottom w:val="single" w:sz="8" w:color="auto"/>
            </w:tcBorders>
            <w:shd w:val="clear" w:color="auto" w:fill="D4F1F5"/>
          </w:tcPr>
          <w:p>
            <w:pPr>
              <w:jc w:val="right"/>
              <w:ind w:right="20"/>
              <w:spacing w:after="0"/>
              <w:rPr>
                <w:sz w:val="20"/>
                <w:szCs w:val="20"/>
                <w:color w:val="auto"/>
              </w:rPr>
            </w:pPr>
            <w:r>
              <w:rPr>
                <w:rFonts w:ascii="Arial" w:cs="Arial" w:eastAsia="Arial" w:hAnsi="Arial"/>
                <w:sz w:val="16"/>
                <w:szCs w:val="16"/>
                <w:color w:val="auto"/>
              </w:rPr>
              <w:t>60</w:t>
            </w:r>
          </w:p>
        </w:tc>
        <w:tc>
          <w:tcPr>
            <w:tcW w:w="200" w:type="dxa"/>
            <w:vAlign w:val="bottom"/>
            <w:tcBorders>
              <w:bottom w:val="single" w:sz="8" w:color="auto"/>
            </w:tcBorders>
            <w:shd w:val="clear" w:color="auto" w:fill="D4F1F5"/>
          </w:tcPr>
          <w:p>
            <w:pPr>
              <w:spacing w:after="0"/>
              <w:rPr>
                <w:sz w:val="18"/>
                <w:szCs w:val="18"/>
                <w:color w:val="auto"/>
              </w:rPr>
            </w:pPr>
          </w:p>
        </w:tc>
        <w:tc>
          <w:tcPr>
            <w:tcW w:w="1080" w:type="dxa"/>
            <w:vAlign w:val="bottom"/>
            <w:tcBorders>
              <w:bottom w:val="single" w:sz="8" w:color="auto"/>
            </w:tcBorders>
            <w:shd w:val="clear" w:color="auto" w:fill="D4F1F5"/>
          </w:tcPr>
          <w:p>
            <w:pPr>
              <w:jc w:val="right"/>
              <w:spacing w:after="0"/>
              <w:rPr>
                <w:sz w:val="20"/>
                <w:szCs w:val="20"/>
                <w:color w:val="auto"/>
              </w:rPr>
            </w:pPr>
            <w:r>
              <w:rPr>
                <w:rFonts w:ascii="Arial" w:cs="Arial" w:eastAsia="Arial" w:hAnsi="Arial"/>
                <w:sz w:val="16"/>
                <w:szCs w:val="16"/>
                <w:color w:val="auto"/>
              </w:rPr>
              <w:t>104</w:t>
            </w:r>
          </w:p>
        </w:tc>
        <w:tc>
          <w:tcPr>
            <w:tcW w:w="120" w:type="dxa"/>
            <w:vAlign w:val="bottom"/>
            <w:tcBorders>
              <w:bottom w:val="single" w:sz="8" w:color="auto"/>
            </w:tcBorders>
            <w:shd w:val="clear" w:color="auto" w:fill="D4F1F5"/>
          </w:tcPr>
          <w:p>
            <w:pPr>
              <w:spacing w:after="0"/>
              <w:rPr>
                <w:sz w:val="18"/>
                <w:szCs w:val="18"/>
                <w:color w:val="auto"/>
              </w:rPr>
            </w:pPr>
          </w:p>
        </w:tc>
        <w:tc>
          <w:tcPr>
            <w:tcW w:w="200" w:type="dxa"/>
            <w:vAlign w:val="bottom"/>
            <w:tcBorders>
              <w:bottom w:val="single" w:sz="8" w:color="auto"/>
            </w:tcBorders>
            <w:shd w:val="clear" w:color="auto" w:fill="D4F1F5"/>
          </w:tcPr>
          <w:p>
            <w:pPr>
              <w:spacing w:after="0"/>
              <w:rPr>
                <w:sz w:val="18"/>
                <w:szCs w:val="18"/>
                <w:color w:val="auto"/>
              </w:rPr>
            </w:pPr>
          </w:p>
        </w:tc>
        <w:tc>
          <w:tcPr>
            <w:tcW w:w="1060" w:type="dxa"/>
            <w:vAlign w:val="bottom"/>
            <w:tcBorders>
              <w:bottom w:val="single" w:sz="8" w:color="auto"/>
            </w:tcBorders>
            <w:shd w:val="clear" w:color="auto" w:fill="D4F1F5"/>
          </w:tcPr>
          <w:p>
            <w:pPr>
              <w:jc w:val="right"/>
              <w:ind w:right="40"/>
              <w:spacing w:after="0"/>
              <w:rPr>
                <w:sz w:val="20"/>
                <w:szCs w:val="20"/>
                <w:color w:val="auto"/>
              </w:rPr>
            </w:pPr>
            <w:r>
              <w:rPr>
                <w:rFonts w:ascii="Arial" w:cs="Arial" w:eastAsia="Arial" w:hAnsi="Arial"/>
                <w:sz w:val="16"/>
                <w:szCs w:val="16"/>
                <w:color w:val="auto"/>
              </w:rPr>
              <w:t>61</w:t>
            </w:r>
          </w:p>
        </w:tc>
        <w:tc>
          <w:tcPr>
            <w:tcW w:w="180" w:type="dxa"/>
            <w:vAlign w:val="bottom"/>
            <w:tcBorders>
              <w:bottom w:val="single" w:sz="8" w:color="auto"/>
            </w:tcBorders>
            <w:shd w:val="clear" w:color="auto" w:fill="D4F1F5"/>
          </w:tcPr>
          <w:p>
            <w:pPr>
              <w:spacing w:after="0"/>
              <w:rPr>
                <w:sz w:val="18"/>
                <w:szCs w:val="18"/>
                <w:color w:val="auto"/>
              </w:rPr>
            </w:pPr>
          </w:p>
        </w:tc>
        <w:tc>
          <w:tcPr>
            <w:tcW w:w="1100" w:type="dxa"/>
            <w:vAlign w:val="bottom"/>
            <w:tcBorders>
              <w:bottom w:val="single" w:sz="8" w:color="auto"/>
            </w:tcBorders>
            <w:shd w:val="clear" w:color="auto" w:fill="D4F1F5"/>
          </w:tcPr>
          <w:p>
            <w:pPr>
              <w:jc w:val="right"/>
              <w:spacing w:after="0"/>
              <w:rPr>
                <w:sz w:val="20"/>
                <w:szCs w:val="20"/>
                <w:color w:val="auto"/>
              </w:rPr>
            </w:pPr>
            <w:r>
              <w:rPr>
                <w:rFonts w:ascii="Arial" w:cs="Arial" w:eastAsia="Arial" w:hAnsi="Arial"/>
                <w:sz w:val="16"/>
                <w:szCs w:val="16"/>
                <w:color w:val="auto"/>
              </w:rPr>
              <w:t>72</w:t>
            </w:r>
          </w:p>
        </w:tc>
        <w:tc>
          <w:tcPr>
            <w:tcW w:w="100" w:type="dxa"/>
            <w:vAlign w:val="bottom"/>
            <w:tcBorders>
              <w:bottom w:val="single" w:sz="8" w:color="auto"/>
            </w:tcBorders>
            <w:shd w:val="clear" w:color="auto" w:fill="D4F1F5"/>
          </w:tcPr>
          <w:p>
            <w:pPr>
              <w:spacing w:after="0"/>
              <w:rPr>
                <w:sz w:val="18"/>
                <w:szCs w:val="18"/>
                <w:color w:val="auto"/>
              </w:rPr>
            </w:pPr>
          </w:p>
        </w:tc>
        <w:tc>
          <w:tcPr>
            <w:tcW w:w="200" w:type="dxa"/>
            <w:vAlign w:val="bottom"/>
            <w:tcBorders>
              <w:bottom w:val="single" w:sz="8" w:color="auto"/>
            </w:tcBorders>
            <w:shd w:val="clear" w:color="auto" w:fill="D4F1F5"/>
          </w:tcPr>
          <w:p>
            <w:pPr>
              <w:spacing w:after="0"/>
              <w:rPr>
                <w:sz w:val="18"/>
                <w:szCs w:val="18"/>
                <w:color w:val="auto"/>
              </w:rPr>
            </w:pPr>
          </w:p>
        </w:tc>
        <w:tc>
          <w:tcPr>
            <w:tcW w:w="1060" w:type="dxa"/>
            <w:vAlign w:val="bottom"/>
            <w:tcBorders>
              <w:bottom w:val="single" w:sz="8" w:color="auto"/>
            </w:tcBorders>
            <w:shd w:val="clear" w:color="auto" w:fill="D4F1F5"/>
          </w:tcPr>
          <w:p>
            <w:pPr>
              <w:jc w:val="right"/>
              <w:spacing w:after="0"/>
              <w:rPr>
                <w:sz w:val="20"/>
                <w:szCs w:val="20"/>
                <w:color w:val="auto"/>
              </w:rPr>
            </w:pPr>
            <w:r>
              <w:rPr>
                <w:rFonts w:ascii="Arial" w:cs="Arial" w:eastAsia="Arial" w:hAnsi="Arial"/>
                <w:sz w:val="16"/>
                <w:szCs w:val="16"/>
                <w:color w:val="auto"/>
              </w:rPr>
              <w:t>(1)</w:t>
            </w:r>
          </w:p>
        </w:tc>
        <w:tc>
          <w:tcPr>
            <w:tcW w:w="180" w:type="dxa"/>
            <w:vAlign w:val="bottom"/>
            <w:tcBorders>
              <w:bottom w:val="single" w:sz="8" w:color="auto"/>
            </w:tcBorders>
            <w:shd w:val="clear" w:color="auto" w:fill="D4F1F5"/>
          </w:tcPr>
          <w:p>
            <w:pPr>
              <w:spacing w:after="0"/>
              <w:rPr>
                <w:sz w:val="18"/>
                <w:szCs w:val="18"/>
                <w:color w:val="auto"/>
              </w:rPr>
            </w:pPr>
          </w:p>
        </w:tc>
        <w:tc>
          <w:tcPr>
            <w:tcW w:w="1100" w:type="dxa"/>
            <w:vAlign w:val="bottom"/>
            <w:tcBorders>
              <w:bottom w:val="single" w:sz="8" w:color="auto"/>
            </w:tcBorders>
            <w:shd w:val="clear" w:color="auto" w:fill="D4F1F5"/>
          </w:tcPr>
          <w:p>
            <w:pPr>
              <w:jc w:val="right"/>
              <w:spacing w:after="0"/>
              <w:rPr>
                <w:sz w:val="20"/>
                <w:szCs w:val="20"/>
                <w:color w:val="auto"/>
              </w:rPr>
            </w:pPr>
            <w:r>
              <w:rPr>
                <w:rFonts w:ascii="Arial" w:cs="Arial" w:eastAsia="Arial" w:hAnsi="Arial"/>
                <w:sz w:val="16"/>
                <w:szCs w:val="16"/>
                <w:color w:val="auto"/>
              </w:rPr>
              <w:t>32</w:t>
            </w:r>
          </w:p>
        </w:tc>
        <w:tc>
          <w:tcPr>
            <w:tcW w:w="0" w:type="dxa"/>
            <w:vAlign w:val="bottom"/>
          </w:tcPr>
          <w:p>
            <w:pPr>
              <w:spacing w:after="0"/>
              <w:rPr>
                <w:sz w:val="1"/>
                <w:szCs w:val="1"/>
                <w:color w:val="auto"/>
              </w:rPr>
            </w:pPr>
          </w:p>
        </w:tc>
      </w:tr>
      <w:tr>
        <w:trPr>
          <w:trHeight w:val="217"/>
        </w:trPr>
        <w:tc>
          <w:tcPr>
            <w:tcW w:w="3400" w:type="dxa"/>
            <w:vAlign w:val="bottom"/>
            <w:tcBorders>
              <w:bottom w:val="single" w:sz="8" w:color="auto"/>
            </w:tcBorders>
          </w:tcPr>
          <w:p>
            <w:pPr>
              <w:ind w:left="140"/>
              <w:spacing w:after="0"/>
              <w:rPr>
                <w:sz w:val="20"/>
                <w:szCs w:val="20"/>
                <w:color w:val="auto"/>
              </w:rPr>
            </w:pPr>
            <w:r>
              <w:rPr>
                <w:rFonts w:ascii="Arial" w:cs="Arial" w:eastAsia="Arial" w:hAnsi="Arial"/>
                <w:sz w:val="16"/>
                <w:szCs w:val="16"/>
                <w:color w:val="auto"/>
              </w:rPr>
              <w:t>Total</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332</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376</w:t>
            </w:r>
          </w:p>
        </w:tc>
        <w:tc>
          <w:tcPr>
            <w:tcW w:w="32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(651)</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(577)</w:t>
            </w:r>
          </w:p>
        </w:tc>
        <w:tc>
          <w:tcPr>
            <w:tcW w:w="1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948</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926</w:t>
            </w:r>
          </w:p>
        </w:tc>
        <w:tc>
          <w:tcPr>
            <w:tcW w:w="0" w:type="dxa"/>
            <w:vAlign w:val="bottom"/>
          </w:tcPr>
          <w:p>
            <w:pPr>
              <w:spacing w:after="0"/>
              <w:rPr>
                <w:sz w:val="1"/>
                <w:szCs w:val="1"/>
                <w:color w:val="auto"/>
              </w:rPr>
            </w:pPr>
          </w:p>
        </w:tc>
      </w:tr>
    </w:tbl>
    <w:p>
      <w:pPr>
        <w:spacing w:after="0" w:line="61" w:lineRule="exact"/>
        <w:rPr>
          <w:sz w:val="20"/>
          <w:szCs w:val="20"/>
          <w:color w:val="auto"/>
        </w:rPr>
      </w:pPr>
    </w:p>
    <w:p>
      <w:pPr>
        <w:ind w:left="260" w:hanging="252"/>
        <w:spacing w:after="0"/>
        <w:tabs>
          <w:tab w:leader="none" w:pos="260" w:val="left"/>
        </w:tabs>
        <w:numPr>
          <w:ilvl w:val="0"/>
          <w:numId w:val="18"/>
        </w:numPr>
        <w:rPr>
          <w:rFonts w:ascii="Arial" w:cs="Arial" w:eastAsia="Arial" w:hAnsi="Arial"/>
          <w:sz w:val="21"/>
          <w:szCs w:val="21"/>
          <w:i w:val="1"/>
          <w:iCs w:val="1"/>
          <w:color w:val="auto"/>
          <w:vertAlign w:val="superscript"/>
        </w:rPr>
      </w:pPr>
      <w:r>
        <w:rPr>
          <w:rFonts w:ascii="Arial" w:cs="Arial" w:eastAsia="Arial" w:hAnsi="Arial"/>
          <w:sz w:val="14"/>
          <w:szCs w:val="14"/>
          <w:i w:val="1"/>
          <w:iCs w:val="1"/>
          <w:color w:val="auto"/>
        </w:rPr>
        <w:t>At March 31, 2026 and December 31, 2025, $57 and $54, respectively, is included in Assets Held for Sale on the Sempra Condensed Consolidated Balance Sheets.</w:t>
      </w:r>
    </w:p>
    <w:p>
      <w:pPr>
        <w:spacing w:after="0" w:line="26" w:lineRule="exact"/>
        <w:rPr>
          <w:rFonts w:ascii="Arial" w:cs="Arial" w:eastAsia="Arial" w:hAnsi="Arial"/>
          <w:sz w:val="21"/>
          <w:szCs w:val="21"/>
          <w:i w:val="1"/>
          <w:iCs w:val="1"/>
          <w:color w:val="auto"/>
          <w:vertAlign w:val="superscript"/>
        </w:rPr>
      </w:pPr>
    </w:p>
    <w:p>
      <w:pPr>
        <w:ind w:left="340" w:right="40" w:hanging="332"/>
        <w:spacing w:after="0" w:line="209" w:lineRule="auto"/>
        <w:tabs>
          <w:tab w:leader="none" w:pos="299" w:val="left"/>
        </w:tabs>
        <w:numPr>
          <w:ilvl w:val="0"/>
          <w:numId w:val="18"/>
        </w:numPr>
        <w:rPr>
          <w:rFonts w:ascii="Arial" w:cs="Arial" w:eastAsia="Arial" w:hAnsi="Arial"/>
          <w:sz w:val="21"/>
          <w:szCs w:val="21"/>
          <w:i w:val="1"/>
          <w:iCs w:val="1"/>
          <w:color w:val="auto"/>
          <w:vertAlign w:val="superscript"/>
        </w:rPr>
      </w:pPr>
      <w:r>
        <w:rPr>
          <w:rFonts w:ascii="Arial" w:cs="Arial" w:eastAsia="Arial" w:hAnsi="Arial"/>
          <w:sz w:val="14"/>
          <w:szCs w:val="14"/>
          <w:i w:val="1"/>
          <w:iCs w:val="1"/>
          <w:color w:val="auto"/>
        </w:rPr>
        <w:t>At March 31, 2026 and December 31, 2025, the noncurrent portion of regulatory balancing accounts – net undercollected for Sempra is $1,073 and $1,060, respectively, for SDG&amp;E is $505 and $502, respectively, and for SoCalGas is $568 and $558, respectively.</w:t>
      </w:r>
    </w:p>
    <w:p>
      <w:pPr>
        <w:spacing w:after="0" w:line="1" w:lineRule="exact"/>
        <w:rPr>
          <w:rFonts w:ascii="Arial" w:cs="Arial" w:eastAsia="Arial" w:hAnsi="Arial"/>
          <w:sz w:val="21"/>
          <w:szCs w:val="21"/>
          <w:i w:val="1"/>
          <w:iCs w:val="1"/>
          <w:color w:val="auto"/>
          <w:vertAlign w:val="superscript"/>
        </w:rPr>
      </w:pPr>
    </w:p>
    <w:p>
      <w:pPr>
        <w:ind w:left="260" w:hanging="252"/>
        <w:spacing w:after="0" w:line="214" w:lineRule="auto"/>
        <w:tabs>
          <w:tab w:leader="none" w:pos="260" w:val="left"/>
        </w:tabs>
        <w:numPr>
          <w:ilvl w:val="0"/>
          <w:numId w:val="18"/>
        </w:numPr>
        <w:rPr>
          <w:rFonts w:ascii="Arial" w:cs="Arial" w:eastAsia="Arial" w:hAnsi="Arial"/>
          <w:sz w:val="21"/>
          <w:szCs w:val="21"/>
          <w:i w:val="1"/>
          <w:iCs w:val="1"/>
          <w:color w:val="auto"/>
          <w:vertAlign w:val="superscript"/>
        </w:rPr>
      </w:pPr>
      <w:r>
        <w:rPr>
          <w:rFonts w:ascii="Arial" w:cs="Arial" w:eastAsia="Arial" w:hAnsi="Arial"/>
          <w:sz w:val="14"/>
          <w:szCs w:val="14"/>
          <w:i w:val="1"/>
          <w:iCs w:val="1"/>
          <w:color w:val="auto"/>
        </w:rPr>
        <w:t>Includes regulatory assets earning a return authorized by applicable regulators, which generally approximates the three-month commercial paper rate.</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Catastrophic Event Memorandum Account</w:t>
      </w:r>
    </w:p>
    <w:p>
      <w:pPr>
        <w:spacing w:after="0" w:line="49" w:lineRule="exact"/>
        <w:rPr>
          <w:sz w:val="20"/>
          <w:szCs w:val="20"/>
          <w:color w:val="auto"/>
        </w:rPr>
      </w:pPr>
    </w:p>
    <w:p>
      <w:pPr>
        <w:ind w:right="160"/>
        <w:spacing w:after="0" w:line="271" w:lineRule="auto"/>
        <w:rPr>
          <w:sz w:val="20"/>
          <w:szCs w:val="20"/>
          <w:color w:val="auto"/>
        </w:rPr>
      </w:pPr>
      <w:r>
        <w:rPr>
          <w:rFonts w:ascii="Times New Roman" w:cs="Times New Roman" w:eastAsia="Times New Roman" w:hAnsi="Times New Roman"/>
          <w:sz w:val="18"/>
          <w:szCs w:val="18"/>
          <w:color w:val="auto"/>
        </w:rPr>
        <w:t>In July 2025, the CPUC issued an FD that authorized partial recovery of costs recorded in SoCalGas’ Catastrophic Event Memorandum Account. The FD authorized the recovery of $19 million out of the requested $55 million, denying recovery of coronavirus disease 2019 costs included in the Catastrophic Event Memorandum Account. The CPUC denied SoCalGas’ request for a rehearing of the FD. In February 2026, SoCalGas filed a petition with the California Court of Appeal.</w:t>
      </w: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150495</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CPUC GRC</w:t>
      </w:r>
    </w:p>
    <w:p>
      <w:pPr>
        <w:spacing w:after="0" w:line="118" w:lineRule="exact"/>
        <w:rPr>
          <w:sz w:val="20"/>
          <w:szCs w:val="20"/>
          <w:color w:val="auto"/>
        </w:rPr>
      </w:pPr>
    </w:p>
    <w:p>
      <w:pPr>
        <w:ind w:right="100"/>
        <w:spacing w:after="0" w:line="271" w:lineRule="auto"/>
        <w:rPr>
          <w:sz w:val="20"/>
          <w:szCs w:val="20"/>
          <w:color w:val="auto"/>
        </w:rPr>
      </w:pPr>
      <w:r>
        <w:rPr>
          <w:rFonts w:ascii="Times New Roman" w:cs="Times New Roman" w:eastAsia="Times New Roman" w:hAnsi="Times New Roman"/>
          <w:sz w:val="18"/>
          <w:szCs w:val="18"/>
          <w:color w:val="auto"/>
        </w:rPr>
        <w:t>A CPUC GRC proceeding is designed to set authorized base revenue requirements that are sufficient to allow SDG&amp;E and SoCalGas to recover their reasonable operating costs and to provide the opportunity to realize their authorized rates of return on their capital investments. In December 2024, the CPUC approved an FD in the 2024 GRC for SDG&amp;E and SoCalGas that authorizes SDG&amp;E’s and SoCalGas’ revenue requirements for 2024 and attrition year adjustments for 2025 through 2027, inclusively.</w:t>
      </w:r>
    </w:p>
    <w:p>
      <w:pPr>
        <w:spacing w:after="0" w:line="78" w:lineRule="exact"/>
        <w:rPr>
          <w:sz w:val="20"/>
          <w:szCs w:val="20"/>
          <w:color w:val="auto"/>
        </w:rPr>
      </w:pPr>
    </w:p>
    <w:p>
      <w:pPr>
        <w:ind w:right="40"/>
        <w:spacing w:after="0" w:line="271" w:lineRule="auto"/>
        <w:rPr>
          <w:sz w:val="20"/>
          <w:szCs w:val="20"/>
          <w:color w:val="auto"/>
        </w:rPr>
      </w:pPr>
      <w:r>
        <w:rPr>
          <w:rFonts w:ascii="Times New Roman" w:cs="Times New Roman" w:eastAsia="Times New Roman" w:hAnsi="Times New Roman"/>
          <w:sz w:val="18"/>
          <w:szCs w:val="18"/>
          <w:color w:val="auto"/>
        </w:rPr>
        <w:t>In December 2025, SDG&amp;E and SoCalGas filed a petition for modification of the 2024 GRC, seeking to modify the post-test year mechanism for capital related costs. The petition for modification seeks increases of $55 million, $87 million and $79 million to the approved revenue requirements for SDG&amp;E for 2025, 2026 and 2027, respectively, and increases of $86 million, $122 million and $109 million to the approved revenue requirements for SoCalGas for 2025, 2026 and 2027, respectively. There is no established timeline for the CPUC to act on this filing.</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2024 GRC Track 3</w:t>
      </w:r>
    </w:p>
    <w:p>
      <w:pPr>
        <w:spacing w:after="0" w:line="49"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In April 2025, SDG&amp;E and SoCalGas each submitted additional requests to the CPUC in the 2024 GRC, known as Track 3 requests. SDG&amp;E submitted a request seeking review and recovery of its WMP costs incurred in 2023 that were in addition to the amounts authorized in the 2019 GRC and not addressed in the 2024 GRC. In March 2026 and amended in April 2026, SDG&amp;E provided supplemental testimony in its Track 3 request for drone inspection and repair program costs that were disallowed in its Track 2 request. The supplemental testimony seeks review and recovery of $522 million of direct WMP and drone inspection and repair program costs. SDG&amp;E expects to receive a PD for its Track 3 request related to its WMP costs in the second half of 2026. Additionally, SDG&amp;E and SoCalGas submitted a combined request seeking review and recovery of $240 million of PSEP costs incurred from 2014 through 2019 and $499 million of PSEP costs incurred from 2015 through 2020. SDG&amp;E and SoCalGas expect to receive an FD for their Track 3 requests related to their PSEP costs in the second half of 2026.</w:t>
      </w:r>
    </w:p>
    <w:p>
      <w:pPr>
        <w:spacing w:after="0" w:line="68" w:lineRule="exact"/>
        <w:rPr>
          <w:sz w:val="20"/>
          <w:szCs w:val="20"/>
          <w:color w:val="auto"/>
        </w:rPr>
      </w:pPr>
    </w:p>
    <w:p>
      <w:pPr>
        <w:ind w:right="40"/>
        <w:spacing w:after="0" w:line="271" w:lineRule="auto"/>
        <w:rPr>
          <w:sz w:val="20"/>
          <w:szCs w:val="20"/>
          <w:color w:val="auto"/>
        </w:rPr>
      </w:pPr>
      <w:r>
        <w:rPr>
          <w:rFonts w:ascii="Times New Roman" w:cs="Times New Roman" w:eastAsia="Times New Roman" w:hAnsi="Times New Roman"/>
          <w:sz w:val="18"/>
          <w:szCs w:val="18"/>
          <w:color w:val="auto"/>
        </w:rPr>
        <w:t>Revenue requirements associated with the Track 3 requests have been recorded in regulatory accounts and any disallowances resulting from Track 3 would be recorded as an expense on the Sempra, SDG&amp;E and SoCalGas Condensed Consolidated Statements of Operations. SDG&amp;E and SoCalGas are authorized interim rate recovery of up to 50% of the recorded PSEP regulatory account balance at the end of each year. Such interim rate recovery is subject to refund, contingent on the reasonableness review decision for their Track 3 requests.</w:t>
      </w:r>
    </w:p>
    <w:p>
      <w:pPr>
        <w:spacing w:after="0" w:line="3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CPUC COST OF CAPITAL</w:t>
      </w:r>
    </w:p>
    <w:p>
      <w:pPr>
        <w:spacing w:after="0" w:line="118"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A CPUC cost of capital proceeding every three years determines a utility’s authorized capital structure and return on rate base. The CPUC applies the CCM in the interim years to consider changes in the cost of capital using changes in interest rates as reflected by the applicable utility bond index published by Moody’s (CCM benchmark rate) for each 12-month period ending September 30 (the measurement period). The index applicable to SDG&amp;E and SoCalGas is based on each utility’s credit rating. The CCM benchmark rate is the basis of comparison to determine if the CCM is triggered in each measurement period, which occurs if the change in the applicable Moody’s utility bond index relative to the CCM benchmark rate is larger than plus or minus 1.00% for the measurement period. Alternatively, each of SDG&amp;E and SoCalGas is permitted to file a cost of capital application to have its cost of capital determined in lieu of the CCM in an interim year in which an extraordinary or catastrophic event materially impacts its cost of capital and affects utilities differently than the market.</w:t>
      </w: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right="60"/>
        <w:spacing w:after="0" w:line="297" w:lineRule="auto"/>
        <w:rPr>
          <w:sz w:val="20"/>
          <w:szCs w:val="20"/>
          <w:color w:val="auto"/>
        </w:rPr>
      </w:pPr>
      <w:r>
        <w:rPr>
          <w:rFonts w:ascii="Times New Roman" w:cs="Times New Roman" w:eastAsia="Times New Roman" w:hAnsi="Times New Roman"/>
          <w:sz w:val="18"/>
          <w:szCs w:val="18"/>
          <w:color w:val="auto"/>
        </w:rPr>
        <w:t>The following table summarizes the CPUC-approved cost of capital for SDG&amp;E and SoCalGas. The authorized weighting remained unchanged for each of the years presented.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55245</wp:posOffset>
            </wp:positionV>
            <wp:extent cx="7132320" cy="29146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32320" cy="291465"/>
                    </a:xfrm>
                    <a:prstGeom prst="rect">
                      <a:avLst/>
                    </a:prstGeom>
                    <a:noFill/>
                  </pic:spPr>
                </pic:pic>
              </a:graphicData>
            </a:graphic>
          </wp:anchor>
        </w:drawing>
      </w:r>
    </w:p>
    <w:p>
      <w:pPr>
        <w:spacing w:after="0" w:line="79"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FFFFFF"/>
        </w:rPr>
        <w:t>AUTHORIZED COST OF CAPITAL</w:t>
      </w: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4480" w:type="dxa"/>
            <w:vAlign w:val="bottom"/>
          </w:tcPr>
          <w:p>
            <w:pPr>
              <w:spacing w:after="0"/>
              <w:rPr>
                <w:sz w:val="17"/>
                <w:szCs w:val="17"/>
                <w:color w:val="auto"/>
              </w:rPr>
            </w:pPr>
          </w:p>
        </w:tc>
        <w:tc>
          <w:tcPr>
            <w:tcW w:w="1300" w:type="dxa"/>
            <w:vAlign w:val="bottom"/>
          </w:tcPr>
          <w:p>
            <w:pPr>
              <w:jc w:val="right"/>
              <w:ind w:right="221"/>
              <w:spacing w:after="0"/>
              <w:rPr>
                <w:sz w:val="20"/>
                <w:szCs w:val="20"/>
                <w:color w:val="auto"/>
              </w:rPr>
            </w:pPr>
            <w:r>
              <w:rPr>
                <w:rFonts w:ascii="Arial" w:cs="Arial" w:eastAsia="Arial" w:hAnsi="Arial"/>
                <w:sz w:val="14"/>
                <w:szCs w:val="14"/>
                <w:color w:val="auto"/>
              </w:rPr>
              <w:t>Authorized</w:t>
            </w:r>
          </w:p>
        </w:tc>
        <w:tc>
          <w:tcPr>
            <w:tcW w:w="200" w:type="dxa"/>
            <w:vAlign w:val="bottom"/>
          </w:tcPr>
          <w:p>
            <w:pPr>
              <w:spacing w:after="0"/>
              <w:rPr>
                <w:sz w:val="17"/>
                <w:szCs w:val="17"/>
                <w:color w:val="auto"/>
              </w:rPr>
            </w:pPr>
          </w:p>
        </w:tc>
        <w:tc>
          <w:tcPr>
            <w:tcW w:w="150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color w:val="auto"/>
              </w:rPr>
              <w:t>2026-2028</w:t>
            </w:r>
          </w:p>
        </w:tc>
        <w:tc>
          <w:tcPr>
            <w:tcW w:w="1040" w:type="dxa"/>
            <w:vAlign w:val="bottom"/>
            <w:tcBorders>
              <w:bottom w:val="single" w:sz="8" w:color="auto"/>
            </w:tcBorders>
          </w:tcPr>
          <w:p>
            <w:pPr>
              <w:jc w:val="right"/>
              <w:ind w:right="400"/>
              <w:spacing w:after="0"/>
              <w:rPr>
                <w:sz w:val="20"/>
                <w:szCs w:val="20"/>
                <w:color w:val="auto"/>
              </w:rPr>
            </w:pPr>
            <w:r>
              <w:rPr>
                <w:rFonts w:ascii="Arial" w:cs="Arial" w:eastAsia="Arial" w:hAnsi="Arial"/>
                <w:sz w:val="14"/>
                <w:szCs w:val="14"/>
                <w:color w:val="auto"/>
              </w:rPr>
              <w:t>2025</w:t>
            </w:r>
          </w:p>
        </w:tc>
        <w:tc>
          <w:tcPr>
            <w:tcW w:w="200" w:type="dxa"/>
            <w:vAlign w:val="bottom"/>
          </w:tcPr>
          <w:p>
            <w:pPr>
              <w:spacing w:after="0"/>
              <w:rPr>
                <w:sz w:val="17"/>
                <w:szCs w:val="17"/>
                <w:color w:val="auto"/>
              </w:rPr>
            </w:pPr>
          </w:p>
        </w:tc>
        <w:tc>
          <w:tcPr>
            <w:tcW w:w="1480" w:type="dxa"/>
            <w:vAlign w:val="bottom"/>
            <w:tcBorders>
              <w:bottom w:val="single" w:sz="8" w:color="auto"/>
            </w:tcBorders>
          </w:tcPr>
          <w:p>
            <w:pPr>
              <w:ind w:left="300"/>
              <w:spacing w:after="0"/>
              <w:rPr>
                <w:sz w:val="20"/>
                <w:szCs w:val="20"/>
                <w:color w:val="auto"/>
              </w:rPr>
            </w:pPr>
            <w:r>
              <w:rPr>
                <w:rFonts w:ascii="Arial" w:cs="Arial" w:eastAsia="Arial" w:hAnsi="Arial"/>
                <w:sz w:val="14"/>
                <w:szCs w:val="14"/>
                <w:color w:val="auto"/>
              </w:rPr>
              <w:t>2026-2028</w:t>
            </w:r>
          </w:p>
        </w:tc>
        <w:tc>
          <w:tcPr>
            <w:tcW w:w="1040" w:type="dxa"/>
            <w:vAlign w:val="bottom"/>
            <w:tcBorders>
              <w:bottom w:val="single" w:sz="8" w:color="auto"/>
            </w:tcBorders>
          </w:tcPr>
          <w:p>
            <w:pPr>
              <w:jc w:val="right"/>
              <w:ind w:right="380"/>
              <w:spacing w:after="0"/>
              <w:rPr>
                <w:sz w:val="20"/>
                <w:szCs w:val="20"/>
                <w:color w:val="auto"/>
              </w:rPr>
            </w:pPr>
            <w:r>
              <w:rPr>
                <w:rFonts w:ascii="Arial" w:cs="Arial" w:eastAsia="Arial" w:hAnsi="Arial"/>
                <w:sz w:val="14"/>
                <w:szCs w:val="14"/>
                <w:color w:val="auto"/>
              </w:rPr>
              <w:t>2025</w:t>
            </w:r>
          </w:p>
        </w:tc>
      </w:tr>
      <w:tr>
        <w:trPr>
          <w:trHeight w:val="205"/>
        </w:trPr>
        <w:tc>
          <w:tcPr>
            <w:tcW w:w="448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261"/>
              <w:spacing w:after="0"/>
              <w:rPr>
                <w:sz w:val="20"/>
                <w:szCs w:val="20"/>
                <w:color w:val="auto"/>
              </w:rPr>
            </w:pPr>
            <w:r>
              <w:rPr>
                <w:rFonts w:ascii="Arial" w:cs="Arial" w:eastAsia="Arial" w:hAnsi="Arial"/>
                <w:sz w:val="14"/>
                <w:szCs w:val="14"/>
                <w:color w:val="auto"/>
              </w:rPr>
              <w:t>weighting</w:t>
            </w:r>
          </w:p>
        </w:tc>
        <w:tc>
          <w:tcPr>
            <w:tcW w:w="200" w:type="dxa"/>
            <w:vAlign w:val="bottom"/>
            <w:tcBorders>
              <w:bottom w:val="single" w:sz="8" w:color="auto"/>
            </w:tcBorders>
          </w:tcPr>
          <w:p>
            <w:pPr>
              <w:spacing w:after="0"/>
              <w:rPr>
                <w:sz w:val="17"/>
                <w:szCs w:val="17"/>
                <w:color w:val="auto"/>
              </w:rPr>
            </w:pPr>
          </w:p>
        </w:tc>
        <w:tc>
          <w:tcPr>
            <w:tcW w:w="2740" w:type="dxa"/>
            <w:vAlign w:val="bottom"/>
            <w:tcBorders>
              <w:bottom w:val="single" w:sz="8" w:color="auto"/>
            </w:tcBorders>
            <w:gridSpan w:val="3"/>
          </w:tcPr>
          <w:p>
            <w:pPr>
              <w:ind w:left="640"/>
              <w:spacing w:after="0"/>
              <w:rPr>
                <w:sz w:val="20"/>
                <w:szCs w:val="20"/>
                <w:color w:val="auto"/>
              </w:rPr>
            </w:pPr>
            <w:r>
              <w:rPr>
                <w:rFonts w:ascii="Arial" w:cs="Arial" w:eastAsia="Arial" w:hAnsi="Arial"/>
                <w:sz w:val="14"/>
                <w:szCs w:val="14"/>
                <w:color w:val="auto"/>
              </w:rPr>
              <w:t>Return on rate base</w:t>
            </w:r>
          </w:p>
        </w:tc>
        <w:tc>
          <w:tcPr>
            <w:tcW w:w="2520" w:type="dxa"/>
            <w:vAlign w:val="bottom"/>
            <w:tcBorders>
              <w:bottom w:val="single" w:sz="8" w:color="auto"/>
            </w:tcBorders>
            <w:gridSpan w:val="2"/>
          </w:tcPr>
          <w:p>
            <w:pPr>
              <w:jc w:val="right"/>
              <w:ind w:right="240"/>
              <w:spacing w:after="0"/>
              <w:rPr>
                <w:sz w:val="20"/>
                <w:szCs w:val="20"/>
                <w:color w:val="auto"/>
              </w:rPr>
            </w:pPr>
            <w:r>
              <w:rPr>
                <w:rFonts w:ascii="Arial" w:cs="Arial" w:eastAsia="Arial" w:hAnsi="Arial"/>
                <w:sz w:val="14"/>
                <w:szCs w:val="14"/>
                <w:color w:val="auto"/>
              </w:rPr>
              <w:t>Weighted return on rate base</w:t>
            </w:r>
          </w:p>
        </w:tc>
      </w:tr>
      <w:tr>
        <w:trPr>
          <w:trHeight w:val="213"/>
        </w:trPr>
        <w:tc>
          <w:tcPr>
            <w:tcW w:w="4480" w:type="dxa"/>
            <w:vAlign w:val="bottom"/>
            <w:shd w:val="clear" w:color="auto" w:fill="D4F1F5"/>
          </w:tcPr>
          <w:p>
            <w:pPr>
              <w:ind w:left="20"/>
              <w:spacing w:after="0"/>
              <w:rPr>
                <w:sz w:val="20"/>
                <w:szCs w:val="20"/>
                <w:color w:val="auto"/>
              </w:rPr>
            </w:pPr>
            <w:r>
              <w:rPr>
                <w:rFonts w:ascii="Arial" w:cs="Arial" w:eastAsia="Arial" w:hAnsi="Arial"/>
                <w:sz w:val="16"/>
                <w:szCs w:val="16"/>
                <w:b w:val="1"/>
                <w:bCs w:val="1"/>
                <w:color w:val="auto"/>
              </w:rPr>
              <w:t>SDG&amp;E:</w:t>
            </w:r>
          </w:p>
        </w:tc>
        <w:tc>
          <w:tcPr>
            <w:tcW w:w="1300" w:type="dxa"/>
            <w:vAlign w:val="bottom"/>
            <w:shd w:val="clear" w:color="auto" w:fill="D4F1F5"/>
          </w:tcPr>
          <w:p>
            <w:pPr>
              <w:spacing w:after="0"/>
              <w:rPr>
                <w:sz w:val="18"/>
                <w:szCs w:val="18"/>
                <w:color w:val="auto"/>
              </w:rPr>
            </w:pPr>
          </w:p>
        </w:tc>
        <w:tc>
          <w:tcPr>
            <w:tcW w:w="200" w:type="dxa"/>
            <w:vAlign w:val="bottom"/>
            <w:shd w:val="clear" w:color="auto" w:fill="D4F1F5"/>
          </w:tcPr>
          <w:p>
            <w:pPr>
              <w:spacing w:after="0"/>
              <w:rPr>
                <w:sz w:val="18"/>
                <w:szCs w:val="18"/>
                <w:color w:val="auto"/>
              </w:rPr>
            </w:pPr>
          </w:p>
        </w:tc>
        <w:tc>
          <w:tcPr>
            <w:tcW w:w="1500" w:type="dxa"/>
            <w:vAlign w:val="bottom"/>
            <w:shd w:val="clear" w:color="auto" w:fill="D4F1F5"/>
          </w:tcPr>
          <w:p>
            <w:pPr>
              <w:spacing w:after="0"/>
              <w:rPr>
                <w:sz w:val="18"/>
                <w:szCs w:val="18"/>
                <w:color w:val="auto"/>
              </w:rPr>
            </w:pPr>
          </w:p>
        </w:tc>
        <w:tc>
          <w:tcPr>
            <w:tcW w:w="1040" w:type="dxa"/>
            <w:vAlign w:val="bottom"/>
            <w:shd w:val="clear" w:color="auto" w:fill="D4F1F5"/>
          </w:tcPr>
          <w:p>
            <w:pPr>
              <w:spacing w:after="0"/>
              <w:rPr>
                <w:sz w:val="18"/>
                <w:szCs w:val="18"/>
                <w:color w:val="auto"/>
              </w:rPr>
            </w:pPr>
          </w:p>
        </w:tc>
        <w:tc>
          <w:tcPr>
            <w:tcW w:w="200" w:type="dxa"/>
            <w:vAlign w:val="bottom"/>
            <w:shd w:val="clear" w:color="auto" w:fill="D4F1F5"/>
          </w:tcPr>
          <w:p>
            <w:pPr>
              <w:spacing w:after="0"/>
              <w:rPr>
                <w:sz w:val="18"/>
                <w:szCs w:val="18"/>
                <w:color w:val="auto"/>
              </w:rPr>
            </w:pPr>
          </w:p>
        </w:tc>
        <w:tc>
          <w:tcPr>
            <w:tcW w:w="1480" w:type="dxa"/>
            <w:vAlign w:val="bottom"/>
            <w:shd w:val="clear" w:color="auto" w:fill="D4F1F5"/>
          </w:tcPr>
          <w:p>
            <w:pPr>
              <w:spacing w:after="0"/>
              <w:rPr>
                <w:sz w:val="18"/>
                <w:szCs w:val="18"/>
                <w:color w:val="auto"/>
              </w:rPr>
            </w:pPr>
          </w:p>
        </w:tc>
        <w:tc>
          <w:tcPr>
            <w:tcW w:w="1040" w:type="dxa"/>
            <w:vAlign w:val="bottom"/>
            <w:shd w:val="clear" w:color="auto" w:fill="D4F1F5"/>
          </w:tcPr>
          <w:p>
            <w:pPr>
              <w:spacing w:after="0"/>
              <w:rPr>
                <w:sz w:val="18"/>
                <w:szCs w:val="18"/>
                <w:color w:val="auto"/>
              </w:rPr>
            </w:pPr>
          </w:p>
        </w:tc>
      </w:tr>
      <w:tr>
        <w:trPr>
          <w:trHeight w:val="215"/>
        </w:trPr>
        <w:tc>
          <w:tcPr>
            <w:tcW w:w="4480" w:type="dxa"/>
            <w:vAlign w:val="bottom"/>
          </w:tcPr>
          <w:p>
            <w:pPr>
              <w:ind w:left="20"/>
              <w:spacing w:after="0"/>
              <w:rPr>
                <w:sz w:val="20"/>
                <w:szCs w:val="20"/>
                <w:color w:val="auto"/>
              </w:rPr>
            </w:pPr>
            <w:r>
              <w:rPr>
                <w:rFonts w:ascii="Arial" w:cs="Arial" w:eastAsia="Arial" w:hAnsi="Arial"/>
                <w:sz w:val="16"/>
                <w:szCs w:val="16"/>
                <w:color w:val="auto"/>
              </w:rPr>
              <w:t>Long-Term Debt</w:t>
            </w:r>
          </w:p>
        </w:tc>
        <w:tc>
          <w:tcPr>
            <w:tcW w:w="1300" w:type="dxa"/>
            <w:vAlign w:val="bottom"/>
          </w:tcPr>
          <w:p>
            <w:pPr>
              <w:jc w:val="right"/>
              <w:spacing w:after="0"/>
              <w:rPr>
                <w:sz w:val="20"/>
                <w:szCs w:val="20"/>
                <w:color w:val="auto"/>
              </w:rPr>
            </w:pPr>
            <w:r>
              <w:rPr>
                <w:rFonts w:ascii="Arial" w:cs="Arial" w:eastAsia="Arial" w:hAnsi="Arial"/>
                <w:sz w:val="16"/>
                <w:szCs w:val="16"/>
                <w:color w:val="auto"/>
              </w:rPr>
              <w:t>45.25 %</w:t>
            </w:r>
          </w:p>
        </w:tc>
        <w:tc>
          <w:tcPr>
            <w:tcW w:w="1700" w:type="dxa"/>
            <w:vAlign w:val="bottom"/>
            <w:gridSpan w:val="2"/>
          </w:tcPr>
          <w:p>
            <w:pPr>
              <w:ind w:left="940"/>
              <w:spacing w:after="0"/>
              <w:rPr>
                <w:sz w:val="20"/>
                <w:szCs w:val="20"/>
                <w:color w:val="auto"/>
              </w:rPr>
            </w:pPr>
            <w:r>
              <w:rPr>
                <w:rFonts w:ascii="Arial" w:cs="Arial" w:eastAsia="Arial" w:hAnsi="Arial"/>
                <w:sz w:val="16"/>
                <w:szCs w:val="16"/>
                <w:color w:val="auto"/>
              </w:rPr>
              <w:t>4.59 %</w:t>
            </w:r>
          </w:p>
        </w:tc>
        <w:tc>
          <w:tcPr>
            <w:tcW w:w="1040" w:type="dxa"/>
            <w:vAlign w:val="bottom"/>
          </w:tcPr>
          <w:p>
            <w:pPr>
              <w:jc w:val="right"/>
              <w:spacing w:after="0"/>
              <w:rPr>
                <w:sz w:val="20"/>
                <w:szCs w:val="20"/>
                <w:color w:val="auto"/>
              </w:rPr>
            </w:pPr>
            <w:r>
              <w:rPr>
                <w:rFonts w:ascii="Arial" w:cs="Arial" w:eastAsia="Arial" w:hAnsi="Arial"/>
                <w:sz w:val="16"/>
                <w:szCs w:val="16"/>
                <w:color w:val="auto"/>
              </w:rPr>
              <w:t>4.34 %</w:t>
            </w:r>
          </w:p>
        </w:tc>
        <w:tc>
          <w:tcPr>
            <w:tcW w:w="200" w:type="dxa"/>
            <w:vAlign w:val="bottom"/>
          </w:tcPr>
          <w:p>
            <w:pPr>
              <w:spacing w:after="0"/>
              <w:rPr>
                <w:sz w:val="18"/>
                <w:szCs w:val="18"/>
                <w:color w:val="auto"/>
              </w:rPr>
            </w:pPr>
          </w:p>
        </w:tc>
        <w:tc>
          <w:tcPr>
            <w:tcW w:w="1480" w:type="dxa"/>
            <w:vAlign w:val="bottom"/>
          </w:tcPr>
          <w:p>
            <w:pPr>
              <w:ind w:left="740"/>
              <w:spacing w:after="0"/>
              <w:rPr>
                <w:sz w:val="20"/>
                <w:szCs w:val="20"/>
                <w:color w:val="auto"/>
              </w:rPr>
            </w:pPr>
            <w:r>
              <w:rPr>
                <w:rFonts w:ascii="Arial" w:cs="Arial" w:eastAsia="Arial" w:hAnsi="Arial"/>
                <w:sz w:val="16"/>
                <w:szCs w:val="16"/>
                <w:color w:val="auto"/>
              </w:rPr>
              <w:t>2.08 %</w:t>
            </w:r>
          </w:p>
        </w:tc>
        <w:tc>
          <w:tcPr>
            <w:tcW w:w="1040" w:type="dxa"/>
            <w:vAlign w:val="bottom"/>
          </w:tcPr>
          <w:p>
            <w:pPr>
              <w:jc w:val="right"/>
              <w:spacing w:after="0"/>
              <w:rPr>
                <w:sz w:val="20"/>
                <w:szCs w:val="20"/>
                <w:color w:val="auto"/>
              </w:rPr>
            </w:pPr>
            <w:r>
              <w:rPr>
                <w:rFonts w:ascii="Arial" w:cs="Arial" w:eastAsia="Arial" w:hAnsi="Arial"/>
                <w:sz w:val="16"/>
                <w:szCs w:val="16"/>
                <w:color w:val="auto"/>
              </w:rPr>
              <w:t>1.96 %</w:t>
            </w:r>
          </w:p>
        </w:tc>
      </w:tr>
      <w:tr>
        <w:trPr>
          <w:trHeight w:val="217"/>
        </w:trPr>
        <w:tc>
          <w:tcPr>
            <w:tcW w:w="4480" w:type="dxa"/>
            <w:vAlign w:val="bottom"/>
            <w:shd w:val="clear" w:color="auto" w:fill="D4F1F5"/>
          </w:tcPr>
          <w:p>
            <w:pPr>
              <w:ind w:left="20"/>
              <w:spacing w:after="0"/>
              <w:rPr>
                <w:sz w:val="20"/>
                <w:szCs w:val="20"/>
                <w:color w:val="auto"/>
              </w:rPr>
            </w:pPr>
            <w:r>
              <w:rPr>
                <w:rFonts w:ascii="Arial" w:cs="Arial" w:eastAsia="Arial" w:hAnsi="Arial"/>
                <w:sz w:val="16"/>
                <w:szCs w:val="16"/>
                <w:color w:val="auto"/>
              </w:rPr>
              <w:t>Preferred Equity</w:t>
            </w:r>
          </w:p>
        </w:tc>
        <w:tc>
          <w:tcPr>
            <w:tcW w:w="1300" w:type="dxa"/>
            <w:vAlign w:val="bottom"/>
            <w:shd w:val="clear" w:color="auto" w:fill="D4F1F5"/>
          </w:tcPr>
          <w:p>
            <w:pPr>
              <w:jc w:val="right"/>
              <w:ind w:right="141"/>
              <w:spacing w:after="0"/>
              <w:rPr>
                <w:sz w:val="20"/>
                <w:szCs w:val="20"/>
                <w:color w:val="auto"/>
              </w:rPr>
            </w:pPr>
            <w:r>
              <w:rPr>
                <w:rFonts w:ascii="Arial" w:cs="Arial" w:eastAsia="Arial" w:hAnsi="Arial"/>
                <w:sz w:val="16"/>
                <w:szCs w:val="16"/>
                <w:color w:val="auto"/>
              </w:rPr>
              <w:t>2.75</w:t>
            </w:r>
          </w:p>
        </w:tc>
        <w:tc>
          <w:tcPr>
            <w:tcW w:w="1700" w:type="dxa"/>
            <w:vAlign w:val="bottom"/>
            <w:gridSpan w:val="2"/>
            <w:shd w:val="clear" w:color="auto" w:fill="D4F1F5"/>
          </w:tcPr>
          <w:p>
            <w:pPr>
              <w:ind w:left="940"/>
              <w:spacing w:after="0"/>
              <w:rPr>
                <w:sz w:val="20"/>
                <w:szCs w:val="20"/>
                <w:color w:val="auto"/>
              </w:rPr>
            </w:pPr>
            <w:r>
              <w:rPr>
                <w:rFonts w:ascii="Arial" w:cs="Arial" w:eastAsia="Arial" w:hAnsi="Arial"/>
                <w:sz w:val="16"/>
                <w:szCs w:val="16"/>
                <w:color w:val="auto"/>
              </w:rPr>
              <w:t>6.22</w:t>
            </w:r>
          </w:p>
        </w:tc>
        <w:tc>
          <w:tcPr>
            <w:tcW w:w="1040" w:type="dxa"/>
            <w:vAlign w:val="bottom"/>
            <w:shd w:val="clear" w:color="auto" w:fill="D4F1F5"/>
          </w:tcPr>
          <w:p>
            <w:pPr>
              <w:jc w:val="right"/>
              <w:ind w:right="140"/>
              <w:spacing w:after="0"/>
              <w:rPr>
                <w:sz w:val="20"/>
                <w:szCs w:val="20"/>
                <w:color w:val="auto"/>
              </w:rPr>
            </w:pPr>
            <w:r>
              <w:rPr>
                <w:rFonts w:ascii="Arial" w:cs="Arial" w:eastAsia="Arial" w:hAnsi="Arial"/>
                <w:sz w:val="16"/>
                <w:szCs w:val="16"/>
                <w:color w:val="auto"/>
              </w:rPr>
              <w:t>6.22</w:t>
            </w:r>
          </w:p>
        </w:tc>
        <w:tc>
          <w:tcPr>
            <w:tcW w:w="200" w:type="dxa"/>
            <w:vAlign w:val="bottom"/>
            <w:shd w:val="clear" w:color="auto" w:fill="D4F1F5"/>
          </w:tcPr>
          <w:p>
            <w:pPr>
              <w:spacing w:after="0"/>
              <w:rPr>
                <w:sz w:val="18"/>
                <w:szCs w:val="18"/>
                <w:color w:val="auto"/>
              </w:rPr>
            </w:pPr>
          </w:p>
        </w:tc>
        <w:tc>
          <w:tcPr>
            <w:tcW w:w="1480" w:type="dxa"/>
            <w:vAlign w:val="bottom"/>
            <w:shd w:val="clear" w:color="auto" w:fill="D4F1F5"/>
          </w:tcPr>
          <w:p>
            <w:pPr>
              <w:ind w:left="740"/>
              <w:spacing w:after="0"/>
              <w:rPr>
                <w:sz w:val="20"/>
                <w:szCs w:val="20"/>
                <w:color w:val="auto"/>
              </w:rPr>
            </w:pPr>
            <w:r>
              <w:rPr>
                <w:rFonts w:ascii="Arial" w:cs="Arial" w:eastAsia="Arial" w:hAnsi="Arial"/>
                <w:sz w:val="16"/>
                <w:szCs w:val="16"/>
                <w:color w:val="auto"/>
              </w:rPr>
              <w:t>0.17</w:t>
            </w:r>
          </w:p>
        </w:tc>
        <w:tc>
          <w:tcPr>
            <w:tcW w:w="1040" w:type="dxa"/>
            <w:vAlign w:val="bottom"/>
            <w:shd w:val="clear" w:color="auto" w:fill="D4F1F5"/>
          </w:tcPr>
          <w:p>
            <w:pPr>
              <w:jc w:val="right"/>
              <w:ind w:right="120"/>
              <w:spacing w:after="0"/>
              <w:rPr>
                <w:sz w:val="20"/>
                <w:szCs w:val="20"/>
                <w:color w:val="auto"/>
              </w:rPr>
            </w:pPr>
            <w:r>
              <w:rPr>
                <w:rFonts w:ascii="Arial" w:cs="Arial" w:eastAsia="Arial" w:hAnsi="Arial"/>
                <w:sz w:val="16"/>
                <w:szCs w:val="16"/>
                <w:color w:val="auto"/>
              </w:rPr>
              <w:t>0.17</w:t>
            </w:r>
          </w:p>
        </w:tc>
      </w:tr>
      <w:tr>
        <w:trPr>
          <w:trHeight w:val="215"/>
        </w:trPr>
        <w:tc>
          <w:tcPr>
            <w:tcW w:w="4480" w:type="dxa"/>
            <w:vAlign w:val="bottom"/>
            <w:tcBorders>
              <w:bottom w:val="single" w:sz="8" w:color="D4F1F5"/>
            </w:tcBorders>
          </w:tcPr>
          <w:p>
            <w:pPr>
              <w:ind w:left="20"/>
              <w:spacing w:after="0"/>
              <w:rPr>
                <w:sz w:val="20"/>
                <w:szCs w:val="20"/>
                <w:color w:val="auto"/>
              </w:rPr>
            </w:pPr>
            <w:r>
              <w:rPr>
                <w:rFonts w:ascii="Arial" w:cs="Arial" w:eastAsia="Arial" w:hAnsi="Arial"/>
                <w:sz w:val="16"/>
                <w:szCs w:val="16"/>
                <w:color w:val="auto"/>
              </w:rPr>
              <w:t>Common Equity</w:t>
            </w:r>
          </w:p>
        </w:tc>
        <w:tc>
          <w:tcPr>
            <w:tcW w:w="1300" w:type="dxa"/>
            <w:vAlign w:val="bottom"/>
            <w:tcBorders>
              <w:bottom w:val="single" w:sz="8" w:color="auto"/>
            </w:tcBorders>
          </w:tcPr>
          <w:p>
            <w:pPr>
              <w:jc w:val="right"/>
              <w:ind w:right="141"/>
              <w:spacing w:after="0"/>
              <w:rPr>
                <w:sz w:val="20"/>
                <w:szCs w:val="20"/>
                <w:color w:val="auto"/>
              </w:rPr>
            </w:pPr>
            <w:r>
              <w:rPr>
                <w:rFonts w:ascii="Arial" w:cs="Arial" w:eastAsia="Arial" w:hAnsi="Arial"/>
                <w:sz w:val="16"/>
                <w:szCs w:val="16"/>
                <w:color w:val="auto"/>
              </w:rPr>
              <w:t>52.00</w:t>
            </w:r>
          </w:p>
        </w:tc>
        <w:tc>
          <w:tcPr>
            <w:tcW w:w="1700" w:type="dxa"/>
            <w:vAlign w:val="bottom"/>
            <w:tcBorders>
              <w:bottom w:val="single" w:sz="8" w:color="D4F1F5"/>
            </w:tcBorders>
            <w:gridSpan w:val="2"/>
          </w:tcPr>
          <w:p>
            <w:pPr>
              <w:ind w:left="940"/>
              <w:spacing w:after="0"/>
              <w:rPr>
                <w:sz w:val="20"/>
                <w:szCs w:val="20"/>
                <w:color w:val="auto"/>
              </w:rPr>
            </w:pPr>
            <w:r>
              <w:rPr>
                <w:rFonts w:ascii="Arial" w:cs="Arial" w:eastAsia="Arial" w:hAnsi="Arial"/>
                <w:sz w:val="16"/>
                <w:szCs w:val="16"/>
                <w:color w:val="auto"/>
              </w:rPr>
              <w:t>9.93</w:t>
            </w:r>
          </w:p>
        </w:tc>
        <w:tc>
          <w:tcPr>
            <w:tcW w:w="1040" w:type="dxa"/>
            <w:vAlign w:val="bottom"/>
            <w:tcBorders>
              <w:bottom w:val="single" w:sz="8" w:color="D4F1F5"/>
            </w:tcBorders>
          </w:tcPr>
          <w:p>
            <w:pPr>
              <w:jc w:val="right"/>
              <w:ind w:right="140"/>
              <w:spacing w:after="0"/>
              <w:rPr>
                <w:sz w:val="20"/>
                <w:szCs w:val="20"/>
                <w:color w:val="auto"/>
              </w:rPr>
            </w:pPr>
            <w:r>
              <w:rPr>
                <w:rFonts w:ascii="Arial" w:cs="Arial" w:eastAsia="Arial" w:hAnsi="Arial"/>
                <w:sz w:val="16"/>
                <w:szCs w:val="16"/>
                <w:color w:val="auto"/>
              </w:rPr>
              <w:t>10.23</w:t>
            </w:r>
          </w:p>
        </w:tc>
        <w:tc>
          <w:tcPr>
            <w:tcW w:w="200" w:type="dxa"/>
            <w:vAlign w:val="bottom"/>
            <w:tcBorders>
              <w:bottom w:val="single" w:sz="8" w:color="D4F1F5"/>
            </w:tcBorders>
          </w:tcPr>
          <w:p>
            <w:pPr>
              <w:spacing w:after="0"/>
              <w:rPr>
                <w:sz w:val="18"/>
                <w:szCs w:val="18"/>
                <w:color w:val="auto"/>
              </w:rPr>
            </w:pPr>
          </w:p>
        </w:tc>
        <w:tc>
          <w:tcPr>
            <w:tcW w:w="1480" w:type="dxa"/>
            <w:vAlign w:val="bottom"/>
            <w:tcBorders>
              <w:bottom w:val="single" w:sz="8" w:color="auto"/>
            </w:tcBorders>
          </w:tcPr>
          <w:p>
            <w:pPr>
              <w:ind w:left="740"/>
              <w:spacing w:after="0"/>
              <w:rPr>
                <w:sz w:val="20"/>
                <w:szCs w:val="20"/>
                <w:color w:val="auto"/>
              </w:rPr>
            </w:pPr>
            <w:r>
              <w:rPr>
                <w:rFonts w:ascii="Arial" w:cs="Arial" w:eastAsia="Arial" w:hAnsi="Arial"/>
                <w:sz w:val="16"/>
                <w:szCs w:val="16"/>
                <w:color w:val="auto"/>
              </w:rPr>
              <w:t>5.16</w:t>
            </w:r>
          </w:p>
        </w:tc>
        <w:tc>
          <w:tcPr>
            <w:tcW w:w="104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rPr>
              <w:t>5.32</w:t>
            </w:r>
          </w:p>
        </w:tc>
      </w:tr>
      <w:tr>
        <w:trPr>
          <w:trHeight w:val="217"/>
        </w:trPr>
        <w:tc>
          <w:tcPr>
            <w:tcW w:w="4480" w:type="dxa"/>
            <w:vAlign w:val="bottom"/>
            <w:tcBorders>
              <w:bottom w:val="single" w:sz="8" w:color="auto"/>
            </w:tcBorders>
            <w:shd w:val="clear" w:color="auto" w:fill="D4F1F5"/>
          </w:tcPr>
          <w:p>
            <w:pPr>
              <w:spacing w:after="0"/>
              <w:rPr>
                <w:sz w:val="18"/>
                <w:szCs w:val="18"/>
                <w:color w:val="auto"/>
              </w:rPr>
            </w:pPr>
          </w:p>
        </w:tc>
        <w:tc>
          <w:tcPr>
            <w:tcW w:w="1300" w:type="dxa"/>
            <w:vAlign w:val="bottom"/>
            <w:tcBorders>
              <w:bottom w:val="single" w:sz="8" w:color="auto"/>
            </w:tcBorders>
            <w:shd w:val="clear" w:color="auto" w:fill="D4F1F5"/>
          </w:tcPr>
          <w:p>
            <w:pPr>
              <w:jc w:val="right"/>
              <w:spacing w:after="0"/>
              <w:rPr>
                <w:sz w:val="20"/>
                <w:szCs w:val="20"/>
                <w:color w:val="auto"/>
              </w:rPr>
            </w:pPr>
            <w:r>
              <w:rPr>
                <w:rFonts w:ascii="Arial" w:cs="Arial" w:eastAsia="Arial" w:hAnsi="Arial"/>
                <w:sz w:val="16"/>
                <w:szCs w:val="16"/>
                <w:color w:val="auto"/>
              </w:rPr>
              <w:t>100.00 %</w:t>
            </w:r>
          </w:p>
        </w:tc>
        <w:tc>
          <w:tcPr>
            <w:tcW w:w="200" w:type="dxa"/>
            <w:vAlign w:val="bottom"/>
            <w:tcBorders>
              <w:bottom w:val="single" w:sz="8" w:color="auto"/>
            </w:tcBorders>
            <w:shd w:val="clear" w:color="auto" w:fill="D4F1F5"/>
          </w:tcPr>
          <w:p>
            <w:pPr>
              <w:spacing w:after="0"/>
              <w:rPr>
                <w:sz w:val="18"/>
                <w:szCs w:val="18"/>
                <w:color w:val="auto"/>
              </w:rPr>
            </w:pPr>
          </w:p>
        </w:tc>
        <w:tc>
          <w:tcPr>
            <w:tcW w:w="1500" w:type="dxa"/>
            <w:vAlign w:val="bottom"/>
            <w:tcBorders>
              <w:bottom w:val="single" w:sz="8" w:color="auto"/>
            </w:tcBorders>
            <w:shd w:val="clear" w:color="auto" w:fill="D4F1F5"/>
          </w:tcPr>
          <w:p>
            <w:pPr>
              <w:spacing w:after="0"/>
              <w:rPr>
                <w:sz w:val="18"/>
                <w:szCs w:val="18"/>
                <w:color w:val="auto"/>
              </w:rPr>
            </w:pPr>
          </w:p>
        </w:tc>
        <w:tc>
          <w:tcPr>
            <w:tcW w:w="1040" w:type="dxa"/>
            <w:vAlign w:val="bottom"/>
            <w:tcBorders>
              <w:bottom w:val="single" w:sz="8" w:color="auto"/>
            </w:tcBorders>
            <w:shd w:val="clear" w:color="auto" w:fill="D4F1F5"/>
          </w:tcPr>
          <w:p>
            <w:pPr>
              <w:spacing w:after="0"/>
              <w:rPr>
                <w:sz w:val="18"/>
                <w:szCs w:val="18"/>
                <w:color w:val="auto"/>
              </w:rPr>
            </w:pPr>
          </w:p>
        </w:tc>
        <w:tc>
          <w:tcPr>
            <w:tcW w:w="200" w:type="dxa"/>
            <w:vAlign w:val="bottom"/>
            <w:tcBorders>
              <w:bottom w:val="single" w:sz="8" w:color="auto"/>
            </w:tcBorders>
            <w:shd w:val="clear" w:color="auto" w:fill="D4F1F5"/>
          </w:tcPr>
          <w:p>
            <w:pPr>
              <w:spacing w:after="0"/>
              <w:rPr>
                <w:sz w:val="18"/>
                <w:szCs w:val="18"/>
                <w:color w:val="auto"/>
              </w:rPr>
            </w:pPr>
          </w:p>
        </w:tc>
        <w:tc>
          <w:tcPr>
            <w:tcW w:w="1480" w:type="dxa"/>
            <w:vAlign w:val="bottom"/>
            <w:tcBorders>
              <w:bottom w:val="single" w:sz="8" w:color="auto"/>
            </w:tcBorders>
            <w:shd w:val="clear" w:color="auto" w:fill="D4F1F5"/>
          </w:tcPr>
          <w:p>
            <w:pPr>
              <w:ind w:left="740"/>
              <w:spacing w:after="0"/>
              <w:rPr>
                <w:sz w:val="20"/>
                <w:szCs w:val="20"/>
                <w:color w:val="auto"/>
              </w:rPr>
            </w:pPr>
            <w:r>
              <w:rPr>
                <w:rFonts w:ascii="Arial" w:cs="Arial" w:eastAsia="Arial" w:hAnsi="Arial"/>
                <w:sz w:val="16"/>
                <w:szCs w:val="16"/>
                <w:color w:val="auto"/>
              </w:rPr>
              <w:t>7.41 %</w:t>
            </w:r>
          </w:p>
        </w:tc>
        <w:tc>
          <w:tcPr>
            <w:tcW w:w="1040" w:type="dxa"/>
            <w:vAlign w:val="bottom"/>
            <w:tcBorders>
              <w:bottom w:val="single" w:sz="8" w:color="auto"/>
            </w:tcBorders>
            <w:shd w:val="clear" w:color="auto" w:fill="D4F1F5"/>
          </w:tcPr>
          <w:p>
            <w:pPr>
              <w:jc w:val="right"/>
              <w:spacing w:after="0"/>
              <w:rPr>
                <w:sz w:val="20"/>
                <w:szCs w:val="20"/>
                <w:color w:val="auto"/>
              </w:rPr>
            </w:pPr>
            <w:r>
              <w:rPr>
                <w:rFonts w:ascii="Arial" w:cs="Arial" w:eastAsia="Arial" w:hAnsi="Arial"/>
                <w:sz w:val="16"/>
                <w:szCs w:val="16"/>
                <w:color w:val="auto"/>
              </w:rPr>
              <w:t>7.45 %</w:t>
            </w:r>
          </w:p>
        </w:tc>
      </w:tr>
      <w:tr>
        <w:trPr>
          <w:trHeight w:val="216"/>
        </w:trPr>
        <w:tc>
          <w:tcPr>
            <w:tcW w:w="4480" w:type="dxa"/>
            <w:vAlign w:val="bottom"/>
          </w:tcPr>
          <w:p>
            <w:pPr>
              <w:ind w:left="20"/>
              <w:spacing w:after="0"/>
              <w:rPr>
                <w:sz w:val="20"/>
                <w:szCs w:val="20"/>
                <w:color w:val="auto"/>
              </w:rPr>
            </w:pPr>
            <w:r>
              <w:rPr>
                <w:rFonts w:ascii="Arial" w:cs="Arial" w:eastAsia="Arial" w:hAnsi="Arial"/>
                <w:sz w:val="16"/>
                <w:szCs w:val="16"/>
                <w:b w:val="1"/>
                <w:bCs w:val="1"/>
                <w:color w:val="auto"/>
              </w:rPr>
              <w:t>SoCalGas:</w:t>
            </w:r>
          </w:p>
        </w:tc>
        <w:tc>
          <w:tcPr>
            <w:tcW w:w="1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16"/>
        </w:trPr>
        <w:tc>
          <w:tcPr>
            <w:tcW w:w="4480" w:type="dxa"/>
            <w:vAlign w:val="bottom"/>
            <w:shd w:val="clear" w:color="auto" w:fill="D4F1F5"/>
          </w:tcPr>
          <w:p>
            <w:pPr>
              <w:ind w:left="20"/>
              <w:spacing w:after="0"/>
              <w:rPr>
                <w:sz w:val="20"/>
                <w:szCs w:val="20"/>
                <w:color w:val="auto"/>
              </w:rPr>
            </w:pPr>
            <w:r>
              <w:rPr>
                <w:rFonts w:ascii="Arial" w:cs="Arial" w:eastAsia="Arial" w:hAnsi="Arial"/>
                <w:sz w:val="16"/>
                <w:szCs w:val="16"/>
                <w:color w:val="auto"/>
              </w:rPr>
              <w:t>Long-Term Debt</w:t>
            </w:r>
          </w:p>
        </w:tc>
        <w:tc>
          <w:tcPr>
            <w:tcW w:w="1300" w:type="dxa"/>
            <w:vAlign w:val="bottom"/>
            <w:shd w:val="clear" w:color="auto" w:fill="D4F1F5"/>
          </w:tcPr>
          <w:p>
            <w:pPr>
              <w:jc w:val="right"/>
              <w:spacing w:after="0"/>
              <w:rPr>
                <w:sz w:val="20"/>
                <w:szCs w:val="20"/>
                <w:color w:val="auto"/>
              </w:rPr>
            </w:pPr>
            <w:r>
              <w:rPr>
                <w:rFonts w:ascii="Arial" w:cs="Arial" w:eastAsia="Arial" w:hAnsi="Arial"/>
                <w:sz w:val="16"/>
                <w:szCs w:val="16"/>
                <w:color w:val="auto"/>
              </w:rPr>
              <w:t>45.60 %</w:t>
            </w:r>
          </w:p>
        </w:tc>
        <w:tc>
          <w:tcPr>
            <w:tcW w:w="1700" w:type="dxa"/>
            <w:vAlign w:val="bottom"/>
            <w:gridSpan w:val="2"/>
            <w:shd w:val="clear" w:color="auto" w:fill="D4F1F5"/>
          </w:tcPr>
          <w:p>
            <w:pPr>
              <w:ind w:left="940"/>
              <w:spacing w:after="0"/>
              <w:rPr>
                <w:sz w:val="20"/>
                <w:szCs w:val="20"/>
                <w:color w:val="auto"/>
              </w:rPr>
            </w:pPr>
            <w:r>
              <w:rPr>
                <w:rFonts w:ascii="Arial" w:cs="Arial" w:eastAsia="Arial" w:hAnsi="Arial"/>
                <w:sz w:val="16"/>
                <w:szCs w:val="16"/>
                <w:color w:val="auto"/>
              </w:rPr>
              <w:t>5.02 %</w:t>
            </w:r>
          </w:p>
        </w:tc>
        <w:tc>
          <w:tcPr>
            <w:tcW w:w="1040" w:type="dxa"/>
            <w:vAlign w:val="bottom"/>
            <w:shd w:val="clear" w:color="auto" w:fill="D4F1F5"/>
          </w:tcPr>
          <w:p>
            <w:pPr>
              <w:jc w:val="right"/>
              <w:spacing w:after="0"/>
              <w:rPr>
                <w:sz w:val="20"/>
                <w:szCs w:val="20"/>
                <w:color w:val="auto"/>
              </w:rPr>
            </w:pPr>
            <w:r>
              <w:rPr>
                <w:rFonts w:ascii="Arial" w:cs="Arial" w:eastAsia="Arial" w:hAnsi="Arial"/>
                <w:sz w:val="16"/>
                <w:szCs w:val="16"/>
                <w:color w:val="auto"/>
              </w:rPr>
              <w:t>4.63 %</w:t>
            </w:r>
          </w:p>
        </w:tc>
        <w:tc>
          <w:tcPr>
            <w:tcW w:w="200" w:type="dxa"/>
            <w:vAlign w:val="bottom"/>
            <w:shd w:val="clear" w:color="auto" w:fill="D4F1F5"/>
          </w:tcPr>
          <w:p>
            <w:pPr>
              <w:spacing w:after="0"/>
              <w:rPr>
                <w:sz w:val="18"/>
                <w:szCs w:val="18"/>
                <w:color w:val="auto"/>
              </w:rPr>
            </w:pPr>
          </w:p>
        </w:tc>
        <w:tc>
          <w:tcPr>
            <w:tcW w:w="1480" w:type="dxa"/>
            <w:vAlign w:val="bottom"/>
            <w:shd w:val="clear" w:color="auto" w:fill="D4F1F5"/>
          </w:tcPr>
          <w:p>
            <w:pPr>
              <w:ind w:left="740"/>
              <w:spacing w:after="0"/>
              <w:rPr>
                <w:sz w:val="20"/>
                <w:szCs w:val="20"/>
                <w:color w:val="auto"/>
              </w:rPr>
            </w:pPr>
            <w:r>
              <w:rPr>
                <w:rFonts w:ascii="Arial" w:cs="Arial" w:eastAsia="Arial" w:hAnsi="Arial"/>
                <w:sz w:val="16"/>
                <w:szCs w:val="16"/>
                <w:color w:val="auto"/>
              </w:rPr>
              <w:t>2.29 %</w:t>
            </w:r>
          </w:p>
        </w:tc>
        <w:tc>
          <w:tcPr>
            <w:tcW w:w="1040" w:type="dxa"/>
            <w:vAlign w:val="bottom"/>
            <w:shd w:val="clear" w:color="auto" w:fill="D4F1F5"/>
          </w:tcPr>
          <w:p>
            <w:pPr>
              <w:jc w:val="right"/>
              <w:spacing w:after="0"/>
              <w:rPr>
                <w:sz w:val="20"/>
                <w:szCs w:val="20"/>
                <w:color w:val="auto"/>
              </w:rPr>
            </w:pPr>
            <w:r>
              <w:rPr>
                <w:rFonts w:ascii="Arial" w:cs="Arial" w:eastAsia="Arial" w:hAnsi="Arial"/>
                <w:sz w:val="16"/>
                <w:szCs w:val="16"/>
                <w:color w:val="auto"/>
              </w:rPr>
              <w:t>2.11 %</w:t>
            </w:r>
          </w:p>
        </w:tc>
      </w:tr>
      <w:tr>
        <w:trPr>
          <w:trHeight w:val="215"/>
        </w:trPr>
        <w:tc>
          <w:tcPr>
            <w:tcW w:w="4480" w:type="dxa"/>
            <w:vAlign w:val="bottom"/>
          </w:tcPr>
          <w:p>
            <w:pPr>
              <w:ind w:left="20"/>
              <w:spacing w:after="0"/>
              <w:rPr>
                <w:sz w:val="20"/>
                <w:szCs w:val="20"/>
                <w:color w:val="auto"/>
              </w:rPr>
            </w:pPr>
            <w:r>
              <w:rPr>
                <w:rFonts w:ascii="Arial" w:cs="Arial" w:eastAsia="Arial" w:hAnsi="Arial"/>
                <w:sz w:val="16"/>
                <w:szCs w:val="16"/>
                <w:color w:val="auto"/>
              </w:rPr>
              <w:t>Preferred Equity</w:t>
            </w:r>
          </w:p>
        </w:tc>
        <w:tc>
          <w:tcPr>
            <w:tcW w:w="1300" w:type="dxa"/>
            <w:vAlign w:val="bottom"/>
          </w:tcPr>
          <w:p>
            <w:pPr>
              <w:jc w:val="right"/>
              <w:ind w:right="141"/>
              <w:spacing w:after="0"/>
              <w:rPr>
                <w:sz w:val="20"/>
                <w:szCs w:val="20"/>
                <w:color w:val="auto"/>
              </w:rPr>
            </w:pPr>
            <w:r>
              <w:rPr>
                <w:rFonts w:ascii="Arial" w:cs="Arial" w:eastAsia="Arial" w:hAnsi="Arial"/>
                <w:sz w:val="16"/>
                <w:szCs w:val="16"/>
                <w:color w:val="auto"/>
              </w:rPr>
              <w:t>2.40</w:t>
            </w:r>
          </w:p>
        </w:tc>
        <w:tc>
          <w:tcPr>
            <w:tcW w:w="1700" w:type="dxa"/>
            <w:vAlign w:val="bottom"/>
            <w:gridSpan w:val="2"/>
          </w:tcPr>
          <w:p>
            <w:pPr>
              <w:ind w:left="940"/>
              <w:spacing w:after="0"/>
              <w:rPr>
                <w:sz w:val="20"/>
                <w:szCs w:val="20"/>
                <w:color w:val="auto"/>
              </w:rPr>
            </w:pPr>
            <w:r>
              <w:rPr>
                <w:rFonts w:ascii="Arial" w:cs="Arial" w:eastAsia="Arial" w:hAnsi="Arial"/>
                <w:sz w:val="16"/>
                <w:szCs w:val="16"/>
                <w:color w:val="auto"/>
              </w:rPr>
              <w:t>6.00</w:t>
            </w:r>
          </w:p>
        </w:tc>
        <w:tc>
          <w:tcPr>
            <w:tcW w:w="1040" w:type="dxa"/>
            <w:vAlign w:val="bottom"/>
          </w:tcPr>
          <w:p>
            <w:pPr>
              <w:jc w:val="right"/>
              <w:ind w:right="140"/>
              <w:spacing w:after="0"/>
              <w:rPr>
                <w:sz w:val="20"/>
                <w:szCs w:val="20"/>
                <w:color w:val="auto"/>
              </w:rPr>
            </w:pPr>
            <w:r>
              <w:rPr>
                <w:rFonts w:ascii="Arial" w:cs="Arial" w:eastAsia="Arial" w:hAnsi="Arial"/>
                <w:sz w:val="16"/>
                <w:szCs w:val="16"/>
                <w:color w:val="auto"/>
              </w:rPr>
              <w:t>6.00</w:t>
            </w:r>
          </w:p>
        </w:tc>
        <w:tc>
          <w:tcPr>
            <w:tcW w:w="200" w:type="dxa"/>
            <w:vAlign w:val="bottom"/>
          </w:tcPr>
          <w:p>
            <w:pPr>
              <w:spacing w:after="0"/>
              <w:rPr>
                <w:sz w:val="18"/>
                <w:szCs w:val="18"/>
                <w:color w:val="auto"/>
              </w:rPr>
            </w:pPr>
          </w:p>
        </w:tc>
        <w:tc>
          <w:tcPr>
            <w:tcW w:w="1480" w:type="dxa"/>
            <w:vAlign w:val="bottom"/>
          </w:tcPr>
          <w:p>
            <w:pPr>
              <w:ind w:left="740"/>
              <w:spacing w:after="0"/>
              <w:rPr>
                <w:sz w:val="20"/>
                <w:szCs w:val="20"/>
                <w:color w:val="auto"/>
              </w:rPr>
            </w:pPr>
            <w:r>
              <w:rPr>
                <w:rFonts w:ascii="Arial" w:cs="Arial" w:eastAsia="Arial" w:hAnsi="Arial"/>
                <w:sz w:val="16"/>
                <w:szCs w:val="16"/>
                <w:color w:val="auto"/>
              </w:rPr>
              <w:t>0.14</w:t>
            </w:r>
          </w:p>
        </w:tc>
        <w:tc>
          <w:tcPr>
            <w:tcW w:w="1040" w:type="dxa"/>
            <w:vAlign w:val="bottom"/>
          </w:tcPr>
          <w:p>
            <w:pPr>
              <w:jc w:val="right"/>
              <w:ind w:right="120"/>
              <w:spacing w:after="0"/>
              <w:rPr>
                <w:sz w:val="20"/>
                <w:szCs w:val="20"/>
                <w:color w:val="auto"/>
              </w:rPr>
            </w:pPr>
            <w:r>
              <w:rPr>
                <w:rFonts w:ascii="Arial" w:cs="Arial" w:eastAsia="Arial" w:hAnsi="Arial"/>
                <w:sz w:val="16"/>
                <w:szCs w:val="16"/>
                <w:color w:val="auto"/>
              </w:rPr>
              <w:t>0.14</w:t>
            </w:r>
          </w:p>
        </w:tc>
      </w:tr>
      <w:tr>
        <w:trPr>
          <w:trHeight w:val="216"/>
        </w:trPr>
        <w:tc>
          <w:tcPr>
            <w:tcW w:w="4480" w:type="dxa"/>
            <w:vAlign w:val="bottom"/>
            <w:shd w:val="clear" w:color="auto" w:fill="D4F1F5"/>
          </w:tcPr>
          <w:p>
            <w:pPr>
              <w:ind w:left="20"/>
              <w:spacing w:after="0"/>
              <w:rPr>
                <w:sz w:val="20"/>
                <w:szCs w:val="20"/>
                <w:color w:val="auto"/>
              </w:rPr>
            </w:pPr>
            <w:r>
              <w:rPr>
                <w:rFonts w:ascii="Arial" w:cs="Arial" w:eastAsia="Arial" w:hAnsi="Arial"/>
                <w:sz w:val="16"/>
                <w:szCs w:val="16"/>
                <w:color w:val="auto"/>
              </w:rPr>
              <w:t>Common Equity</w:t>
            </w:r>
          </w:p>
        </w:tc>
        <w:tc>
          <w:tcPr>
            <w:tcW w:w="1300" w:type="dxa"/>
            <w:vAlign w:val="bottom"/>
            <w:tcBorders>
              <w:bottom w:val="single" w:sz="8" w:color="auto"/>
            </w:tcBorders>
            <w:shd w:val="clear" w:color="auto" w:fill="D4F1F5"/>
          </w:tcPr>
          <w:p>
            <w:pPr>
              <w:jc w:val="right"/>
              <w:ind w:right="141"/>
              <w:spacing w:after="0"/>
              <w:rPr>
                <w:sz w:val="20"/>
                <w:szCs w:val="20"/>
                <w:color w:val="auto"/>
              </w:rPr>
            </w:pPr>
            <w:r>
              <w:rPr>
                <w:rFonts w:ascii="Arial" w:cs="Arial" w:eastAsia="Arial" w:hAnsi="Arial"/>
                <w:sz w:val="16"/>
                <w:szCs w:val="16"/>
                <w:color w:val="auto"/>
              </w:rPr>
              <w:t>52.00</w:t>
            </w:r>
          </w:p>
        </w:tc>
        <w:tc>
          <w:tcPr>
            <w:tcW w:w="1700" w:type="dxa"/>
            <w:vAlign w:val="bottom"/>
            <w:gridSpan w:val="2"/>
            <w:shd w:val="clear" w:color="auto" w:fill="D4F1F5"/>
          </w:tcPr>
          <w:p>
            <w:pPr>
              <w:ind w:left="940"/>
              <w:spacing w:after="0"/>
              <w:rPr>
                <w:sz w:val="20"/>
                <w:szCs w:val="20"/>
                <w:color w:val="auto"/>
              </w:rPr>
            </w:pPr>
            <w:r>
              <w:rPr>
                <w:rFonts w:ascii="Arial" w:cs="Arial" w:eastAsia="Arial" w:hAnsi="Arial"/>
                <w:sz w:val="16"/>
                <w:szCs w:val="16"/>
                <w:color w:val="auto"/>
              </w:rPr>
              <w:t>9.78</w:t>
            </w:r>
          </w:p>
        </w:tc>
        <w:tc>
          <w:tcPr>
            <w:tcW w:w="1040" w:type="dxa"/>
            <w:vAlign w:val="bottom"/>
            <w:shd w:val="clear" w:color="auto" w:fill="D4F1F5"/>
          </w:tcPr>
          <w:p>
            <w:pPr>
              <w:jc w:val="right"/>
              <w:ind w:right="140"/>
              <w:spacing w:after="0"/>
              <w:rPr>
                <w:sz w:val="20"/>
                <w:szCs w:val="20"/>
                <w:color w:val="auto"/>
              </w:rPr>
            </w:pPr>
            <w:r>
              <w:rPr>
                <w:rFonts w:ascii="Arial" w:cs="Arial" w:eastAsia="Arial" w:hAnsi="Arial"/>
                <w:sz w:val="16"/>
                <w:szCs w:val="16"/>
                <w:color w:val="auto"/>
              </w:rPr>
              <w:t>10.08</w:t>
            </w:r>
          </w:p>
        </w:tc>
        <w:tc>
          <w:tcPr>
            <w:tcW w:w="200" w:type="dxa"/>
            <w:vAlign w:val="bottom"/>
            <w:shd w:val="clear" w:color="auto" w:fill="D4F1F5"/>
          </w:tcPr>
          <w:p>
            <w:pPr>
              <w:spacing w:after="0"/>
              <w:rPr>
                <w:sz w:val="18"/>
                <w:szCs w:val="18"/>
                <w:color w:val="auto"/>
              </w:rPr>
            </w:pPr>
          </w:p>
        </w:tc>
        <w:tc>
          <w:tcPr>
            <w:tcW w:w="1480" w:type="dxa"/>
            <w:vAlign w:val="bottom"/>
            <w:tcBorders>
              <w:bottom w:val="single" w:sz="8" w:color="auto"/>
            </w:tcBorders>
            <w:shd w:val="clear" w:color="auto" w:fill="D4F1F5"/>
          </w:tcPr>
          <w:p>
            <w:pPr>
              <w:ind w:left="740"/>
              <w:spacing w:after="0"/>
              <w:rPr>
                <w:sz w:val="20"/>
                <w:szCs w:val="20"/>
                <w:color w:val="auto"/>
              </w:rPr>
            </w:pPr>
            <w:r>
              <w:rPr>
                <w:rFonts w:ascii="Arial" w:cs="Arial" w:eastAsia="Arial" w:hAnsi="Arial"/>
                <w:sz w:val="16"/>
                <w:szCs w:val="16"/>
                <w:color w:val="auto"/>
              </w:rPr>
              <w:t>5.09</w:t>
            </w:r>
          </w:p>
        </w:tc>
        <w:tc>
          <w:tcPr>
            <w:tcW w:w="1040" w:type="dxa"/>
            <w:vAlign w:val="bottom"/>
            <w:tcBorders>
              <w:bottom w:val="single" w:sz="8" w:color="auto"/>
            </w:tcBorders>
            <w:shd w:val="clear" w:color="auto" w:fill="D4F1F5"/>
          </w:tcPr>
          <w:p>
            <w:pPr>
              <w:jc w:val="right"/>
              <w:ind w:right="120"/>
              <w:spacing w:after="0"/>
              <w:rPr>
                <w:sz w:val="20"/>
                <w:szCs w:val="20"/>
                <w:color w:val="auto"/>
              </w:rPr>
            </w:pPr>
            <w:r>
              <w:rPr>
                <w:rFonts w:ascii="Arial" w:cs="Arial" w:eastAsia="Arial" w:hAnsi="Arial"/>
                <w:sz w:val="16"/>
                <w:szCs w:val="16"/>
                <w:color w:val="auto"/>
              </w:rPr>
              <w:t>5.24</w:t>
            </w:r>
          </w:p>
        </w:tc>
      </w:tr>
      <w:tr>
        <w:trPr>
          <w:trHeight w:val="217"/>
        </w:trPr>
        <w:tc>
          <w:tcPr>
            <w:tcW w:w="44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100.00 %</w:t>
            </w:r>
          </w:p>
        </w:tc>
        <w:tc>
          <w:tcPr>
            <w:tcW w:w="20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ind w:left="740"/>
              <w:spacing w:after="0"/>
              <w:rPr>
                <w:sz w:val="20"/>
                <w:szCs w:val="20"/>
                <w:color w:val="auto"/>
              </w:rPr>
            </w:pPr>
            <w:r>
              <w:rPr>
                <w:rFonts w:ascii="Arial" w:cs="Arial" w:eastAsia="Arial" w:hAnsi="Arial"/>
                <w:sz w:val="16"/>
                <w:szCs w:val="16"/>
                <w:color w:val="auto"/>
              </w:rPr>
              <w:t>7.52 %</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7.49 %</w:t>
            </w:r>
          </w:p>
        </w:tc>
      </w:tr>
    </w:tbl>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FERC RATE MATTERS</w:t>
      </w:r>
    </w:p>
    <w:p>
      <w:pPr>
        <w:spacing w:after="0" w:line="118" w:lineRule="exact"/>
        <w:rPr>
          <w:sz w:val="20"/>
          <w:szCs w:val="20"/>
          <w:color w:val="auto"/>
        </w:rPr>
      </w:pPr>
    </w:p>
    <w:p>
      <w:pPr>
        <w:ind w:right="120"/>
        <w:spacing w:after="0" w:line="297" w:lineRule="auto"/>
        <w:rPr>
          <w:sz w:val="20"/>
          <w:szCs w:val="20"/>
          <w:color w:val="auto"/>
        </w:rPr>
      </w:pPr>
      <w:r>
        <w:rPr>
          <w:rFonts w:ascii="Times New Roman" w:cs="Times New Roman" w:eastAsia="Times New Roman" w:hAnsi="Times New Roman"/>
          <w:sz w:val="18"/>
          <w:szCs w:val="18"/>
          <w:color w:val="auto"/>
        </w:rPr>
        <w:t>SDG&amp;E files separately with the FERC for its authorized transmission revenue requirement and ROE on FERC-regulated electric transmission operations and assets.</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TO5 Settlement</w:t>
      </w:r>
    </w:p>
    <w:p>
      <w:pPr>
        <w:spacing w:after="0" w:line="49" w:lineRule="exact"/>
        <w:rPr>
          <w:sz w:val="20"/>
          <w:szCs w:val="20"/>
          <w:color w:val="auto"/>
        </w:rPr>
      </w:pPr>
    </w:p>
    <w:p>
      <w:pPr>
        <w:ind w:right="300"/>
        <w:spacing w:after="0" w:line="281" w:lineRule="auto"/>
        <w:rPr>
          <w:sz w:val="20"/>
          <w:szCs w:val="20"/>
          <w:color w:val="auto"/>
        </w:rPr>
      </w:pPr>
      <w:r>
        <w:rPr>
          <w:rFonts w:ascii="Times New Roman" w:cs="Times New Roman" w:eastAsia="Times New Roman" w:hAnsi="Times New Roman"/>
          <w:sz w:val="18"/>
          <w:szCs w:val="18"/>
          <w:color w:val="auto"/>
        </w:rPr>
        <w:t>SDG&amp;E’s authorized TO5 settlement provided for an ROE of 10.60%, consisting of a base ROE of 10.10% plus the California ISO adder. In December 2024, the FERC issued an order, which SDG&amp;E has appealed, finding that SDG&amp;E is not eligible for the California ISO adder and that the TO5 adder refund provision had been triggered, requiring SDG&amp;E to refund customers the California ISO adder retroactively from June 1, 2019.</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TO6 Filing</w:t>
      </w:r>
    </w:p>
    <w:p>
      <w:pPr>
        <w:spacing w:after="0" w:line="49" w:lineRule="exact"/>
        <w:rPr>
          <w:sz w:val="20"/>
          <w:szCs w:val="20"/>
          <w:color w:val="auto"/>
        </w:rPr>
      </w:pPr>
    </w:p>
    <w:p>
      <w:pPr>
        <w:ind w:right="100"/>
        <w:spacing w:after="0" w:line="279" w:lineRule="auto"/>
        <w:rPr>
          <w:sz w:val="20"/>
          <w:szCs w:val="20"/>
          <w:color w:val="auto"/>
        </w:rPr>
      </w:pPr>
      <w:r>
        <w:rPr>
          <w:rFonts w:ascii="Times New Roman" w:cs="Times New Roman" w:eastAsia="Times New Roman" w:hAnsi="Times New Roman"/>
          <w:sz w:val="17"/>
          <w:szCs w:val="17"/>
          <w:color w:val="auto"/>
        </w:rPr>
        <w:t>In October 2024, SDG&amp;E submitted its TO6 filing to the FERC and requested it to be effective January 1, 2025. In December 2024, the FERC accepted SDG&amp;E’s TO6 filing, subject to refund; suspended the effective date to June 1, 2025; established hearing and settlement judge procedures; and disallowed the inclusion of the California ISO adder, the last of which SDG&amp;E has appealed. In March 2026, SDG&amp;E filed with the FERC an uncontested offer of settlement in the TO6 proceeding. Among other things, the offer of settlement reflects an increase to SDG&amp;E’s currently authorized base ROE from</w:t>
      </w:r>
    </w:p>
    <w:p>
      <w:pPr>
        <w:ind w:right="240"/>
        <w:spacing w:after="0" w:line="264" w:lineRule="auto"/>
        <w:rPr>
          <w:sz w:val="20"/>
          <w:szCs w:val="20"/>
          <w:color w:val="auto"/>
        </w:rPr>
      </w:pPr>
      <w:r>
        <w:rPr>
          <w:rFonts w:ascii="Times New Roman" w:cs="Times New Roman" w:eastAsia="Times New Roman" w:hAnsi="Times New Roman"/>
          <w:sz w:val="18"/>
          <w:szCs w:val="18"/>
          <w:color w:val="auto"/>
        </w:rPr>
        <w:t>10.10% to 10.28%, a hypothetical capital structure with 54% common equity, and does not affect SDG&amp;E’s appeal of the FERC’s disallowance of the inclusion of the California ISO adder. The settlement is pending approval with the FERC and SDG&amp;E expects to receive a decision in the second half of 2026. If approved, the TO6 settlement will be effective retroactively to June 1, 2025 and will remain in effect until terminated by a notice provided in March of any year. Following any such notice, SDG&amp;E would submit a new Transmission Owner Rate filing for rates to go into effect January 1 of the following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314325</wp:posOffset>
            </wp:positionV>
            <wp:extent cx="7115175"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Arial" w:cs="Arial" w:eastAsia="Arial" w:hAnsi="Arial"/>
          <w:sz w:val="20"/>
          <w:szCs w:val="20"/>
          <w:color w:val="auto"/>
        </w:rPr>
        <w:t>NOTE 5. SEMPRA – INVESTMENTS IN UNCONSOLIDATED ENTITIES</w:t>
      </w:r>
    </w:p>
    <w:p>
      <w:pPr>
        <w:spacing w:after="0" w:line="97"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We generally account for investments under the equity method when we have significant influence over, but do not have control of, these entities. Equity earnings and losses, both before and net of income tax, are combined and presented as Equity Earnings on the Condensed Consolidated Statements of Operations. Distributions received from equity method investees are classified in the Condensed Consolidated Statements of Cash Flows as either a return on investment in operating activities or a return of investment in investing activities based on the “nature of the distribution” approach. See Note 14 for information on equity earnings and losses, both before and net of income tax, by segment. See Note 1 for information on how equity earnings and losses before income taxes are factored into the calculations of our pretax income or loss and ETR.</w:t>
      </w:r>
    </w:p>
    <w:p>
      <w:pPr>
        <w:spacing w:after="0" w:line="82"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We provide additional information concerning our equity method investments in Note 5 of the Notes to Consolidated Financial Statements in the Annual Report.</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150495</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48" w:name="page49"/>
    <w:bookmarkEnd w:id="4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SEMPRA TEXAS UTILITIES</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Oncor Holdings</w:t>
      </w:r>
    </w:p>
    <w:p>
      <w:pPr>
        <w:spacing w:after="0" w:line="49" w:lineRule="exact"/>
        <w:rPr>
          <w:sz w:val="20"/>
          <w:szCs w:val="20"/>
          <w:color w:val="auto"/>
        </w:rPr>
      </w:pPr>
    </w:p>
    <w:p>
      <w:pPr>
        <w:ind w:right="180"/>
        <w:spacing w:after="0" w:line="271" w:lineRule="auto"/>
        <w:rPr>
          <w:sz w:val="20"/>
          <w:szCs w:val="20"/>
          <w:color w:val="auto"/>
        </w:rPr>
      </w:pPr>
      <w:r>
        <w:rPr>
          <w:rFonts w:ascii="Times New Roman" w:cs="Times New Roman" w:eastAsia="Times New Roman" w:hAnsi="Times New Roman"/>
          <w:sz w:val="18"/>
          <w:szCs w:val="18"/>
          <w:color w:val="auto"/>
        </w:rPr>
        <w:t>We account for our 100% equity ownership interest in Oncor Holdings, which owns an 80.25% interest in Oncor, as an equity method investment. Due to the ring-fencing measures, governance mechanisms and commitments in effect, we do not have the power to direct the significant activities of Oncor Holdings and Oncor. See Note 5 of the Notes to Consolidated Financial Statements in the Annual Report for additional information related to the restrictions on our ability to direct the significant activities of Oncor Holdings and Oncor.</w:t>
      </w:r>
    </w:p>
    <w:p>
      <w:pPr>
        <w:spacing w:after="0" w:line="78" w:lineRule="exact"/>
        <w:rPr>
          <w:sz w:val="20"/>
          <w:szCs w:val="20"/>
          <w:color w:val="auto"/>
        </w:rPr>
      </w:pPr>
    </w:p>
    <w:p>
      <w:pPr>
        <w:ind w:right="120"/>
        <w:spacing w:after="0" w:line="274" w:lineRule="auto"/>
        <w:rPr>
          <w:sz w:val="20"/>
          <w:szCs w:val="20"/>
          <w:color w:val="auto"/>
        </w:rPr>
      </w:pPr>
      <w:r>
        <w:rPr>
          <w:rFonts w:ascii="Times New Roman" w:cs="Times New Roman" w:eastAsia="Times New Roman" w:hAnsi="Times New Roman"/>
          <w:sz w:val="18"/>
          <w:szCs w:val="18"/>
          <w:color w:val="auto"/>
        </w:rPr>
        <w:t>In the three months ended March 31, 2026 and 2025, Sempra contributed $876 million and $486 million, respectively, to Oncor Holdings, and Oncor Holdings distributed $229 million and $142 million, respectively, to Sempra. On April 29, 2026, Sempra contributed $610 million to Oncor Holdings, and on April 28, 2026, Oncor Holdings distributed $229 million to Sempra.</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provide summarized income statement information for Oncor Holdings in the following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102870</wp:posOffset>
            </wp:positionV>
            <wp:extent cx="7132320" cy="3003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32320" cy="300355"/>
                    </a:xfrm>
                    <a:prstGeom prst="rect">
                      <a:avLst/>
                    </a:prstGeom>
                    <a:noFill/>
                  </pic:spPr>
                </pic:pic>
              </a:graphicData>
            </a:graphic>
          </wp:anchor>
        </w:drawing>
      </w:r>
    </w:p>
    <w:p>
      <w:pPr>
        <w:spacing w:after="0" w:line="155"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FFFFFF"/>
        </w:rPr>
        <w:t>SUMMARIZED FINANCIAL INFORMATION – ONCOR HOLDINGS</w:t>
      </w:r>
    </w:p>
    <w:p>
      <w:pPr>
        <w:spacing w:after="0" w:line="66" w:lineRule="exact"/>
        <w:rPr>
          <w:sz w:val="20"/>
          <w:szCs w:val="20"/>
          <w:color w:val="auto"/>
        </w:rPr>
      </w:pPr>
    </w:p>
    <w:p>
      <w:pPr>
        <w:ind w:left="20"/>
        <w:spacing w:after="0"/>
        <w:rPr>
          <w:sz w:val="20"/>
          <w:szCs w:val="20"/>
          <w:color w:val="auto"/>
        </w:rPr>
      </w:pPr>
      <w:r>
        <w:rPr>
          <w:rFonts w:ascii="Arial" w:cs="Arial" w:eastAsia="Arial" w:hAnsi="Arial"/>
          <w:sz w:val="14"/>
          <w:szCs w:val="14"/>
          <w:i w:val="1"/>
          <w:iCs w:val="1"/>
          <w:color w:val="FFFFFF"/>
        </w:rPr>
        <w:t>(Dollars in millions)</w:t>
      </w:r>
    </w:p>
    <w:p>
      <w:pPr>
        <w:spacing w:after="0" w:line="67" w:lineRule="exact"/>
        <w:rPr>
          <w:sz w:val="20"/>
          <w:szCs w:val="20"/>
          <w:color w:val="auto"/>
        </w:rPr>
      </w:pPr>
    </w:p>
    <w:p>
      <w:pPr>
        <w:jc w:val="center"/>
        <w:ind w:left="8780"/>
        <w:spacing w:after="0"/>
        <w:rPr>
          <w:sz w:val="20"/>
          <w:szCs w:val="20"/>
          <w:color w:val="auto"/>
        </w:rPr>
      </w:pPr>
      <w:r>
        <w:rPr>
          <w:rFonts w:ascii="Arial" w:cs="Arial" w:eastAsia="Arial" w:hAnsi="Arial"/>
          <w:sz w:val="14"/>
          <w:szCs w:val="14"/>
          <w:color w:val="auto"/>
        </w:rPr>
        <w:t>Three months ended</w:t>
      </w:r>
    </w:p>
    <w:p>
      <w:pPr>
        <w:spacing w:after="0" w:line="29" w:lineRule="exact"/>
        <w:rPr>
          <w:sz w:val="20"/>
          <w:szCs w:val="20"/>
          <w:color w:val="auto"/>
        </w:rPr>
      </w:pPr>
    </w:p>
    <w:p>
      <w:pPr>
        <w:jc w:val="center"/>
        <w:ind w:left="8780"/>
        <w:spacing w:after="0"/>
        <w:rPr>
          <w:sz w:val="20"/>
          <w:szCs w:val="20"/>
          <w:color w:val="auto"/>
        </w:rPr>
      </w:pPr>
      <w:r>
        <w:rPr>
          <w:rFonts w:ascii="Arial" w:cs="Arial" w:eastAsia="Arial" w:hAnsi="Arial"/>
          <w:sz w:val="14"/>
          <w:szCs w:val="14"/>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5585460</wp:posOffset>
            </wp:positionH>
            <wp:positionV relativeFrom="paragraph">
              <wp:posOffset>14605</wp:posOffset>
            </wp:positionV>
            <wp:extent cx="1551305"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1551305" cy="8255"/>
                    </a:xfrm>
                    <a:prstGeom prst="rect">
                      <a:avLst/>
                    </a:prstGeom>
                    <a:noFill/>
                  </pic:spPr>
                </pic:pic>
              </a:graphicData>
            </a:graphic>
          </wp:anchor>
        </w:drawing>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5620" w:type="dxa"/>
            <w:vAlign w:val="bottom"/>
            <w:tcBorders>
              <w:bottom w:val="single" w:sz="8" w:color="auto"/>
            </w:tcBorders>
          </w:tcPr>
          <w:p>
            <w:pPr>
              <w:spacing w:after="0"/>
              <w:rPr>
                <w:sz w:val="16"/>
                <w:szCs w:val="16"/>
                <w:color w:val="auto"/>
              </w:rPr>
            </w:pPr>
          </w:p>
        </w:tc>
        <w:tc>
          <w:tcPr>
            <w:tcW w:w="34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420"/>
              <w:spacing w:after="0"/>
              <w:rPr>
                <w:sz w:val="20"/>
                <w:szCs w:val="20"/>
                <w:color w:val="auto"/>
              </w:rPr>
            </w:pPr>
            <w:r>
              <w:rPr>
                <w:rFonts w:ascii="Arial" w:cs="Arial" w:eastAsia="Arial" w:hAnsi="Arial"/>
                <w:sz w:val="14"/>
                <w:szCs w:val="14"/>
                <w:color w:val="auto"/>
              </w:rPr>
              <w:t>2026</w:t>
            </w:r>
          </w:p>
        </w:tc>
        <w:tc>
          <w:tcPr>
            <w:tcW w:w="3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20"/>
              <w:spacing w:after="0"/>
              <w:rPr>
                <w:sz w:val="20"/>
                <w:szCs w:val="20"/>
                <w:color w:val="auto"/>
              </w:rPr>
            </w:pPr>
            <w:r>
              <w:rPr>
                <w:rFonts w:ascii="Arial" w:cs="Arial" w:eastAsia="Arial" w:hAnsi="Arial"/>
                <w:sz w:val="14"/>
                <w:szCs w:val="14"/>
                <w:color w:val="auto"/>
              </w:rPr>
              <w:t>2025</w:t>
            </w:r>
          </w:p>
        </w:tc>
      </w:tr>
      <w:tr>
        <w:trPr>
          <w:trHeight w:val="214"/>
        </w:trPr>
        <w:tc>
          <w:tcPr>
            <w:tcW w:w="5620" w:type="dxa"/>
            <w:vAlign w:val="bottom"/>
            <w:shd w:val="clear" w:color="auto" w:fill="D4F1F5"/>
          </w:tcPr>
          <w:p>
            <w:pPr>
              <w:ind w:left="20"/>
              <w:spacing w:after="0"/>
              <w:rPr>
                <w:sz w:val="20"/>
                <w:szCs w:val="20"/>
                <w:color w:val="auto"/>
              </w:rPr>
            </w:pPr>
            <w:r>
              <w:rPr>
                <w:rFonts w:ascii="Arial" w:cs="Arial" w:eastAsia="Arial" w:hAnsi="Arial"/>
                <w:sz w:val="16"/>
                <w:szCs w:val="16"/>
                <w:color w:val="auto"/>
              </w:rPr>
              <w:t>Operating revenues</w:t>
            </w:r>
          </w:p>
        </w:tc>
        <w:tc>
          <w:tcPr>
            <w:tcW w:w="3440" w:type="dxa"/>
            <w:vAlign w:val="bottom"/>
            <w:shd w:val="clear" w:color="auto" w:fill="D4F1F5"/>
          </w:tcPr>
          <w:p>
            <w:pPr>
              <w:jc w:val="right"/>
              <w:ind w:right="79"/>
              <w:spacing w:after="0"/>
              <w:rPr>
                <w:sz w:val="20"/>
                <w:szCs w:val="20"/>
                <w:color w:val="auto"/>
              </w:rPr>
            </w:pPr>
            <w:r>
              <w:rPr>
                <w:rFonts w:ascii="Arial" w:cs="Arial" w:eastAsia="Arial" w:hAnsi="Arial"/>
                <w:sz w:val="16"/>
                <w:szCs w:val="16"/>
                <w:color w:val="auto"/>
              </w:rPr>
              <w:t>$</w:t>
            </w:r>
          </w:p>
        </w:tc>
        <w:tc>
          <w:tcPr>
            <w:tcW w:w="960" w:type="dxa"/>
            <w:vAlign w:val="bottom"/>
            <w:shd w:val="clear" w:color="auto" w:fill="D4F1F5"/>
          </w:tcPr>
          <w:p>
            <w:pPr>
              <w:jc w:val="right"/>
              <w:ind w:right="80"/>
              <w:spacing w:after="0"/>
              <w:rPr>
                <w:sz w:val="20"/>
                <w:szCs w:val="20"/>
                <w:color w:val="auto"/>
              </w:rPr>
            </w:pPr>
            <w:r>
              <w:rPr>
                <w:rFonts w:ascii="Arial" w:cs="Arial" w:eastAsia="Arial" w:hAnsi="Arial"/>
                <w:sz w:val="16"/>
                <w:szCs w:val="16"/>
                <w:color w:val="auto"/>
              </w:rPr>
              <w:t>1,724</w:t>
            </w:r>
          </w:p>
        </w:tc>
        <w:tc>
          <w:tcPr>
            <w:tcW w:w="340" w:type="dxa"/>
            <w:vAlign w:val="bottom"/>
            <w:shd w:val="clear" w:color="auto" w:fill="D4F1F5"/>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shd w:val="clear" w:color="auto" w:fill="D4F1F5"/>
          </w:tcPr>
          <w:p>
            <w:pPr>
              <w:jc w:val="right"/>
              <w:spacing w:after="0"/>
              <w:rPr>
                <w:sz w:val="20"/>
                <w:szCs w:val="20"/>
                <w:color w:val="auto"/>
              </w:rPr>
            </w:pPr>
            <w:r>
              <w:rPr>
                <w:rFonts w:ascii="Arial" w:cs="Arial" w:eastAsia="Arial" w:hAnsi="Arial"/>
                <w:sz w:val="16"/>
                <w:szCs w:val="16"/>
                <w:color w:val="auto"/>
              </w:rPr>
              <w:t>1,548</w:t>
            </w:r>
          </w:p>
        </w:tc>
      </w:tr>
      <w:tr>
        <w:trPr>
          <w:trHeight w:val="215"/>
        </w:trPr>
        <w:tc>
          <w:tcPr>
            <w:tcW w:w="5620" w:type="dxa"/>
            <w:vAlign w:val="bottom"/>
          </w:tcPr>
          <w:p>
            <w:pPr>
              <w:ind w:left="20"/>
              <w:spacing w:after="0"/>
              <w:rPr>
                <w:sz w:val="20"/>
                <w:szCs w:val="20"/>
                <w:color w:val="auto"/>
              </w:rPr>
            </w:pPr>
            <w:r>
              <w:rPr>
                <w:rFonts w:ascii="Arial" w:cs="Arial" w:eastAsia="Arial" w:hAnsi="Arial"/>
                <w:sz w:val="16"/>
                <w:szCs w:val="16"/>
                <w:color w:val="auto"/>
              </w:rPr>
              <w:t>Operating expenses</w:t>
            </w:r>
          </w:p>
        </w:tc>
        <w:tc>
          <w:tcPr>
            <w:tcW w:w="3440" w:type="dxa"/>
            <w:vAlign w:val="bottom"/>
          </w:tcPr>
          <w:p>
            <w:pPr>
              <w:spacing w:after="0"/>
              <w:rPr>
                <w:sz w:val="18"/>
                <w:szCs w:val="18"/>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color w:val="auto"/>
              </w:rPr>
              <w:t>(1,272)</w:t>
            </w:r>
          </w:p>
        </w:tc>
        <w:tc>
          <w:tcPr>
            <w:tcW w:w="3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(1,157)</w:t>
            </w:r>
          </w:p>
        </w:tc>
      </w:tr>
      <w:tr>
        <w:trPr>
          <w:trHeight w:val="217"/>
        </w:trPr>
        <w:tc>
          <w:tcPr>
            <w:tcW w:w="5620" w:type="dxa"/>
            <w:vAlign w:val="bottom"/>
            <w:shd w:val="clear" w:color="auto" w:fill="D4F1F5"/>
          </w:tcPr>
          <w:p>
            <w:pPr>
              <w:ind w:left="20"/>
              <w:spacing w:after="0"/>
              <w:rPr>
                <w:sz w:val="20"/>
                <w:szCs w:val="20"/>
                <w:color w:val="auto"/>
              </w:rPr>
            </w:pPr>
            <w:r>
              <w:rPr>
                <w:rFonts w:ascii="Arial" w:cs="Arial" w:eastAsia="Arial" w:hAnsi="Arial"/>
                <w:sz w:val="16"/>
                <w:szCs w:val="16"/>
                <w:color w:val="auto"/>
              </w:rPr>
              <w:t>Income from operations</w:t>
            </w:r>
          </w:p>
        </w:tc>
        <w:tc>
          <w:tcPr>
            <w:tcW w:w="3440" w:type="dxa"/>
            <w:vAlign w:val="bottom"/>
            <w:shd w:val="clear" w:color="auto" w:fill="D4F1F5"/>
          </w:tcPr>
          <w:p>
            <w:pPr>
              <w:spacing w:after="0"/>
              <w:rPr>
                <w:sz w:val="18"/>
                <w:szCs w:val="18"/>
                <w:color w:val="auto"/>
              </w:rPr>
            </w:pPr>
          </w:p>
        </w:tc>
        <w:tc>
          <w:tcPr>
            <w:tcW w:w="960" w:type="dxa"/>
            <w:vAlign w:val="bottom"/>
            <w:shd w:val="clear" w:color="auto" w:fill="D4F1F5"/>
          </w:tcPr>
          <w:p>
            <w:pPr>
              <w:jc w:val="right"/>
              <w:ind w:right="80"/>
              <w:spacing w:after="0"/>
              <w:rPr>
                <w:sz w:val="20"/>
                <w:szCs w:val="20"/>
                <w:color w:val="auto"/>
              </w:rPr>
            </w:pPr>
            <w:r>
              <w:rPr>
                <w:rFonts w:ascii="Arial" w:cs="Arial" w:eastAsia="Arial" w:hAnsi="Arial"/>
                <w:sz w:val="16"/>
                <w:szCs w:val="16"/>
                <w:color w:val="auto"/>
              </w:rPr>
              <w:t>452</w:t>
            </w:r>
          </w:p>
        </w:tc>
        <w:tc>
          <w:tcPr>
            <w:tcW w:w="340" w:type="dxa"/>
            <w:vAlign w:val="bottom"/>
            <w:shd w:val="clear" w:color="auto" w:fill="D4F1F5"/>
          </w:tcPr>
          <w:p>
            <w:pPr>
              <w:spacing w:after="0"/>
              <w:rPr>
                <w:sz w:val="18"/>
                <w:szCs w:val="18"/>
                <w:color w:val="auto"/>
              </w:rPr>
            </w:pPr>
          </w:p>
        </w:tc>
        <w:tc>
          <w:tcPr>
            <w:tcW w:w="880" w:type="dxa"/>
            <w:vAlign w:val="bottom"/>
            <w:shd w:val="clear" w:color="auto" w:fill="D4F1F5"/>
          </w:tcPr>
          <w:p>
            <w:pPr>
              <w:jc w:val="right"/>
              <w:spacing w:after="0"/>
              <w:rPr>
                <w:sz w:val="20"/>
                <w:szCs w:val="20"/>
                <w:color w:val="auto"/>
              </w:rPr>
            </w:pPr>
            <w:r>
              <w:rPr>
                <w:rFonts w:ascii="Arial" w:cs="Arial" w:eastAsia="Arial" w:hAnsi="Arial"/>
                <w:sz w:val="16"/>
                <w:szCs w:val="16"/>
                <w:color w:val="auto"/>
              </w:rPr>
              <w:t>391</w:t>
            </w:r>
          </w:p>
        </w:tc>
      </w:tr>
      <w:tr>
        <w:trPr>
          <w:trHeight w:val="215"/>
        </w:trPr>
        <w:tc>
          <w:tcPr>
            <w:tcW w:w="5620" w:type="dxa"/>
            <w:vAlign w:val="bottom"/>
          </w:tcPr>
          <w:p>
            <w:pPr>
              <w:ind w:left="20"/>
              <w:spacing w:after="0"/>
              <w:rPr>
                <w:sz w:val="20"/>
                <w:szCs w:val="20"/>
                <w:color w:val="auto"/>
              </w:rPr>
            </w:pPr>
            <w:r>
              <w:rPr>
                <w:rFonts w:ascii="Arial" w:cs="Arial" w:eastAsia="Arial" w:hAnsi="Arial"/>
                <w:sz w:val="16"/>
                <w:szCs w:val="16"/>
                <w:color w:val="auto"/>
              </w:rPr>
              <w:t>Interest expense</w:t>
            </w:r>
          </w:p>
        </w:tc>
        <w:tc>
          <w:tcPr>
            <w:tcW w:w="3440" w:type="dxa"/>
            <w:vAlign w:val="bottom"/>
          </w:tcPr>
          <w:p>
            <w:pPr>
              <w:spacing w:after="0"/>
              <w:rPr>
                <w:sz w:val="18"/>
                <w:szCs w:val="18"/>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color w:val="auto"/>
              </w:rPr>
              <w:t>(227)</w:t>
            </w:r>
          </w:p>
        </w:tc>
        <w:tc>
          <w:tcPr>
            <w:tcW w:w="3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(185)</w:t>
            </w:r>
          </w:p>
        </w:tc>
      </w:tr>
      <w:tr>
        <w:trPr>
          <w:trHeight w:val="217"/>
        </w:trPr>
        <w:tc>
          <w:tcPr>
            <w:tcW w:w="5620" w:type="dxa"/>
            <w:vAlign w:val="bottom"/>
            <w:shd w:val="clear" w:color="auto" w:fill="D4F1F5"/>
          </w:tcPr>
          <w:p>
            <w:pPr>
              <w:ind w:left="20"/>
              <w:spacing w:after="0"/>
              <w:rPr>
                <w:sz w:val="20"/>
                <w:szCs w:val="20"/>
                <w:color w:val="auto"/>
              </w:rPr>
            </w:pPr>
            <w:r>
              <w:rPr>
                <w:rFonts w:ascii="Arial" w:cs="Arial" w:eastAsia="Arial" w:hAnsi="Arial"/>
                <w:sz w:val="16"/>
                <w:szCs w:val="16"/>
                <w:color w:val="auto"/>
              </w:rPr>
              <w:t>Income tax expense</w:t>
            </w:r>
          </w:p>
        </w:tc>
        <w:tc>
          <w:tcPr>
            <w:tcW w:w="3440" w:type="dxa"/>
            <w:vAlign w:val="bottom"/>
            <w:shd w:val="clear" w:color="auto" w:fill="D4F1F5"/>
          </w:tcPr>
          <w:p>
            <w:pPr>
              <w:spacing w:after="0"/>
              <w:rPr>
                <w:sz w:val="18"/>
                <w:szCs w:val="18"/>
                <w:color w:val="auto"/>
              </w:rPr>
            </w:pPr>
          </w:p>
        </w:tc>
        <w:tc>
          <w:tcPr>
            <w:tcW w:w="960" w:type="dxa"/>
            <w:vAlign w:val="bottom"/>
            <w:shd w:val="clear" w:color="auto" w:fill="D4F1F5"/>
          </w:tcPr>
          <w:p>
            <w:pPr>
              <w:jc w:val="right"/>
              <w:ind w:right="40"/>
              <w:spacing w:after="0"/>
              <w:rPr>
                <w:sz w:val="20"/>
                <w:szCs w:val="20"/>
                <w:color w:val="auto"/>
              </w:rPr>
            </w:pPr>
            <w:r>
              <w:rPr>
                <w:rFonts w:ascii="Arial" w:cs="Arial" w:eastAsia="Arial" w:hAnsi="Arial"/>
                <w:sz w:val="16"/>
                <w:szCs w:val="16"/>
                <w:color w:val="auto"/>
              </w:rPr>
              <w:t>(47)</w:t>
            </w:r>
          </w:p>
        </w:tc>
        <w:tc>
          <w:tcPr>
            <w:tcW w:w="340" w:type="dxa"/>
            <w:vAlign w:val="bottom"/>
            <w:shd w:val="clear" w:color="auto" w:fill="D4F1F5"/>
          </w:tcPr>
          <w:p>
            <w:pPr>
              <w:spacing w:after="0"/>
              <w:rPr>
                <w:sz w:val="18"/>
                <w:szCs w:val="18"/>
                <w:color w:val="auto"/>
              </w:rPr>
            </w:pPr>
          </w:p>
        </w:tc>
        <w:tc>
          <w:tcPr>
            <w:tcW w:w="880" w:type="dxa"/>
            <w:vAlign w:val="bottom"/>
            <w:shd w:val="clear" w:color="auto" w:fill="D4F1F5"/>
          </w:tcPr>
          <w:p>
            <w:pPr>
              <w:jc w:val="right"/>
              <w:spacing w:after="0"/>
              <w:rPr>
                <w:sz w:val="20"/>
                <w:szCs w:val="20"/>
                <w:color w:val="auto"/>
              </w:rPr>
            </w:pPr>
            <w:r>
              <w:rPr>
                <w:rFonts w:ascii="Arial" w:cs="Arial" w:eastAsia="Arial" w:hAnsi="Arial"/>
                <w:sz w:val="16"/>
                <w:szCs w:val="16"/>
                <w:color w:val="auto"/>
              </w:rPr>
              <w:t>(40)</w:t>
            </w:r>
          </w:p>
        </w:tc>
      </w:tr>
      <w:tr>
        <w:trPr>
          <w:trHeight w:val="215"/>
        </w:trPr>
        <w:tc>
          <w:tcPr>
            <w:tcW w:w="5620" w:type="dxa"/>
            <w:vAlign w:val="bottom"/>
          </w:tcPr>
          <w:p>
            <w:pPr>
              <w:ind w:left="20"/>
              <w:spacing w:after="0"/>
              <w:rPr>
                <w:sz w:val="20"/>
                <w:szCs w:val="20"/>
                <w:color w:val="auto"/>
              </w:rPr>
            </w:pPr>
            <w:r>
              <w:rPr>
                <w:rFonts w:ascii="Arial" w:cs="Arial" w:eastAsia="Arial" w:hAnsi="Arial"/>
                <w:sz w:val="16"/>
                <w:szCs w:val="16"/>
                <w:color w:val="auto"/>
              </w:rPr>
              <w:t>Net income</w:t>
            </w:r>
          </w:p>
        </w:tc>
        <w:tc>
          <w:tcPr>
            <w:tcW w:w="3440" w:type="dxa"/>
            <w:vAlign w:val="bottom"/>
          </w:tcPr>
          <w:p>
            <w:pPr>
              <w:spacing w:after="0"/>
              <w:rPr>
                <w:sz w:val="18"/>
                <w:szCs w:val="18"/>
                <w:color w:val="auto"/>
              </w:rPr>
            </w:pPr>
          </w:p>
        </w:tc>
        <w:tc>
          <w:tcPr>
            <w:tcW w:w="960" w:type="dxa"/>
            <w:vAlign w:val="bottom"/>
          </w:tcPr>
          <w:p>
            <w:pPr>
              <w:jc w:val="right"/>
              <w:ind w:right="80"/>
              <w:spacing w:after="0"/>
              <w:rPr>
                <w:sz w:val="20"/>
                <w:szCs w:val="20"/>
                <w:color w:val="auto"/>
              </w:rPr>
            </w:pPr>
            <w:r>
              <w:rPr>
                <w:rFonts w:ascii="Arial" w:cs="Arial" w:eastAsia="Arial" w:hAnsi="Arial"/>
                <w:sz w:val="16"/>
                <w:szCs w:val="16"/>
                <w:color w:val="auto"/>
              </w:rPr>
              <w:t>211</w:t>
            </w:r>
          </w:p>
        </w:tc>
        <w:tc>
          <w:tcPr>
            <w:tcW w:w="3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179</w:t>
            </w:r>
          </w:p>
        </w:tc>
      </w:tr>
      <w:tr>
        <w:trPr>
          <w:trHeight w:val="217"/>
        </w:trPr>
        <w:tc>
          <w:tcPr>
            <w:tcW w:w="5620" w:type="dxa"/>
            <w:vAlign w:val="bottom"/>
            <w:shd w:val="clear" w:color="auto" w:fill="D4F1F5"/>
          </w:tcPr>
          <w:p>
            <w:pPr>
              <w:ind w:left="20"/>
              <w:spacing w:after="0"/>
              <w:rPr>
                <w:sz w:val="20"/>
                <w:szCs w:val="20"/>
                <w:color w:val="auto"/>
              </w:rPr>
            </w:pPr>
            <w:r>
              <w:rPr>
                <w:rFonts w:ascii="Arial" w:cs="Arial" w:eastAsia="Arial" w:hAnsi="Arial"/>
                <w:sz w:val="16"/>
                <w:szCs w:val="16"/>
                <w:color w:val="auto"/>
              </w:rPr>
              <w:t>NCI held by TTI</w:t>
            </w:r>
          </w:p>
        </w:tc>
        <w:tc>
          <w:tcPr>
            <w:tcW w:w="3440" w:type="dxa"/>
            <w:vAlign w:val="bottom"/>
            <w:shd w:val="clear" w:color="auto" w:fill="D4F1F5"/>
          </w:tcPr>
          <w:p>
            <w:pPr>
              <w:spacing w:after="0"/>
              <w:rPr>
                <w:sz w:val="18"/>
                <w:szCs w:val="18"/>
                <w:color w:val="auto"/>
              </w:rPr>
            </w:pPr>
          </w:p>
        </w:tc>
        <w:tc>
          <w:tcPr>
            <w:tcW w:w="960" w:type="dxa"/>
            <w:vAlign w:val="bottom"/>
            <w:shd w:val="clear" w:color="auto" w:fill="D4F1F5"/>
          </w:tcPr>
          <w:p>
            <w:pPr>
              <w:jc w:val="right"/>
              <w:ind w:right="40"/>
              <w:spacing w:after="0"/>
              <w:rPr>
                <w:sz w:val="20"/>
                <w:szCs w:val="20"/>
                <w:color w:val="auto"/>
              </w:rPr>
            </w:pPr>
            <w:r>
              <w:rPr>
                <w:rFonts w:ascii="Arial" w:cs="Arial" w:eastAsia="Arial" w:hAnsi="Arial"/>
                <w:sz w:val="16"/>
                <w:szCs w:val="16"/>
                <w:color w:val="auto"/>
              </w:rPr>
              <w:t>(42)</w:t>
            </w:r>
          </w:p>
        </w:tc>
        <w:tc>
          <w:tcPr>
            <w:tcW w:w="340" w:type="dxa"/>
            <w:vAlign w:val="bottom"/>
            <w:shd w:val="clear" w:color="auto" w:fill="D4F1F5"/>
          </w:tcPr>
          <w:p>
            <w:pPr>
              <w:spacing w:after="0"/>
              <w:rPr>
                <w:sz w:val="18"/>
                <w:szCs w:val="18"/>
                <w:color w:val="auto"/>
              </w:rPr>
            </w:pPr>
          </w:p>
        </w:tc>
        <w:tc>
          <w:tcPr>
            <w:tcW w:w="880" w:type="dxa"/>
            <w:vAlign w:val="bottom"/>
            <w:shd w:val="clear" w:color="auto" w:fill="D4F1F5"/>
          </w:tcPr>
          <w:p>
            <w:pPr>
              <w:jc w:val="right"/>
              <w:spacing w:after="0"/>
              <w:rPr>
                <w:sz w:val="20"/>
                <w:szCs w:val="20"/>
                <w:color w:val="auto"/>
              </w:rPr>
            </w:pPr>
            <w:r>
              <w:rPr>
                <w:rFonts w:ascii="Arial" w:cs="Arial" w:eastAsia="Arial" w:hAnsi="Arial"/>
                <w:sz w:val="16"/>
                <w:szCs w:val="16"/>
                <w:color w:val="auto"/>
              </w:rPr>
              <w:t>(36)</w:t>
            </w:r>
          </w:p>
        </w:tc>
      </w:tr>
      <w:tr>
        <w:trPr>
          <w:trHeight w:val="223"/>
        </w:trPr>
        <w:tc>
          <w:tcPr>
            <w:tcW w:w="5620" w:type="dxa"/>
            <w:vAlign w:val="bottom"/>
            <w:tcBorders>
              <w:bottom w:val="single" w:sz="8" w:color="ACACAC"/>
            </w:tcBorders>
          </w:tcPr>
          <w:p>
            <w:pPr>
              <w:ind w:left="20"/>
              <w:spacing w:after="0" w:line="216" w:lineRule="exact"/>
              <w:rPr>
                <w:sz w:val="20"/>
                <w:szCs w:val="20"/>
                <w:color w:val="auto"/>
              </w:rPr>
            </w:pPr>
            <w:r>
              <w:rPr>
                <w:rFonts w:ascii="Arial" w:cs="Arial" w:eastAsia="Arial" w:hAnsi="Arial"/>
                <w:sz w:val="16"/>
                <w:szCs w:val="16"/>
                <w:color w:val="auto"/>
              </w:rPr>
              <w:t>Earnings attributable to Sempra</w:t>
            </w:r>
            <w:r>
              <w:rPr>
                <w:rFonts w:ascii="Arial" w:cs="Arial" w:eastAsia="Arial" w:hAnsi="Arial"/>
                <w:sz w:val="21"/>
                <w:szCs w:val="21"/>
                <w:color w:val="auto"/>
                <w:vertAlign w:val="superscript"/>
              </w:rPr>
              <w:t>(1)</w:t>
            </w:r>
          </w:p>
        </w:tc>
        <w:tc>
          <w:tcPr>
            <w:tcW w:w="3440" w:type="dxa"/>
            <w:vAlign w:val="bottom"/>
            <w:tcBorders>
              <w:bottom w:val="single" w:sz="8" w:color="ACACAC"/>
            </w:tcBorders>
          </w:tcPr>
          <w:p>
            <w:pPr>
              <w:spacing w:after="0"/>
              <w:rPr>
                <w:sz w:val="19"/>
                <w:szCs w:val="19"/>
                <w:color w:val="auto"/>
              </w:rPr>
            </w:pPr>
          </w:p>
        </w:tc>
        <w:tc>
          <w:tcPr>
            <w:tcW w:w="960" w:type="dxa"/>
            <w:vAlign w:val="bottom"/>
            <w:tcBorders>
              <w:bottom w:val="single" w:sz="8" w:color="ACACAC"/>
            </w:tcBorders>
          </w:tcPr>
          <w:p>
            <w:pPr>
              <w:jc w:val="right"/>
              <w:ind w:right="80"/>
              <w:spacing w:after="0"/>
              <w:rPr>
                <w:sz w:val="20"/>
                <w:szCs w:val="20"/>
                <w:color w:val="auto"/>
              </w:rPr>
            </w:pPr>
            <w:r>
              <w:rPr>
                <w:rFonts w:ascii="Arial" w:cs="Arial" w:eastAsia="Arial" w:hAnsi="Arial"/>
                <w:sz w:val="16"/>
                <w:szCs w:val="16"/>
                <w:color w:val="auto"/>
              </w:rPr>
              <w:t>169</w:t>
            </w:r>
          </w:p>
        </w:tc>
        <w:tc>
          <w:tcPr>
            <w:tcW w:w="340" w:type="dxa"/>
            <w:vAlign w:val="bottom"/>
            <w:tcBorders>
              <w:bottom w:val="single" w:sz="8" w:color="ACACAC"/>
            </w:tcBorders>
          </w:tcPr>
          <w:p>
            <w:pPr>
              <w:spacing w:after="0"/>
              <w:rPr>
                <w:sz w:val="19"/>
                <w:szCs w:val="19"/>
                <w:color w:val="auto"/>
              </w:rPr>
            </w:pPr>
          </w:p>
        </w:tc>
        <w:tc>
          <w:tcPr>
            <w:tcW w:w="880" w:type="dxa"/>
            <w:vAlign w:val="bottom"/>
            <w:tcBorders>
              <w:bottom w:val="single" w:sz="8" w:color="ACACAC"/>
            </w:tcBorders>
          </w:tcPr>
          <w:p>
            <w:pPr>
              <w:jc w:val="right"/>
              <w:spacing w:after="0"/>
              <w:rPr>
                <w:sz w:val="20"/>
                <w:szCs w:val="20"/>
                <w:color w:val="auto"/>
              </w:rPr>
            </w:pPr>
            <w:r>
              <w:rPr>
                <w:rFonts w:ascii="Arial" w:cs="Arial" w:eastAsia="Arial" w:hAnsi="Arial"/>
                <w:sz w:val="16"/>
                <w:szCs w:val="16"/>
                <w:color w:val="auto"/>
              </w:rPr>
              <w:t>143</w:t>
            </w:r>
          </w:p>
        </w:tc>
      </w:tr>
    </w:tbl>
    <w:p>
      <w:pPr>
        <w:spacing w:after="0" w:line="128" w:lineRule="exact"/>
        <w:rPr>
          <w:sz w:val="20"/>
          <w:szCs w:val="20"/>
          <w:color w:val="auto"/>
        </w:rPr>
      </w:pPr>
    </w:p>
    <w:p>
      <w:pPr>
        <w:ind w:left="340" w:right="120" w:hanging="332"/>
        <w:spacing w:after="0" w:line="208" w:lineRule="auto"/>
        <w:tabs>
          <w:tab w:leader="none" w:pos="304" w:val="left"/>
        </w:tabs>
        <w:numPr>
          <w:ilvl w:val="0"/>
          <w:numId w:val="19"/>
        </w:numPr>
        <w:rPr>
          <w:rFonts w:ascii="Arial" w:cs="Arial" w:eastAsia="Arial" w:hAnsi="Arial"/>
          <w:sz w:val="21"/>
          <w:szCs w:val="21"/>
          <w:i w:val="1"/>
          <w:iCs w:val="1"/>
          <w:color w:val="auto"/>
          <w:vertAlign w:val="superscript"/>
        </w:rPr>
      </w:pPr>
      <w:r>
        <w:rPr>
          <w:rFonts w:ascii="Arial" w:cs="Arial" w:eastAsia="Arial" w:hAnsi="Arial"/>
          <w:sz w:val="14"/>
          <w:szCs w:val="14"/>
          <w:i w:val="1"/>
          <w:iCs w:val="1"/>
          <w:color w:val="auto"/>
        </w:rPr>
        <w:t>Excludes adjustments to equity earnings related to amortization of a tax sharing liability associated with a tax sharing agreement and changes in basis differences in AOCI within the carrying value of our equity method investment.</w:t>
      </w:r>
    </w:p>
    <w:p>
      <w:pPr>
        <w:spacing w:after="0" w:line="3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SEMPRA INFRASTRUCTURE</w:t>
      </w:r>
    </w:p>
    <w:p>
      <w:pPr>
        <w:spacing w:after="0" w:line="118" w:lineRule="exact"/>
        <w:rPr>
          <w:sz w:val="20"/>
          <w:szCs w:val="20"/>
          <w:color w:val="auto"/>
        </w:rPr>
      </w:pPr>
    </w:p>
    <w:p>
      <w:pPr>
        <w:ind w:right="60"/>
        <w:spacing w:after="0" w:line="297" w:lineRule="auto"/>
        <w:rPr>
          <w:sz w:val="20"/>
          <w:szCs w:val="20"/>
          <w:color w:val="auto"/>
        </w:rPr>
      </w:pPr>
      <w:r>
        <w:rPr>
          <w:rFonts w:ascii="Times New Roman" w:cs="Times New Roman" w:eastAsia="Times New Roman" w:hAnsi="Times New Roman"/>
          <w:sz w:val="18"/>
          <w:szCs w:val="18"/>
          <w:color w:val="auto"/>
        </w:rPr>
        <w:t>In connection with the planned sale of a portion of our equity interest in SI Partners, which we discuss in Note 6, the carrying amount of our equity method investments totaling $2.5 billion at March 31, 2026 is included in Assets Held for Sale on Sempra’s Condensed Consolidated Balance Sheet.</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Cameron LNG JV</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the three months ended March 31, 2026 and 2025, Cameron LNG JV distributed $160 million and $149 million, respectively, to Sempra Infrastructure.</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TAG Norte</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the three months ended March 31, 2026 and 2025, TAG Norte distributed $60 million and $45 million, respectively, to Sempra Infrastructure.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150495</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711835</wp:posOffset>
            </wp:positionV>
            <wp:extent cx="7115175"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20"/>
          <w:szCs w:val="20"/>
          <w:color w:val="auto"/>
        </w:rPr>
        <w:t>NOTE 6. SEMPRA – DIVESTITURES</w:t>
      </w:r>
    </w:p>
    <w:p>
      <w:pPr>
        <w:spacing w:after="0" w:line="3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SEMPRA INFRASTRUCTURE</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Assets Held for Sale</w:t>
      </w:r>
    </w:p>
    <w:p>
      <w:pPr>
        <w:spacing w:after="0" w:line="49" w:lineRule="exact"/>
        <w:rPr>
          <w:sz w:val="20"/>
          <w:szCs w:val="20"/>
          <w:color w:val="auto"/>
        </w:rPr>
      </w:pPr>
    </w:p>
    <w:p>
      <w:pPr>
        <w:ind w:right="20"/>
        <w:spacing w:after="0" w:line="271" w:lineRule="auto"/>
        <w:rPr>
          <w:sz w:val="20"/>
          <w:szCs w:val="20"/>
          <w:color w:val="auto"/>
        </w:rPr>
      </w:pPr>
      <w:r>
        <w:rPr>
          <w:rFonts w:ascii="Times New Roman" w:cs="Times New Roman" w:eastAsia="Times New Roman" w:hAnsi="Times New Roman"/>
          <w:sz w:val="18"/>
          <w:szCs w:val="18"/>
          <w:color w:val="auto"/>
        </w:rPr>
        <w:t>We classify assets as held for sale once all applicable criteria under U.S. GAAP have been satisfied, including when management, having the authority to approve the action, commits to a formal plan to actively market an asset for sale and expects the sale to close within the next 12 months. Upon classifying a group of assets as held for sale, we record the disposal group at the lower of its carrying value or its estimated fair value reduced for selling costs, and we stop recording depreciation and amortization expense on those assets.</w:t>
      </w:r>
    </w:p>
    <w:p>
      <w:pPr>
        <w:spacing w:after="0" w:line="64" w:lineRule="exact"/>
        <w:rPr>
          <w:sz w:val="20"/>
          <w:szCs w:val="20"/>
          <w:color w:val="auto"/>
        </w:rPr>
      </w:pPr>
    </w:p>
    <w:p>
      <w:pPr>
        <w:ind w:right="40"/>
        <w:spacing w:after="0" w:line="297" w:lineRule="auto"/>
        <w:rPr>
          <w:sz w:val="20"/>
          <w:szCs w:val="20"/>
          <w:color w:val="auto"/>
        </w:rPr>
      </w:pPr>
      <w:r>
        <w:rPr>
          <w:rFonts w:ascii="Times New Roman" w:cs="Times New Roman" w:eastAsia="Times New Roman" w:hAnsi="Times New Roman"/>
          <w:sz w:val="18"/>
          <w:szCs w:val="18"/>
          <w:color w:val="auto"/>
        </w:rPr>
        <w:t>We summarize the carrying amounts of the major classes of assets and related liabilities of SI Partners, inclusive of Ecogas, classified as held for sale in the following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63500</wp:posOffset>
            </wp:positionV>
            <wp:extent cx="7132320" cy="3003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32320" cy="300355"/>
                    </a:xfrm>
                    <a:prstGeom prst="rect">
                      <a:avLst/>
                    </a:prstGeom>
                    <a:noFill/>
                  </pic:spPr>
                </pic:pic>
              </a:graphicData>
            </a:graphic>
          </wp:anchor>
        </w:drawing>
      </w:r>
    </w:p>
    <w:p>
      <w:pPr>
        <w:spacing w:after="0" w:line="93"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FFFFFF"/>
        </w:rPr>
        <w:t>ASSETS HELD FOR SALE</w:t>
      </w:r>
    </w:p>
    <w:p>
      <w:pPr>
        <w:spacing w:after="0" w:line="66" w:lineRule="exact"/>
        <w:rPr>
          <w:sz w:val="20"/>
          <w:szCs w:val="20"/>
          <w:color w:val="auto"/>
        </w:rPr>
      </w:pPr>
    </w:p>
    <w:p>
      <w:pPr>
        <w:ind w:left="20"/>
        <w:spacing w:after="0"/>
        <w:rPr>
          <w:sz w:val="20"/>
          <w:szCs w:val="20"/>
          <w:color w:val="auto"/>
        </w:rPr>
      </w:pPr>
      <w:r>
        <w:rPr>
          <w:rFonts w:ascii="Arial" w:cs="Arial" w:eastAsia="Arial" w:hAnsi="Arial"/>
          <w:sz w:val="14"/>
          <w:szCs w:val="14"/>
          <w:i w:val="1"/>
          <w:iCs w:val="1"/>
          <w:color w:val="FFFFFF"/>
        </w:rPr>
        <w:t>(Dollars in millions)</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948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right"/>
              <w:ind w:right="299"/>
              <w:spacing w:after="0"/>
              <w:rPr>
                <w:sz w:val="20"/>
                <w:szCs w:val="20"/>
                <w:color w:val="auto"/>
              </w:rPr>
            </w:pPr>
            <w:r>
              <w:rPr>
                <w:rFonts w:ascii="Arial" w:cs="Arial" w:eastAsia="Arial" w:hAnsi="Arial"/>
                <w:sz w:val="14"/>
                <w:szCs w:val="14"/>
                <w:color w:val="auto"/>
              </w:rPr>
              <w:t>March 31, 2026</w:t>
            </w:r>
          </w:p>
        </w:tc>
      </w:tr>
      <w:tr>
        <w:trPr>
          <w:trHeight w:val="214"/>
        </w:trPr>
        <w:tc>
          <w:tcPr>
            <w:tcW w:w="9480" w:type="dxa"/>
            <w:vAlign w:val="bottom"/>
            <w:shd w:val="clear" w:color="auto" w:fill="D4F1F5"/>
          </w:tcPr>
          <w:p>
            <w:pPr>
              <w:ind w:left="20"/>
              <w:spacing w:after="0"/>
              <w:rPr>
                <w:sz w:val="20"/>
                <w:szCs w:val="20"/>
                <w:color w:val="auto"/>
              </w:rPr>
            </w:pPr>
            <w:r>
              <w:rPr>
                <w:rFonts w:ascii="Arial" w:cs="Arial" w:eastAsia="Arial" w:hAnsi="Arial"/>
                <w:sz w:val="16"/>
                <w:szCs w:val="16"/>
                <w:color w:val="auto"/>
              </w:rPr>
              <w:t>Cash and cash equivalents</w:t>
            </w:r>
          </w:p>
        </w:tc>
        <w:tc>
          <w:tcPr>
            <w:tcW w:w="240" w:type="dxa"/>
            <w:vAlign w:val="bottom"/>
            <w:shd w:val="clear" w:color="auto" w:fill="D4F1F5"/>
          </w:tcPr>
          <w:p>
            <w:pPr>
              <w:jc w:val="right"/>
              <w:ind w:right="39"/>
              <w:spacing w:after="0"/>
              <w:rPr>
                <w:sz w:val="20"/>
                <w:szCs w:val="20"/>
                <w:color w:val="auto"/>
              </w:rPr>
            </w:pPr>
            <w:r>
              <w:rPr>
                <w:rFonts w:ascii="Arial" w:cs="Arial" w:eastAsia="Arial" w:hAnsi="Arial"/>
                <w:sz w:val="16"/>
                <w:szCs w:val="16"/>
                <w:color w:val="auto"/>
              </w:rPr>
              <w:t>$</w:t>
            </w:r>
          </w:p>
        </w:tc>
        <w:tc>
          <w:tcPr>
            <w:tcW w:w="1520" w:type="dxa"/>
            <w:vAlign w:val="bottom"/>
            <w:shd w:val="clear" w:color="auto" w:fill="D4F1F5"/>
          </w:tcPr>
          <w:p>
            <w:pPr>
              <w:jc w:val="right"/>
              <w:spacing w:after="0"/>
              <w:rPr>
                <w:sz w:val="20"/>
                <w:szCs w:val="20"/>
                <w:color w:val="auto"/>
              </w:rPr>
            </w:pPr>
            <w:r>
              <w:rPr>
                <w:rFonts w:ascii="Arial" w:cs="Arial" w:eastAsia="Arial" w:hAnsi="Arial"/>
                <w:sz w:val="16"/>
                <w:szCs w:val="16"/>
                <w:color w:val="auto"/>
              </w:rPr>
              <w:t>176</w:t>
            </w:r>
          </w:p>
        </w:tc>
      </w:tr>
      <w:tr>
        <w:trPr>
          <w:trHeight w:val="215"/>
        </w:trPr>
        <w:tc>
          <w:tcPr>
            <w:tcW w:w="9480" w:type="dxa"/>
            <w:vAlign w:val="bottom"/>
          </w:tcPr>
          <w:p>
            <w:pPr>
              <w:ind w:left="20"/>
              <w:spacing w:after="0"/>
              <w:rPr>
                <w:sz w:val="20"/>
                <w:szCs w:val="20"/>
                <w:color w:val="auto"/>
              </w:rPr>
            </w:pPr>
            <w:r>
              <w:rPr>
                <w:rFonts w:ascii="Arial" w:cs="Arial" w:eastAsia="Arial" w:hAnsi="Arial"/>
                <w:sz w:val="16"/>
                <w:szCs w:val="16"/>
                <w:color w:val="auto"/>
              </w:rPr>
              <w:t>Restricted cash, current</w:t>
            </w:r>
          </w:p>
        </w:tc>
        <w:tc>
          <w:tcPr>
            <w:tcW w:w="24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2,984</w:t>
            </w:r>
          </w:p>
        </w:tc>
      </w:tr>
      <w:tr>
        <w:trPr>
          <w:trHeight w:val="217"/>
        </w:trPr>
        <w:tc>
          <w:tcPr>
            <w:tcW w:w="9480" w:type="dxa"/>
            <w:vAlign w:val="bottom"/>
            <w:shd w:val="clear" w:color="auto" w:fill="D4F1F5"/>
          </w:tcPr>
          <w:p>
            <w:pPr>
              <w:ind w:left="20"/>
              <w:spacing w:after="0"/>
              <w:rPr>
                <w:sz w:val="20"/>
                <w:szCs w:val="20"/>
                <w:color w:val="auto"/>
              </w:rPr>
            </w:pPr>
            <w:r>
              <w:rPr>
                <w:rFonts w:ascii="Arial" w:cs="Arial" w:eastAsia="Arial" w:hAnsi="Arial"/>
                <w:sz w:val="16"/>
                <w:szCs w:val="16"/>
                <w:color w:val="auto"/>
              </w:rPr>
              <w:t>Accounts receivable, net</w:t>
            </w:r>
          </w:p>
        </w:tc>
        <w:tc>
          <w:tcPr>
            <w:tcW w:w="240" w:type="dxa"/>
            <w:vAlign w:val="bottom"/>
            <w:shd w:val="clear" w:color="auto" w:fill="D4F1F5"/>
          </w:tcPr>
          <w:p>
            <w:pPr>
              <w:spacing w:after="0"/>
              <w:rPr>
                <w:sz w:val="18"/>
                <w:szCs w:val="18"/>
                <w:color w:val="auto"/>
              </w:rPr>
            </w:pPr>
          </w:p>
        </w:tc>
        <w:tc>
          <w:tcPr>
            <w:tcW w:w="1520" w:type="dxa"/>
            <w:vAlign w:val="bottom"/>
            <w:shd w:val="clear" w:color="auto" w:fill="D4F1F5"/>
          </w:tcPr>
          <w:p>
            <w:pPr>
              <w:jc w:val="right"/>
              <w:spacing w:after="0"/>
              <w:rPr>
                <w:sz w:val="20"/>
                <w:szCs w:val="20"/>
                <w:color w:val="auto"/>
              </w:rPr>
            </w:pPr>
            <w:r>
              <w:rPr>
                <w:rFonts w:ascii="Arial" w:cs="Arial" w:eastAsia="Arial" w:hAnsi="Arial"/>
                <w:sz w:val="16"/>
                <w:szCs w:val="16"/>
                <w:color w:val="auto"/>
              </w:rPr>
              <w:t>475</w:t>
            </w:r>
          </w:p>
        </w:tc>
      </w:tr>
      <w:tr>
        <w:trPr>
          <w:trHeight w:val="215"/>
        </w:trPr>
        <w:tc>
          <w:tcPr>
            <w:tcW w:w="9480" w:type="dxa"/>
            <w:vAlign w:val="bottom"/>
          </w:tcPr>
          <w:p>
            <w:pPr>
              <w:ind w:left="20"/>
              <w:spacing w:after="0"/>
              <w:rPr>
                <w:sz w:val="20"/>
                <w:szCs w:val="20"/>
                <w:color w:val="auto"/>
              </w:rPr>
            </w:pPr>
            <w:r>
              <w:rPr>
                <w:rFonts w:ascii="Arial" w:cs="Arial" w:eastAsia="Arial" w:hAnsi="Arial"/>
                <w:sz w:val="16"/>
                <w:szCs w:val="16"/>
                <w:color w:val="auto"/>
              </w:rPr>
              <w:t>Due from unconsolidated affiliates</w:t>
            </w:r>
          </w:p>
        </w:tc>
        <w:tc>
          <w:tcPr>
            <w:tcW w:w="24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4</w:t>
            </w:r>
          </w:p>
        </w:tc>
      </w:tr>
      <w:tr>
        <w:trPr>
          <w:trHeight w:val="217"/>
        </w:trPr>
        <w:tc>
          <w:tcPr>
            <w:tcW w:w="9480" w:type="dxa"/>
            <w:vAlign w:val="bottom"/>
            <w:shd w:val="clear" w:color="auto" w:fill="D4F1F5"/>
          </w:tcPr>
          <w:p>
            <w:pPr>
              <w:ind w:left="20"/>
              <w:spacing w:after="0"/>
              <w:rPr>
                <w:sz w:val="20"/>
                <w:szCs w:val="20"/>
                <w:color w:val="auto"/>
              </w:rPr>
            </w:pPr>
            <w:r>
              <w:rPr>
                <w:rFonts w:ascii="Arial" w:cs="Arial" w:eastAsia="Arial" w:hAnsi="Arial"/>
                <w:sz w:val="16"/>
                <w:szCs w:val="16"/>
                <w:color w:val="auto"/>
              </w:rPr>
              <w:t>Inventories</w:t>
            </w:r>
          </w:p>
        </w:tc>
        <w:tc>
          <w:tcPr>
            <w:tcW w:w="240" w:type="dxa"/>
            <w:vAlign w:val="bottom"/>
            <w:shd w:val="clear" w:color="auto" w:fill="D4F1F5"/>
          </w:tcPr>
          <w:p>
            <w:pPr>
              <w:spacing w:after="0"/>
              <w:rPr>
                <w:sz w:val="18"/>
                <w:szCs w:val="18"/>
                <w:color w:val="auto"/>
              </w:rPr>
            </w:pPr>
          </w:p>
        </w:tc>
        <w:tc>
          <w:tcPr>
            <w:tcW w:w="1520" w:type="dxa"/>
            <w:vAlign w:val="bottom"/>
            <w:shd w:val="clear" w:color="auto" w:fill="D4F1F5"/>
          </w:tcPr>
          <w:p>
            <w:pPr>
              <w:jc w:val="right"/>
              <w:spacing w:after="0"/>
              <w:rPr>
                <w:sz w:val="20"/>
                <w:szCs w:val="20"/>
                <w:color w:val="auto"/>
              </w:rPr>
            </w:pPr>
            <w:r>
              <w:rPr>
                <w:rFonts w:ascii="Arial" w:cs="Arial" w:eastAsia="Arial" w:hAnsi="Arial"/>
                <w:sz w:val="16"/>
                <w:szCs w:val="16"/>
                <w:color w:val="auto"/>
              </w:rPr>
              <w:t>104</w:t>
            </w:r>
          </w:p>
        </w:tc>
      </w:tr>
      <w:tr>
        <w:trPr>
          <w:trHeight w:val="215"/>
        </w:trPr>
        <w:tc>
          <w:tcPr>
            <w:tcW w:w="9480" w:type="dxa"/>
            <w:vAlign w:val="bottom"/>
          </w:tcPr>
          <w:p>
            <w:pPr>
              <w:ind w:left="20"/>
              <w:spacing w:after="0"/>
              <w:rPr>
                <w:sz w:val="20"/>
                <w:szCs w:val="20"/>
                <w:color w:val="auto"/>
              </w:rPr>
            </w:pPr>
            <w:r>
              <w:rPr>
                <w:rFonts w:ascii="Arial" w:cs="Arial" w:eastAsia="Arial" w:hAnsi="Arial"/>
                <w:sz w:val="16"/>
                <w:szCs w:val="16"/>
                <w:color w:val="auto"/>
              </w:rPr>
              <w:t>Other current assets</w:t>
            </w:r>
          </w:p>
        </w:tc>
        <w:tc>
          <w:tcPr>
            <w:tcW w:w="24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363</w:t>
            </w:r>
          </w:p>
        </w:tc>
      </w:tr>
      <w:tr>
        <w:trPr>
          <w:trHeight w:val="217"/>
        </w:trPr>
        <w:tc>
          <w:tcPr>
            <w:tcW w:w="9480" w:type="dxa"/>
            <w:vAlign w:val="bottom"/>
            <w:shd w:val="clear" w:color="auto" w:fill="D4F1F5"/>
          </w:tcPr>
          <w:p>
            <w:pPr>
              <w:ind w:left="20"/>
              <w:spacing w:after="0"/>
              <w:rPr>
                <w:sz w:val="20"/>
                <w:szCs w:val="20"/>
                <w:color w:val="auto"/>
              </w:rPr>
            </w:pPr>
            <w:r>
              <w:rPr>
                <w:rFonts w:ascii="Arial" w:cs="Arial" w:eastAsia="Arial" w:hAnsi="Arial"/>
                <w:sz w:val="16"/>
                <w:szCs w:val="16"/>
                <w:color w:val="auto"/>
              </w:rPr>
              <w:t>Restricted cash, noncurrent</w:t>
            </w:r>
          </w:p>
        </w:tc>
        <w:tc>
          <w:tcPr>
            <w:tcW w:w="240" w:type="dxa"/>
            <w:vAlign w:val="bottom"/>
            <w:shd w:val="clear" w:color="auto" w:fill="D4F1F5"/>
          </w:tcPr>
          <w:p>
            <w:pPr>
              <w:spacing w:after="0"/>
              <w:rPr>
                <w:sz w:val="18"/>
                <w:szCs w:val="18"/>
                <w:color w:val="auto"/>
              </w:rPr>
            </w:pPr>
          </w:p>
        </w:tc>
        <w:tc>
          <w:tcPr>
            <w:tcW w:w="1520" w:type="dxa"/>
            <w:vAlign w:val="bottom"/>
            <w:shd w:val="clear" w:color="auto" w:fill="D4F1F5"/>
          </w:tcPr>
          <w:p>
            <w:pPr>
              <w:jc w:val="right"/>
              <w:spacing w:after="0"/>
              <w:rPr>
                <w:sz w:val="20"/>
                <w:szCs w:val="20"/>
                <w:color w:val="auto"/>
              </w:rPr>
            </w:pPr>
            <w:r>
              <w:rPr>
                <w:rFonts w:ascii="Arial" w:cs="Arial" w:eastAsia="Arial" w:hAnsi="Arial"/>
                <w:sz w:val="16"/>
                <w:szCs w:val="16"/>
                <w:color w:val="auto"/>
              </w:rPr>
              <w:t>3</w:t>
            </w:r>
          </w:p>
        </w:tc>
      </w:tr>
      <w:tr>
        <w:trPr>
          <w:trHeight w:val="215"/>
        </w:trPr>
        <w:tc>
          <w:tcPr>
            <w:tcW w:w="9480" w:type="dxa"/>
            <w:vAlign w:val="bottom"/>
          </w:tcPr>
          <w:p>
            <w:pPr>
              <w:ind w:left="20"/>
              <w:spacing w:after="0"/>
              <w:rPr>
                <w:sz w:val="20"/>
                <w:szCs w:val="20"/>
                <w:color w:val="auto"/>
              </w:rPr>
            </w:pPr>
            <w:r>
              <w:rPr>
                <w:rFonts w:ascii="Arial" w:cs="Arial" w:eastAsia="Arial" w:hAnsi="Arial"/>
                <w:sz w:val="16"/>
                <w:szCs w:val="16"/>
                <w:color w:val="auto"/>
              </w:rPr>
              <w:t>Right-of-use assets – operating leases</w:t>
            </w:r>
          </w:p>
        </w:tc>
        <w:tc>
          <w:tcPr>
            <w:tcW w:w="24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206</w:t>
            </w:r>
          </w:p>
        </w:tc>
      </w:tr>
      <w:tr>
        <w:trPr>
          <w:trHeight w:val="217"/>
        </w:trPr>
        <w:tc>
          <w:tcPr>
            <w:tcW w:w="9480" w:type="dxa"/>
            <w:vAlign w:val="bottom"/>
            <w:shd w:val="clear" w:color="auto" w:fill="D4F1F5"/>
          </w:tcPr>
          <w:p>
            <w:pPr>
              <w:ind w:left="20"/>
              <w:spacing w:after="0"/>
              <w:rPr>
                <w:sz w:val="20"/>
                <w:szCs w:val="20"/>
                <w:color w:val="auto"/>
              </w:rPr>
            </w:pPr>
            <w:r>
              <w:rPr>
                <w:rFonts w:ascii="Arial" w:cs="Arial" w:eastAsia="Arial" w:hAnsi="Arial"/>
                <w:sz w:val="16"/>
                <w:szCs w:val="16"/>
                <w:color w:val="auto"/>
              </w:rPr>
              <w:t>Equity method investments</w:t>
            </w:r>
          </w:p>
        </w:tc>
        <w:tc>
          <w:tcPr>
            <w:tcW w:w="240" w:type="dxa"/>
            <w:vAlign w:val="bottom"/>
            <w:shd w:val="clear" w:color="auto" w:fill="D4F1F5"/>
          </w:tcPr>
          <w:p>
            <w:pPr>
              <w:spacing w:after="0"/>
              <w:rPr>
                <w:sz w:val="18"/>
                <w:szCs w:val="18"/>
                <w:color w:val="auto"/>
              </w:rPr>
            </w:pPr>
          </w:p>
        </w:tc>
        <w:tc>
          <w:tcPr>
            <w:tcW w:w="1520" w:type="dxa"/>
            <w:vAlign w:val="bottom"/>
            <w:shd w:val="clear" w:color="auto" w:fill="D4F1F5"/>
          </w:tcPr>
          <w:p>
            <w:pPr>
              <w:jc w:val="right"/>
              <w:spacing w:after="0"/>
              <w:rPr>
                <w:sz w:val="20"/>
                <w:szCs w:val="20"/>
                <w:color w:val="auto"/>
              </w:rPr>
            </w:pPr>
            <w:r>
              <w:rPr>
                <w:rFonts w:ascii="Arial" w:cs="Arial" w:eastAsia="Arial" w:hAnsi="Arial"/>
                <w:sz w:val="16"/>
                <w:szCs w:val="16"/>
                <w:color w:val="auto"/>
              </w:rPr>
              <w:t>2,546</w:t>
            </w:r>
          </w:p>
        </w:tc>
      </w:tr>
      <w:tr>
        <w:trPr>
          <w:trHeight w:val="215"/>
        </w:trPr>
        <w:tc>
          <w:tcPr>
            <w:tcW w:w="9480" w:type="dxa"/>
            <w:vAlign w:val="bottom"/>
          </w:tcPr>
          <w:p>
            <w:pPr>
              <w:ind w:left="20"/>
              <w:spacing w:after="0"/>
              <w:rPr>
                <w:sz w:val="20"/>
                <w:szCs w:val="20"/>
                <w:color w:val="auto"/>
              </w:rPr>
            </w:pPr>
            <w:r>
              <w:rPr>
                <w:rFonts w:ascii="Arial" w:cs="Arial" w:eastAsia="Arial" w:hAnsi="Arial"/>
                <w:sz w:val="16"/>
                <w:szCs w:val="16"/>
                <w:color w:val="auto"/>
              </w:rPr>
              <w:t>Goodwill</w:t>
            </w:r>
          </w:p>
        </w:tc>
        <w:tc>
          <w:tcPr>
            <w:tcW w:w="24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1,602</w:t>
            </w:r>
          </w:p>
        </w:tc>
      </w:tr>
      <w:tr>
        <w:trPr>
          <w:trHeight w:val="217"/>
        </w:trPr>
        <w:tc>
          <w:tcPr>
            <w:tcW w:w="9480" w:type="dxa"/>
            <w:vAlign w:val="bottom"/>
            <w:shd w:val="clear" w:color="auto" w:fill="D4F1F5"/>
          </w:tcPr>
          <w:p>
            <w:pPr>
              <w:ind w:left="20"/>
              <w:spacing w:after="0"/>
              <w:rPr>
                <w:sz w:val="20"/>
                <w:szCs w:val="20"/>
                <w:color w:val="auto"/>
              </w:rPr>
            </w:pPr>
            <w:r>
              <w:rPr>
                <w:rFonts w:ascii="Arial" w:cs="Arial" w:eastAsia="Arial" w:hAnsi="Arial"/>
                <w:sz w:val="16"/>
                <w:szCs w:val="16"/>
                <w:color w:val="auto"/>
              </w:rPr>
              <w:t>Other intangible assets</w:t>
            </w:r>
          </w:p>
        </w:tc>
        <w:tc>
          <w:tcPr>
            <w:tcW w:w="240" w:type="dxa"/>
            <w:vAlign w:val="bottom"/>
            <w:shd w:val="clear" w:color="auto" w:fill="D4F1F5"/>
          </w:tcPr>
          <w:p>
            <w:pPr>
              <w:spacing w:after="0"/>
              <w:rPr>
                <w:sz w:val="18"/>
                <w:szCs w:val="18"/>
                <w:color w:val="auto"/>
              </w:rPr>
            </w:pPr>
          </w:p>
        </w:tc>
        <w:tc>
          <w:tcPr>
            <w:tcW w:w="1520" w:type="dxa"/>
            <w:vAlign w:val="bottom"/>
            <w:shd w:val="clear" w:color="auto" w:fill="D4F1F5"/>
          </w:tcPr>
          <w:p>
            <w:pPr>
              <w:jc w:val="right"/>
              <w:spacing w:after="0"/>
              <w:rPr>
                <w:sz w:val="20"/>
                <w:szCs w:val="20"/>
                <w:color w:val="auto"/>
              </w:rPr>
            </w:pPr>
            <w:r>
              <w:rPr>
                <w:rFonts w:ascii="Arial" w:cs="Arial" w:eastAsia="Arial" w:hAnsi="Arial"/>
                <w:sz w:val="16"/>
                <w:szCs w:val="16"/>
                <w:color w:val="auto"/>
              </w:rPr>
              <w:t>273</w:t>
            </w:r>
          </w:p>
        </w:tc>
      </w:tr>
      <w:tr>
        <w:trPr>
          <w:trHeight w:val="215"/>
        </w:trPr>
        <w:tc>
          <w:tcPr>
            <w:tcW w:w="9480" w:type="dxa"/>
            <w:vAlign w:val="bottom"/>
          </w:tcPr>
          <w:p>
            <w:pPr>
              <w:ind w:left="20"/>
              <w:spacing w:after="0"/>
              <w:rPr>
                <w:sz w:val="20"/>
                <w:szCs w:val="20"/>
                <w:color w:val="auto"/>
              </w:rPr>
            </w:pPr>
            <w:r>
              <w:rPr>
                <w:rFonts w:ascii="Arial" w:cs="Arial" w:eastAsia="Arial" w:hAnsi="Arial"/>
                <w:sz w:val="16"/>
                <w:szCs w:val="16"/>
                <w:color w:val="auto"/>
              </w:rPr>
              <w:t>Other long-term assets</w:t>
            </w:r>
          </w:p>
        </w:tc>
        <w:tc>
          <w:tcPr>
            <w:tcW w:w="24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705</w:t>
            </w:r>
          </w:p>
        </w:tc>
      </w:tr>
      <w:tr>
        <w:trPr>
          <w:trHeight w:val="216"/>
        </w:trPr>
        <w:tc>
          <w:tcPr>
            <w:tcW w:w="9480" w:type="dxa"/>
            <w:vAlign w:val="bottom"/>
            <w:shd w:val="clear" w:color="auto" w:fill="D4F1F5"/>
          </w:tcPr>
          <w:p>
            <w:pPr>
              <w:ind w:left="20"/>
              <w:spacing w:after="0"/>
              <w:rPr>
                <w:sz w:val="20"/>
                <w:szCs w:val="20"/>
                <w:color w:val="auto"/>
              </w:rPr>
            </w:pPr>
            <w:r>
              <w:rPr>
                <w:rFonts w:ascii="Arial" w:cs="Arial" w:eastAsia="Arial" w:hAnsi="Arial"/>
                <w:sz w:val="16"/>
                <w:szCs w:val="16"/>
                <w:color w:val="auto"/>
              </w:rPr>
              <w:t>Property, plant and equipment, net</w:t>
            </w:r>
          </w:p>
        </w:tc>
        <w:tc>
          <w:tcPr>
            <w:tcW w:w="240" w:type="dxa"/>
            <w:vAlign w:val="bottom"/>
            <w:tcBorders>
              <w:bottom w:val="single" w:sz="8" w:color="auto"/>
            </w:tcBorders>
            <w:shd w:val="clear" w:color="auto" w:fill="D4F1F5"/>
          </w:tcPr>
          <w:p>
            <w:pPr>
              <w:spacing w:after="0"/>
              <w:rPr>
                <w:sz w:val="18"/>
                <w:szCs w:val="18"/>
                <w:color w:val="auto"/>
              </w:rPr>
            </w:pPr>
          </w:p>
        </w:tc>
        <w:tc>
          <w:tcPr>
            <w:tcW w:w="1520" w:type="dxa"/>
            <w:vAlign w:val="bottom"/>
            <w:tcBorders>
              <w:bottom w:val="single" w:sz="8" w:color="auto"/>
            </w:tcBorders>
            <w:shd w:val="clear" w:color="auto" w:fill="D4F1F5"/>
          </w:tcPr>
          <w:p>
            <w:pPr>
              <w:jc w:val="right"/>
              <w:spacing w:after="0"/>
              <w:rPr>
                <w:sz w:val="20"/>
                <w:szCs w:val="20"/>
                <w:color w:val="auto"/>
              </w:rPr>
            </w:pPr>
            <w:r>
              <w:rPr>
                <w:rFonts w:ascii="Arial" w:cs="Arial" w:eastAsia="Arial" w:hAnsi="Arial"/>
                <w:sz w:val="16"/>
                <w:szCs w:val="16"/>
                <w:color w:val="auto"/>
              </w:rPr>
              <w:t>22,424</w:t>
            </w:r>
          </w:p>
        </w:tc>
      </w:tr>
      <w:tr>
        <w:trPr>
          <w:trHeight w:val="217"/>
        </w:trPr>
        <w:tc>
          <w:tcPr>
            <w:tcW w:w="9480" w:type="dxa"/>
            <w:vAlign w:val="bottom"/>
            <w:tcBorders>
              <w:bottom w:val="single" w:sz="8" w:color="D4F1F5"/>
            </w:tcBorders>
          </w:tcPr>
          <w:p>
            <w:pPr>
              <w:ind w:left="140"/>
              <w:spacing w:after="0"/>
              <w:rPr>
                <w:sz w:val="20"/>
                <w:szCs w:val="20"/>
                <w:color w:val="auto"/>
              </w:rPr>
            </w:pPr>
            <w:r>
              <w:rPr>
                <w:rFonts w:ascii="Arial" w:cs="Arial" w:eastAsia="Arial" w:hAnsi="Arial"/>
                <w:sz w:val="16"/>
                <w:szCs w:val="16"/>
                <w:color w:val="auto"/>
              </w:rPr>
              <w:t>Total assets held for sale</w:t>
            </w: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31,865</w:t>
            </w:r>
          </w:p>
        </w:tc>
      </w:tr>
      <w:tr>
        <w:trPr>
          <w:trHeight w:val="203"/>
        </w:trPr>
        <w:tc>
          <w:tcPr>
            <w:tcW w:w="9480" w:type="dxa"/>
            <w:vAlign w:val="bottom"/>
            <w:shd w:val="clear" w:color="auto" w:fill="D4F1F5"/>
          </w:tcPr>
          <w:p>
            <w:pPr>
              <w:spacing w:after="0"/>
              <w:rPr>
                <w:sz w:val="17"/>
                <w:szCs w:val="17"/>
                <w:color w:val="auto"/>
              </w:rPr>
            </w:pPr>
          </w:p>
        </w:tc>
        <w:tc>
          <w:tcPr>
            <w:tcW w:w="240" w:type="dxa"/>
            <w:vAlign w:val="bottom"/>
            <w:shd w:val="clear" w:color="auto" w:fill="D4F1F5"/>
          </w:tcPr>
          <w:p>
            <w:pPr>
              <w:spacing w:after="0"/>
              <w:rPr>
                <w:sz w:val="17"/>
                <w:szCs w:val="17"/>
                <w:color w:val="auto"/>
              </w:rPr>
            </w:pPr>
          </w:p>
        </w:tc>
        <w:tc>
          <w:tcPr>
            <w:tcW w:w="1520" w:type="dxa"/>
            <w:vAlign w:val="bottom"/>
            <w:shd w:val="clear" w:color="auto" w:fill="D4F1F5"/>
          </w:tcPr>
          <w:p>
            <w:pPr>
              <w:spacing w:after="0"/>
              <w:rPr>
                <w:sz w:val="17"/>
                <w:szCs w:val="17"/>
                <w:color w:val="auto"/>
              </w:rPr>
            </w:pPr>
          </w:p>
        </w:tc>
      </w:tr>
      <w:tr>
        <w:trPr>
          <w:trHeight w:val="215"/>
        </w:trPr>
        <w:tc>
          <w:tcPr>
            <w:tcW w:w="9480" w:type="dxa"/>
            <w:vAlign w:val="bottom"/>
          </w:tcPr>
          <w:p>
            <w:pPr>
              <w:ind w:left="20"/>
              <w:spacing w:after="0"/>
              <w:rPr>
                <w:sz w:val="20"/>
                <w:szCs w:val="20"/>
                <w:color w:val="auto"/>
              </w:rPr>
            </w:pPr>
            <w:r>
              <w:rPr>
                <w:rFonts w:ascii="Arial" w:cs="Arial" w:eastAsia="Arial" w:hAnsi="Arial"/>
                <w:sz w:val="16"/>
                <w:szCs w:val="16"/>
                <w:color w:val="auto"/>
              </w:rPr>
              <w:t>Short-term debt</w:t>
            </w: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520" w:type="dxa"/>
            <w:vAlign w:val="bottom"/>
          </w:tcPr>
          <w:p>
            <w:pPr>
              <w:jc w:val="right"/>
              <w:spacing w:after="0"/>
              <w:rPr>
                <w:sz w:val="20"/>
                <w:szCs w:val="20"/>
                <w:color w:val="auto"/>
              </w:rPr>
            </w:pPr>
            <w:r>
              <w:rPr>
                <w:rFonts w:ascii="Arial" w:cs="Arial" w:eastAsia="Arial" w:hAnsi="Arial"/>
                <w:sz w:val="16"/>
                <w:szCs w:val="16"/>
                <w:color w:val="auto"/>
              </w:rPr>
              <w:t>444</w:t>
            </w:r>
          </w:p>
        </w:tc>
      </w:tr>
      <w:tr>
        <w:trPr>
          <w:trHeight w:val="217"/>
        </w:trPr>
        <w:tc>
          <w:tcPr>
            <w:tcW w:w="9480" w:type="dxa"/>
            <w:vAlign w:val="bottom"/>
            <w:shd w:val="clear" w:color="auto" w:fill="D4F1F5"/>
          </w:tcPr>
          <w:p>
            <w:pPr>
              <w:ind w:left="20"/>
              <w:spacing w:after="0"/>
              <w:rPr>
                <w:sz w:val="20"/>
                <w:szCs w:val="20"/>
                <w:color w:val="auto"/>
              </w:rPr>
            </w:pPr>
            <w:r>
              <w:rPr>
                <w:rFonts w:ascii="Arial" w:cs="Arial" w:eastAsia="Arial" w:hAnsi="Arial"/>
                <w:sz w:val="16"/>
                <w:szCs w:val="16"/>
                <w:color w:val="auto"/>
              </w:rPr>
              <w:t>Accounts payable</w:t>
            </w:r>
          </w:p>
        </w:tc>
        <w:tc>
          <w:tcPr>
            <w:tcW w:w="240" w:type="dxa"/>
            <w:vAlign w:val="bottom"/>
            <w:shd w:val="clear" w:color="auto" w:fill="D4F1F5"/>
          </w:tcPr>
          <w:p>
            <w:pPr>
              <w:spacing w:after="0"/>
              <w:rPr>
                <w:sz w:val="18"/>
                <w:szCs w:val="18"/>
                <w:color w:val="auto"/>
              </w:rPr>
            </w:pPr>
          </w:p>
        </w:tc>
        <w:tc>
          <w:tcPr>
            <w:tcW w:w="1520" w:type="dxa"/>
            <w:vAlign w:val="bottom"/>
            <w:shd w:val="clear" w:color="auto" w:fill="D4F1F5"/>
          </w:tcPr>
          <w:p>
            <w:pPr>
              <w:jc w:val="right"/>
              <w:spacing w:after="0"/>
              <w:rPr>
                <w:sz w:val="20"/>
                <w:szCs w:val="20"/>
                <w:color w:val="auto"/>
              </w:rPr>
            </w:pPr>
            <w:r>
              <w:rPr>
                <w:rFonts w:ascii="Arial" w:cs="Arial" w:eastAsia="Arial" w:hAnsi="Arial"/>
                <w:sz w:val="16"/>
                <w:szCs w:val="16"/>
                <w:color w:val="auto"/>
              </w:rPr>
              <w:t>851</w:t>
            </w:r>
          </w:p>
        </w:tc>
      </w:tr>
      <w:tr>
        <w:trPr>
          <w:trHeight w:val="215"/>
        </w:trPr>
        <w:tc>
          <w:tcPr>
            <w:tcW w:w="9480" w:type="dxa"/>
            <w:vAlign w:val="bottom"/>
          </w:tcPr>
          <w:p>
            <w:pPr>
              <w:ind w:left="20"/>
              <w:spacing w:after="0"/>
              <w:rPr>
                <w:sz w:val="20"/>
                <w:szCs w:val="20"/>
                <w:color w:val="auto"/>
              </w:rPr>
            </w:pPr>
            <w:r>
              <w:rPr>
                <w:rFonts w:ascii="Arial" w:cs="Arial" w:eastAsia="Arial" w:hAnsi="Arial"/>
                <w:sz w:val="16"/>
                <w:szCs w:val="16"/>
                <w:color w:val="auto"/>
              </w:rPr>
              <w:t>Current portion of long-term debt</w:t>
            </w:r>
          </w:p>
        </w:tc>
        <w:tc>
          <w:tcPr>
            <w:tcW w:w="24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49</w:t>
            </w:r>
          </w:p>
        </w:tc>
      </w:tr>
      <w:tr>
        <w:trPr>
          <w:trHeight w:val="217"/>
        </w:trPr>
        <w:tc>
          <w:tcPr>
            <w:tcW w:w="9480" w:type="dxa"/>
            <w:vAlign w:val="bottom"/>
            <w:shd w:val="clear" w:color="auto" w:fill="D4F1F5"/>
          </w:tcPr>
          <w:p>
            <w:pPr>
              <w:ind w:left="20"/>
              <w:spacing w:after="0"/>
              <w:rPr>
                <w:sz w:val="20"/>
                <w:szCs w:val="20"/>
                <w:color w:val="auto"/>
              </w:rPr>
            </w:pPr>
            <w:r>
              <w:rPr>
                <w:rFonts w:ascii="Arial" w:cs="Arial" w:eastAsia="Arial" w:hAnsi="Arial"/>
                <w:sz w:val="16"/>
                <w:szCs w:val="16"/>
                <w:color w:val="auto"/>
              </w:rPr>
              <w:t>Other current liabilities</w:t>
            </w:r>
          </w:p>
        </w:tc>
        <w:tc>
          <w:tcPr>
            <w:tcW w:w="240" w:type="dxa"/>
            <w:vAlign w:val="bottom"/>
            <w:shd w:val="clear" w:color="auto" w:fill="D4F1F5"/>
          </w:tcPr>
          <w:p>
            <w:pPr>
              <w:spacing w:after="0"/>
              <w:rPr>
                <w:sz w:val="18"/>
                <w:szCs w:val="18"/>
                <w:color w:val="auto"/>
              </w:rPr>
            </w:pPr>
          </w:p>
        </w:tc>
        <w:tc>
          <w:tcPr>
            <w:tcW w:w="1520" w:type="dxa"/>
            <w:vAlign w:val="bottom"/>
            <w:shd w:val="clear" w:color="auto" w:fill="D4F1F5"/>
          </w:tcPr>
          <w:p>
            <w:pPr>
              <w:jc w:val="right"/>
              <w:spacing w:after="0"/>
              <w:rPr>
                <w:sz w:val="20"/>
                <w:szCs w:val="20"/>
                <w:color w:val="auto"/>
              </w:rPr>
            </w:pPr>
            <w:r>
              <w:rPr>
                <w:rFonts w:ascii="Arial" w:cs="Arial" w:eastAsia="Arial" w:hAnsi="Arial"/>
                <w:sz w:val="16"/>
                <w:szCs w:val="16"/>
                <w:color w:val="auto"/>
              </w:rPr>
              <w:t>473</w:t>
            </w:r>
          </w:p>
        </w:tc>
      </w:tr>
      <w:tr>
        <w:trPr>
          <w:trHeight w:val="215"/>
        </w:trPr>
        <w:tc>
          <w:tcPr>
            <w:tcW w:w="9480" w:type="dxa"/>
            <w:vAlign w:val="bottom"/>
          </w:tcPr>
          <w:p>
            <w:pPr>
              <w:ind w:left="20"/>
              <w:spacing w:after="0"/>
              <w:rPr>
                <w:sz w:val="20"/>
                <w:szCs w:val="20"/>
                <w:color w:val="auto"/>
              </w:rPr>
            </w:pPr>
            <w:r>
              <w:rPr>
                <w:rFonts w:ascii="Arial" w:cs="Arial" w:eastAsia="Arial" w:hAnsi="Arial"/>
                <w:sz w:val="16"/>
                <w:szCs w:val="16"/>
                <w:color w:val="auto"/>
              </w:rPr>
              <w:t>Long-term debt</w:t>
            </w:r>
          </w:p>
        </w:tc>
        <w:tc>
          <w:tcPr>
            <w:tcW w:w="24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8,454</w:t>
            </w:r>
          </w:p>
        </w:tc>
      </w:tr>
      <w:tr>
        <w:trPr>
          <w:trHeight w:val="217"/>
        </w:trPr>
        <w:tc>
          <w:tcPr>
            <w:tcW w:w="9480" w:type="dxa"/>
            <w:vAlign w:val="bottom"/>
            <w:shd w:val="clear" w:color="auto" w:fill="D4F1F5"/>
          </w:tcPr>
          <w:p>
            <w:pPr>
              <w:ind w:left="20"/>
              <w:spacing w:after="0"/>
              <w:rPr>
                <w:sz w:val="20"/>
                <w:szCs w:val="20"/>
                <w:color w:val="auto"/>
              </w:rPr>
            </w:pPr>
            <w:r>
              <w:rPr>
                <w:rFonts w:ascii="Arial" w:cs="Arial" w:eastAsia="Arial" w:hAnsi="Arial"/>
                <w:sz w:val="16"/>
                <w:szCs w:val="16"/>
                <w:color w:val="auto"/>
              </w:rPr>
              <w:t>Due to unconsolidated affiliates</w:t>
            </w:r>
          </w:p>
        </w:tc>
        <w:tc>
          <w:tcPr>
            <w:tcW w:w="240" w:type="dxa"/>
            <w:vAlign w:val="bottom"/>
            <w:shd w:val="clear" w:color="auto" w:fill="D4F1F5"/>
          </w:tcPr>
          <w:p>
            <w:pPr>
              <w:spacing w:after="0"/>
              <w:rPr>
                <w:sz w:val="18"/>
                <w:szCs w:val="18"/>
                <w:color w:val="auto"/>
              </w:rPr>
            </w:pPr>
          </w:p>
        </w:tc>
        <w:tc>
          <w:tcPr>
            <w:tcW w:w="1520" w:type="dxa"/>
            <w:vAlign w:val="bottom"/>
            <w:shd w:val="clear" w:color="auto" w:fill="D4F1F5"/>
          </w:tcPr>
          <w:p>
            <w:pPr>
              <w:jc w:val="right"/>
              <w:spacing w:after="0"/>
              <w:rPr>
                <w:sz w:val="20"/>
                <w:szCs w:val="20"/>
                <w:color w:val="auto"/>
              </w:rPr>
            </w:pPr>
            <w:r>
              <w:rPr>
                <w:rFonts w:ascii="Arial" w:cs="Arial" w:eastAsia="Arial" w:hAnsi="Arial"/>
                <w:sz w:val="16"/>
                <w:szCs w:val="16"/>
                <w:color w:val="auto"/>
              </w:rPr>
              <w:t>485</w:t>
            </w:r>
          </w:p>
        </w:tc>
      </w:tr>
      <w:tr>
        <w:trPr>
          <w:trHeight w:val="215"/>
        </w:trPr>
        <w:tc>
          <w:tcPr>
            <w:tcW w:w="9480" w:type="dxa"/>
            <w:vAlign w:val="bottom"/>
          </w:tcPr>
          <w:p>
            <w:pPr>
              <w:ind w:left="20"/>
              <w:spacing w:after="0"/>
              <w:rPr>
                <w:sz w:val="20"/>
                <w:szCs w:val="20"/>
                <w:color w:val="auto"/>
              </w:rPr>
            </w:pPr>
            <w:r>
              <w:rPr>
                <w:rFonts w:ascii="Arial" w:cs="Arial" w:eastAsia="Arial" w:hAnsi="Arial"/>
                <w:sz w:val="16"/>
                <w:szCs w:val="16"/>
                <w:color w:val="auto"/>
              </w:rPr>
              <w:t>Deferred income taxes</w:t>
            </w:r>
          </w:p>
        </w:tc>
        <w:tc>
          <w:tcPr>
            <w:tcW w:w="24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936</w:t>
            </w:r>
          </w:p>
        </w:tc>
      </w:tr>
      <w:tr>
        <w:trPr>
          <w:trHeight w:val="217"/>
        </w:trPr>
        <w:tc>
          <w:tcPr>
            <w:tcW w:w="9480" w:type="dxa"/>
            <w:vAlign w:val="bottom"/>
            <w:shd w:val="clear" w:color="auto" w:fill="D4F1F5"/>
          </w:tcPr>
          <w:p>
            <w:pPr>
              <w:ind w:left="20"/>
              <w:spacing w:after="0"/>
              <w:rPr>
                <w:sz w:val="20"/>
                <w:szCs w:val="20"/>
                <w:color w:val="auto"/>
              </w:rPr>
            </w:pPr>
            <w:r>
              <w:rPr>
                <w:rFonts w:ascii="Arial" w:cs="Arial" w:eastAsia="Arial" w:hAnsi="Arial"/>
                <w:sz w:val="16"/>
                <w:szCs w:val="16"/>
                <w:color w:val="auto"/>
              </w:rPr>
              <w:t>Asset retirement obligations</w:t>
            </w:r>
          </w:p>
        </w:tc>
        <w:tc>
          <w:tcPr>
            <w:tcW w:w="240" w:type="dxa"/>
            <w:vAlign w:val="bottom"/>
            <w:shd w:val="clear" w:color="auto" w:fill="D4F1F5"/>
          </w:tcPr>
          <w:p>
            <w:pPr>
              <w:spacing w:after="0"/>
              <w:rPr>
                <w:sz w:val="18"/>
                <w:szCs w:val="18"/>
                <w:color w:val="auto"/>
              </w:rPr>
            </w:pPr>
          </w:p>
        </w:tc>
        <w:tc>
          <w:tcPr>
            <w:tcW w:w="1520" w:type="dxa"/>
            <w:vAlign w:val="bottom"/>
            <w:shd w:val="clear" w:color="auto" w:fill="D4F1F5"/>
          </w:tcPr>
          <w:p>
            <w:pPr>
              <w:jc w:val="right"/>
              <w:spacing w:after="0"/>
              <w:rPr>
                <w:sz w:val="20"/>
                <w:szCs w:val="20"/>
                <w:color w:val="auto"/>
              </w:rPr>
            </w:pPr>
            <w:r>
              <w:rPr>
                <w:rFonts w:ascii="Arial" w:cs="Arial" w:eastAsia="Arial" w:hAnsi="Arial"/>
                <w:sz w:val="16"/>
                <w:szCs w:val="16"/>
                <w:color w:val="auto"/>
              </w:rPr>
              <w:t>100</w:t>
            </w:r>
          </w:p>
        </w:tc>
      </w:tr>
      <w:tr>
        <w:trPr>
          <w:trHeight w:val="215"/>
        </w:trPr>
        <w:tc>
          <w:tcPr>
            <w:tcW w:w="9480" w:type="dxa"/>
            <w:vAlign w:val="bottom"/>
            <w:tcBorders>
              <w:bottom w:val="single" w:sz="8" w:color="D4F1F5"/>
            </w:tcBorders>
          </w:tcPr>
          <w:p>
            <w:pPr>
              <w:ind w:left="20"/>
              <w:spacing w:after="0"/>
              <w:rPr>
                <w:sz w:val="20"/>
                <w:szCs w:val="20"/>
                <w:color w:val="auto"/>
              </w:rPr>
            </w:pPr>
            <w:r>
              <w:rPr>
                <w:rFonts w:ascii="Arial" w:cs="Arial" w:eastAsia="Arial" w:hAnsi="Arial"/>
                <w:sz w:val="16"/>
                <w:szCs w:val="16"/>
                <w:color w:val="auto"/>
              </w:rPr>
              <w:t>Deferred credits and other</w:t>
            </w:r>
          </w:p>
        </w:tc>
        <w:tc>
          <w:tcPr>
            <w:tcW w:w="24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457</w:t>
            </w:r>
          </w:p>
        </w:tc>
      </w:tr>
      <w:tr>
        <w:trPr>
          <w:trHeight w:val="217"/>
        </w:trPr>
        <w:tc>
          <w:tcPr>
            <w:tcW w:w="9480" w:type="dxa"/>
            <w:vAlign w:val="bottom"/>
            <w:tcBorders>
              <w:bottom w:val="single" w:sz="8" w:color="auto"/>
            </w:tcBorders>
            <w:shd w:val="clear" w:color="auto" w:fill="D4F1F5"/>
          </w:tcPr>
          <w:p>
            <w:pPr>
              <w:ind w:left="140"/>
              <w:spacing w:after="0"/>
              <w:rPr>
                <w:sz w:val="20"/>
                <w:szCs w:val="20"/>
                <w:color w:val="auto"/>
              </w:rPr>
            </w:pPr>
            <w:r>
              <w:rPr>
                <w:rFonts w:ascii="Arial" w:cs="Arial" w:eastAsia="Arial" w:hAnsi="Arial"/>
                <w:sz w:val="16"/>
                <w:szCs w:val="16"/>
                <w:color w:val="auto"/>
              </w:rPr>
              <w:t>Total liabilities held for sale</w:t>
            </w:r>
          </w:p>
        </w:tc>
        <w:tc>
          <w:tcPr>
            <w:tcW w:w="240" w:type="dxa"/>
            <w:vAlign w:val="bottom"/>
            <w:tcBorders>
              <w:bottom w:val="single" w:sz="8" w:color="auto"/>
            </w:tcBorders>
            <w:shd w:val="clear" w:color="auto" w:fill="D4F1F5"/>
          </w:tcPr>
          <w:p>
            <w:pPr>
              <w:jc w:val="right"/>
              <w:ind w:right="39"/>
              <w:spacing w:after="0"/>
              <w:rPr>
                <w:sz w:val="20"/>
                <w:szCs w:val="20"/>
                <w:color w:val="auto"/>
              </w:rPr>
            </w:pPr>
            <w:r>
              <w:rPr>
                <w:rFonts w:ascii="Arial" w:cs="Arial" w:eastAsia="Arial" w:hAnsi="Arial"/>
                <w:sz w:val="16"/>
                <w:szCs w:val="16"/>
                <w:color w:val="auto"/>
              </w:rPr>
              <w:t>$</w:t>
            </w:r>
          </w:p>
        </w:tc>
        <w:tc>
          <w:tcPr>
            <w:tcW w:w="1520" w:type="dxa"/>
            <w:vAlign w:val="bottom"/>
            <w:tcBorders>
              <w:bottom w:val="single" w:sz="8" w:color="auto"/>
            </w:tcBorders>
            <w:shd w:val="clear" w:color="auto" w:fill="D4F1F5"/>
          </w:tcPr>
          <w:p>
            <w:pPr>
              <w:jc w:val="right"/>
              <w:spacing w:after="0"/>
              <w:rPr>
                <w:sz w:val="20"/>
                <w:szCs w:val="20"/>
                <w:color w:val="auto"/>
              </w:rPr>
            </w:pPr>
            <w:r>
              <w:rPr>
                <w:rFonts w:ascii="Arial" w:cs="Arial" w:eastAsia="Arial" w:hAnsi="Arial"/>
                <w:sz w:val="16"/>
                <w:szCs w:val="16"/>
                <w:color w:val="auto"/>
              </w:rPr>
              <w:t>12,249</w:t>
            </w:r>
          </w:p>
        </w:tc>
      </w:tr>
    </w:tbl>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March 31, 2026, $26 million of accumulated losses is included in AOCI and is part of the disposal group that is classified as held for sale.</w:t>
      </w:r>
    </w:p>
    <w:p>
      <w:pPr>
        <w:spacing w:after="0" w:line="131" w:lineRule="exact"/>
        <w:rPr>
          <w:sz w:val="20"/>
          <w:szCs w:val="20"/>
          <w:color w:val="auto"/>
        </w:rPr>
      </w:pPr>
    </w:p>
    <w:p>
      <w:pPr>
        <w:ind w:right="40"/>
        <w:spacing w:after="0" w:line="271" w:lineRule="auto"/>
        <w:rPr>
          <w:sz w:val="20"/>
          <w:szCs w:val="20"/>
          <w:color w:val="auto"/>
        </w:rPr>
      </w:pPr>
      <w:r>
        <w:rPr>
          <w:rFonts w:ascii="Times New Roman" w:cs="Times New Roman" w:eastAsia="Times New Roman" w:hAnsi="Times New Roman"/>
          <w:sz w:val="18"/>
          <w:szCs w:val="18"/>
          <w:color w:val="auto"/>
        </w:rPr>
        <w:t>We considered the estimated fair value of our assets held for sale, less costs to sell, and determined that no adjustment to carrying value was required. In estimating fair value, we used a discounted cash flow valuation technique. In the event that the estimated sales price, less transaction costs, is less than the carrying value, or updated market information indicates fair value may be less than carrying value, we would recognize a loss in our results of operations at that time.</w:t>
      </w: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150495</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SI Partners</w:t>
      </w:r>
    </w:p>
    <w:p>
      <w:pPr>
        <w:spacing w:after="0" w:line="49" w:lineRule="exact"/>
        <w:rPr>
          <w:sz w:val="20"/>
          <w:szCs w:val="20"/>
          <w:color w:val="auto"/>
        </w:rPr>
      </w:pPr>
    </w:p>
    <w:p>
      <w:pPr>
        <w:ind w:right="120"/>
        <w:spacing w:after="0" w:line="274" w:lineRule="auto"/>
        <w:rPr>
          <w:sz w:val="20"/>
          <w:szCs w:val="20"/>
          <w:color w:val="auto"/>
        </w:rPr>
      </w:pPr>
      <w:r>
        <w:rPr>
          <w:rFonts w:ascii="Times New Roman" w:cs="Times New Roman" w:eastAsia="Times New Roman" w:hAnsi="Times New Roman"/>
          <w:sz w:val="18"/>
          <w:szCs w:val="18"/>
          <w:color w:val="auto"/>
        </w:rPr>
        <w:t>In September 2025, we entered into an agreement to sell 45% of the outstanding Class A Units and all general partner interests in SI Partners to the KKR Partners for an aggregate base purchase price of approximately $9.99 billion, subject to the adjustments described below. SI Partners owns LNG and natural gas infrastructure in the U.S. and Mexico and renewable energy and related assets in Mexico.</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agreement provides that, subject to adjustments and the closing date, the purchase price will be paid to Sempra as follows:</w:t>
      </w:r>
    </w:p>
    <w:p>
      <w:pPr>
        <w:spacing w:after="0" w:line="77" w:lineRule="exact"/>
        <w:rPr>
          <w:sz w:val="20"/>
          <w:szCs w:val="20"/>
          <w:color w:val="auto"/>
        </w:rPr>
      </w:pPr>
    </w:p>
    <w:p>
      <w:pPr>
        <w:ind w:left="160" w:hanging="152"/>
        <w:spacing w:after="0"/>
        <w:tabs>
          <w:tab w:leader="none" w:pos="1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$4.65 billion in cash at closing;</w:t>
      </w:r>
    </w:p>
    <w:p>
      <w:pPr>
        <w:spacing w:after="0" w:line="49" w:lineRule="exact"/>
        <w:rPr>
          <w:rFonts w:ascii="Times New Roman" w:cs="Times New Roman" w:eastAsia="Times New Roman" w:hAnsi="Times New Roman"/>
          <w:sz w:val="18"/>
          <w:szCs w:val="18"/>
          <w:color w:val="auto"/>
        </w:rPr>
      </w:pPr>
    </w:p>
    <w:p>
      <w:pPr>
        <w:ind w:left="180" w:right="320" w:hanging="172"/>
        <w:spacing w:after="0" w:line="266" w:lineRule="auto"/>
        <w:tabs>
          <w:tab w:leader="none" w:pos="176"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$4.14 billion plus interest compounded quarterly at 7.5% per annum (totaling $4.72 billion with principal and accrued interest unless paid early) due December 31, 2027 under instruments backed by equity commitment letters; and</w:t>
      </w:r>
    </w:p>
    <w:p>
      <w:pPr>
        <w:spacing w:after="0" w:line="13" w:lineRule="exact"/>
        <w:rPr>
          <w:rFonts w:ascii="Times New Roman" w:cs="Times New Roman" w:eastAsia="Times New Roman" w:hAnsi="Times New Roman"/>
          <w:sz w:val="18"/>
          <w:szCs w:val="18"/>
          <w:color w:val="auto"/>
        </w:rPr>
      </w:pPr>
    </w:p>
    <w:p>
      <w:pPr>
        <w:ind w:left="180" w:right="140" w:hanging="172"/>
        <w:spacing w:after="0" w:line="266" w:lineRule="auto"/>
        <w:tabs>
          <w:tab w:leader="none" w:pos="176"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$1.2 billion plus interest compounded quarterly at 8.5% per annum before January 1, 2031 and 10.0% per annum thereafter (totaling $2.29 billion with principal and accrued interest unless paid early) due seven years and 91 days after closing under promissory notes.</w:t>
      </w:r>
    </w:p>
    <w:p>
      <w:pPr>
        <w:spacing w:after="0" w:line="108" w:lineRule="exact"/>
        <w:rPr>
          <w:sz w:val="20"/>
          <w:szCs w:val="20"/>
          <w:color w:val="auto"/>
        </w:rPr>
      </w:pPr>
    </w:p>
    <w:p>
      <w:pPr>
        <w:ind w:right="100"/>
        <w:spacing w:after="0" w:line="297" w:lineRule="auto"/>
        <w:rPr>
          <w:sz w:val="20"/>
          <w:szCs w:val="20"/>
          <w:color w:val="auto"/>
        </w:rPr>
      </w:pPr>
      <w:r>
        <w:rPr>
          <w:rFonts w:ascii="Times New Roman" w:cs="Times New Roman" w:eastAsia="Times New Roman" w:hAnsi="Times New Roman"/>
          <w:sz w:val="18"/>
          <w:szCs w:val="18"/>
          <w:color w:val="auto"/>
        </w:rPr>
        <w:t>The instruments and notes will be issued by indirect equity holders of the KKR Partners and will be ranked behind senior debt incurred by subsidiaries of the issuers.</w:t>
      </w:r>
    </w:p>
    <w:p>
      <w:pPr>
        <w:spacing w:after="0" w:line="55"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The purchase price is subject to adjustments for changes in net debt, net working capital and capital expenditures as of December 31, 2025, among others. The purchase price is subject to further adjustments for certain capital contributions by and distributions to Sempra in 2026 before the closing. In addition, transaction fees of the KKR Partners of $337.5 million will be deducted from the purchase price at the closing and a development credit of $340 million will be payable by Sempra over two years starting in 2026. There may also be post-closing purchase price adjustments based on the performance through 2028 of certain wind power facilities, and adjustments payable by Sempra for capital expenditures related to the ECA LNG Phase 1 project under construction and potential costs associated with third party consents or waivers.</w:t>
      </w:r>
    </w:p>
    <w:p>
      <w:pPr>
        <w:spacing w:after="0" w:line="82"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We expect this sale to close in the second or third quarter of 2026, subject to certain conditions, including receipt of third-party consents or waivers, including from certain lenders, partners and others; the absence of a material adverse effect on SI Partners; the absence of specific downgrade events under certain financing arrangements; and other customary closing conditions. A ticking fee payable to Sempra of 0.625% per month on the aggregate base purchase price accrues daily beginning April 1, 2026. If the KKR Partners fail to complete the closing when all closing conditions are satisfied, Sempra will be entitled to receive a termination fee of $414 million. Any party may terminate the agreement if the closing has not occurred within 12 months after signing.</w:t>
      </w:r>
    </w:p>
    <w:p>
      <w:pPr>
        <w:spacing w:after="0" w:line="68" w:lineRule="exact"/>
        <w:rPr>
          <w:sz w:val="20"/>
          <w:szCs w:val="20"/>
          <w:color w:val="auto"/>
        </w:rPr>
      </w:pPr>
    </w:p>
    <w:p>
      <w:pPr>
        <w:jc w:val="both"/>
        <w:ind w:right="100"/>
        <w:spacing w:after="0" w:line="271" w:lineRule="auto"/>
        <w:rPr>
          <w:sz w:val="20"/>
          <w:szCs w:val="20"/>
          <w:color w:val="auto"/>
        </w:rPr>
      </w:pPr>
      <w:r>
        <w:rPr>
          <w:rFonts w:ascii="Times New Roman" w:cs="Times New Roman" w:eastAsia="Times New Roman" w:hAnsi="Times New Roman"/>
          <w:sz w:val="18"/>
          <w:szCs w:val="18"/>
          <w:color w:val="auto"/>
        </w:rPr>
        <w:t>Subject to closing, the KKR Partners will own 65% of SI Partners, Sempra will retain a 25% interest and ADIA will retain a 10% interest. As we discuss below, the KKR Partners will have control of SI Partners and Sempra and ADIA will have certain minority rights in SI Partners. As a result of our loss of control upon completion of the sale, we will deconsolidate SI Partners and account for our 25% interest in SI Partners under the equity method within the existing Sempra Infrastructure segment.</w:t>
      </w:r>
    </w:p>
    <w:p>
      <w:pPr>
        <w:spacing w:after="0" w:line="78" w:lineRule="exact"/>
        <w:rPr>
          <w:sz w:val="20"/>
          <w:szCs w:val="20"/>
          <w:color w:val="auto"/>
        </w:rPr>
      </w:pPr>
    </w:p>
    <w:p>
      <w:pPr>
        <w:ind w:right="20"/>
        <w:spacing w:after="0" w:line="270" w:lineRule="auto"/>
        <w:rPr>
          <w:sz w:val="20"/>
          <w:szCs w:val="20"/>
          <w:color w:val="auto"/>
        </w:rPr>
      </w:pPr>
      <w:r>
        <w:rPr>
          <w:rFonts w:ascii="Times New Roman" w:cs="Times New Roman" w:eastAsia="Times New Roman" w:hAnsi="Times New Roman"/>
          <w:sz w:val="18"/>
          <w:szCs w:val="18"/>
          <w:color w:val="auto"/>
        </w:rPr>
        <w:t>In connection with signing the agreement for the sale, we classified SI Partners as held for sale and ceased recording depreciation and amortization in September 2025. We recognized an income tax benefit of $33 million in Income Tax Expense on Sempra’s Condensed Consolidated Statement of Operations in the three months ended March 31, 2026 to adjust deferred income tax liabilities related to outside basis differences in our investment in SI Partners. This amount is based on certain assumptions and could change substantially in subsequent quarters and at the closing due to, among other things, changes to current carrying values, changes in forecasted taxable income, purchase price adjustments, and changes to tax positions and other assumptions.</w:t>
      </w:r>
    </w:p>
    <w:p>
      <w:pPr>
        <w:spacing w:after="0" w:line="64" w:lineRule="exact"/>
        <w:rPr>
          <w:sz w:val="20"/>
          <w:szCs w:val="20"/>
          <w:color w:val="auto"/>
        </w:rPr>
      </w:pPr>
    </w:p>
    <w:p>
      <w:pPr>
        <w:ind w:right="120"/>
        <w:spacing w:after="0" w:line="271" w:lineRule="auto"/>
        <w:rPr>
          <w:sz w:val="20"/>
          <w:szCs w:val="20"/>
          <w:color w:val="auto"/>
        </w:rPr>
      </w:pPr>
      <w:r>
        <w:rPr>
          <w:rFonts w:ascii="Times New Roman" w:cs="Times New Roman" w:eastAsia="Times New Roman" w:hAnsi="Times New Roman"/>
          <w:sz w:val="18"/>
          <w:szCs w:val="18"/>
          <w:color w:val="auto"/>
        </w:rPr>
        <w:t>As we discuss in Note 8, in March 2026, Sempra entered into undesignated foreign currency hedges with notional amounts totaling 11.0 billion Mexican pesos ($612 million in U.S. dollar-equivalent) to help mitigate the exchange rate risk associated with the anticipated Mexican capital gains taxes that will be payable upon completion of the sale. In April 2026, Sempra entered into an additional undesignated foreign currency hedge with notional amounts totaling 2.8 billion Mexican pesos ($155 million in U.S. dollar-equivalent) to further mitigate such risk.</w:t>
      </w:r>
    </w:p>
    <w:p>
      <w:pPr>
        <w:spacing w:after="0" w:line="200" w:lineRule="exact"/>
        <w:rPr>
          <w:sz w:val="20"/>
          <w:szCs w:val="20"/>
          <w:color w:val="auto"/>
        </w:rPr>
      </w:pPr>
    </w:p>
    <w:p>
      <w:pPr>
        <w:spacing w:after="0" w:line="35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150495</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21" w:right="41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line="264" w:lineRule="auto"/>
        <w:rPr>
          <w:sz w:val="20"/>
          <w:szCs w:val="20"/>
          <w:color w:val="auto"/>
        </w:rPr>
      </w:pPr>
      <w:r>
        <w:rPr>
          <w:rFonts w:ascii="Times New Roman" w:cs="Times New Roman" w:eastAsia="Times New Roman" w:hAnsi="Times New Roman"/>
          <w:sz w:val="18"/>
          <w:szCs w:val="18"/>
          <w:b w:val="1"/>
          <w:bCs w:val="1"/>
          <w:color w:val="auto"/>
        </w:rPr>
        <w:t xml:space="preserve">Post-Closing Limited Partnership Agreement. </w:t>
      </w:r>
      <w:r>
        <w:rPr>
          <w:rFonts w:ascii="Times New Roman" w:cs="Times New Roman" w:eastAsia="Times New Roman" w:hAnsi="Times New Roman"/>
          <w:sz w:val="18"/>
          <w:szCs w:val="18"/>
          <w:color w:val="auto"/>
        </w:rPr>
        <w:t>At closing, we will enter into an amended and restated limited partnership agreement of SI Partners with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KKR Partners and ADIA. The limited partnership agreement provides that the KKR Partners will have the right to appoint four managers, Sempra will have the right to appoint two managers, and ADIA will have the right to appoint one manager to the SI Partners board of managers, with matters generally decided by majority vote based on the limited partners’ ownership percentages. The minority partners will have certain minority consent rights so long as they maintain specified ownership thresholds. Subject to exceptions and limitations, SI Partners will be prohibited from taking certain actions, including, among others: (i) redeeming units or making distributions to its limited partners other than on a pro rata basis or as expressly permitted under the partnership agreement; (ii) under certain circumstances, transferring, disposing or issuing equity securities in any subsidiary undertaking or owning a project that has reached a positive FID; (iii) appointing a replacement chief executive officer; (iv) approving certain capital expenditures; and (v) reaching a positive FID on any project, in each case without prior approval from the KKR Partners, Sempra and, in some cases, other limited partners holding at least a specified minimum percentage of ownership.</w:t>
      </w:r>
    </w:p>
    <w:p>
      <w:pPr>
        <w:spacing w:after="0" w:line="90"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SI Partners will be required to distribute quarterly at least 85% of its distributable cash flow, subject to certain exceptions and reserves. Generally, distributions will be made to the limited partners on a pro rata basis in accordance with their respective ownership interests, except that the KKR Partners will be entitled to a post-closing distribution of an additional 31.5% of the $1.9 billion true-up payment from Port Arthur LNG II to Port Arthur LNG I to acquire a 50% interest in the shared common facilities. The limited partners will be required to fund capital calls under certain circumstances, which vary depending on whether a project has reached a positive FID. Sempra will continue to have substantially similar funding obligations as it has before the sale for cost overruns in certain projects, including the ECA LNG Phase 1 project and the PA LNG Phase 1 project.</w:t>
      </w:r>
    </w:p>
    <w:p>
      <w:pPr>
        <w:spacing w:after="0" w:line="82" w:lineRule="exact"/>
        <w:rPr>
          <w:sz w:val="20"/>
          <w:szCs w:val="20"/>
          <w:color w:val="auto"/>
        </w:rPr>
      </w:pPr>
    </w:p>
    <w:p>
      <w:pPr>
        <w:ind w:right="40"/>
        <w:spacing w:after="0" w:line="263" w:lineRule="auto"/>
        <w:rPr>
          <w:sz w:val="20"/>
          <w:szCs w:val="20"/>
          <w:color w:val="auto"/>
        </w:rPr>
      </w:pPr>
      <w:r>
        <w:rPr>
          <w:rFonts w:ascii="Times New Roman" w:cs="Times New Roman" w:eastAsia="Times New Roman" w:hAnsi="Times New Roman"/>
          <w:sz w:val="18"/>
          <w:szCs w:val="18"/>
          <w:color w:val="auto"/>
        </w:rPr>
        <w:t>If a project fails to receive the required limited partner approvals to achieve a positive FID, the KKR Partners will be permitted to proceed with the project independently through a different investment vehicle or as a “Sole Risk Project” within SI Partners in exchange for “Sole Risk Interests.” Sole Risk Projects are separated from other SI Partners projects and are conducted at the holder’s sole cost, expense and liability, and the holder receives, through the acquisition of Sole Risk Interests, the economic and other benefits, if any, from such projects. The Guaymas-El Oro segment of the Sonora pipeline will continue to be owned by and a Sole Risk Project of Sempra and is not included within the disposal group that is classified as held for sale. Sempra is solely responsible for costs associated with the Guaymas-El Oro segment of the Sonora pipeline and any proceeds from a sale of the Guaymas-El Oro segment of the Sonora pipeline would be split between Sempra (90%) and ADIA (10%), subject to adjustments.</w:t>
      </w:r>
    </w:p>
    <w:p>
      <w:pPr>
        <w:spacing w:after="0" w:line="86" w:lineRule="exact"/>
        <w:rPr>
          <w:sz w:val="20"/>
          <w:szCs w:val="20"/>
          <w:color w:val="auto"/>
        </w:rPr>
      </w:pPr>
    </w:p>
    <w:p>
      <w:pPr>
        <w:jc w:val="both"/>
        <w:ind w:right="260"/>
        <w:spacing w:after="0" w:line="270" w:lineRule="auto"/>
        <w:rPr>
          <w:sz w:val="20"/>
          <w:szCs w:val="20"/>
          <w:color w:val="auto"/>
        </w:rPr>
      </w:pPr>
      <w:r>
        <w:rPr>
          <w:rFonts w:ascii="Times New Roman" w:cs="Times New Roman" w:eastAsia="Times New Roman" w:hAnsi="Times New Roman"/>
          <w:sz w:val="18"/>
          <w:szCs w:val="18"/>
          <w:color w:val="auto"/>
        </w:rPr>
        <w:t>Under the limited partnership agreement, Sempra will be restricted from transferring its ownership interest in SI Partners before January 1, 2029. Any proposed transfer (other than a permitted transfer) by a minority partner to a third party will be subject to a right of first offer of the KKR Partners. The minority partners will have co-sale rights in respect of any transfer by the KKR Partners of over 50% of SI Partners’ equity interests. The KKR Partners will have customary drag-along rights in connection with any sale of SI Partners, provided that the minority partners obtain minimum return thresholds. The limited partners have customary registration rights in the event of an initial public offering of SI Partners.</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Ecogas</w:t>
      </w:r>
    </w:p>
    <w:p>
      <w:pPr>
        <w:spacing w:after="0" w:line="49" w:lineRule="exact"/>
        <w:rPr>
          <w:sz w:val="20"/>
          <w:szCs w:val="20"/>
          <w:color w:val="auto"/>
        </w:rPr>
      </w:pPr>
    </w:p>
    <w:p>
      <w:pPr>
        <w:ind w:right="20"/>
        <w:spacing w:after="0" w:line="269" w:lineRule="auto"/>
        <w:rPr>
          <w:sz w:val="20"/>
          <w:szCs w:val="20"/>
          <w:color w:val="auto"/>
        </w:rPr>
      </w:pPr>
      <w:r>
        <w:rPr>
          <w:rFonts w:ascii="Times New Roman" w:cs="Times New Roman" w:eastAsia="Times New Roman" w:hAnsi="Times New Roman"/>
          <w:sz w:val="18"/>
          <w:szCs w:val="18"/>
          <w:color w:val="auto"/>
        </w:rPr>
        <w:t>In December 2025, we entered into an agreement to sell Ecogas, a natural gas regulated distribution utility that operates in three separate distribution zones in Mexicali, Chihuahua and La Laguna-Durango, Mexico, to Gas Natural del Noroeste S.A. de C.V. for 9.0 billion Mexican pesos (approximately $500 million in U.S. dollar-equivalent at March 31, 2026), subject to adjustments. In the first quarter of 2026, we entered into contingent foreign currency hedges, which we discuss in Note 8, that are designed to fix the exchange rate associated with the anticipated after-tax net proceeds. We expect to complete the sale in the second or third quarter of 2026, subject to closing conditions. As a result of satisfying all applicable criteria in June 2025, we classified Ecogas’ assets and liabilities as held for sale and ceased depreciation and amortization.</w:t>
      </w:r>
    </w:p>
    <w:p>
      <w:pPr>
        <w:spacing w:after="0" w:line="66" w:lineRule="exact"/>
        <w:rPr>
          <w:sz w:val="20"/>
          <w:szCs w:val="20"/>
          <w:color w:val="auto"/>
        </w:rPr>
      </w:pPr>
    </w:p>
    <w:p>
      <w:pPr>
        <w:ind w:right="100"/>
        <w:spacing w:after="0" w:line="270" w:lineRule="auto"/>
        <w:rPr>
          <w:sz w:val="20"/>
          <w:szCs w:val="20"/>
          <w:color w:val="auto"/>
        </w:rPr>
      </w:pPr>
      <w:r>
        <w:rPr>
          <w:rFonts w:ascii="Times New Roman" w:cs="Times New Roman" w:eastAsia="Times New Roman" w:hAnsi="Times New Roman"/>
          <w:sz w:val="18"/>
          <w:szCs w:val="18"/>
          <w:color w:val="auto"/>
        </w:rPr>
        <w:t>In connection with classifying Ecogas as held for sale, we recognized an income tax benefit of $3 million in Income Tax Expense on Sempra’s Condensed Consolidated Statement of Operations in the three months ended March 31, 2026 for changes in the Mexican deferred income tax liability related to the excess of carrying value over the tax basis (outside basis difference). Since this $3 million ($2 million after NCI) of Mexican income tax benefit on our outside basis difference is based on current carrying value, foreign exchange rates and inflation at March 31, 2026, this amount could change in future periods until the date of sale.</w:t>
      </w:r>
    </w:p>
    <w:p>
      <w:pPr>
        <w:spacing w:after="0" w:line="200" w:lineRule="exact"/>
        <w:rPr>
          <w:sz w:val="20"/>
          <w:szCs w:val="20"/>
          <w:color w:val="auto"/>
        </w:rPr>
      </w:pPr>
    </w:p>
    <w:p>
      <w:pPr>
        <w:spacing w:after="0" w:line="3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150495</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711835</wp:posOffset>
            </wp:positionV>
            <wp:extent cx="713232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20"/>
          <w:szCs w:val="20"/>
          <w:color w:val="auto"/>
        </w:rPr>
        <w:t>NOTE 7. DEBT AND CREDIT FACILITIES</w:t>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principal terms of our debt arrangements are described below and in Note 7 of the Notes to Consolidated Financial Statements in the Annual Report.</w:t>
      </w:r>
    </w:p>
    <w:p>
      <w:pPr>
        <w:spacing w:after="0" w:line="3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SHORT-TERM DEBT</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Committed Lines of Credit</w:t>
      </w:r>
    </w:p>
    <w:p>
      <w:pPr>
        <w:spacing w:after="0" w:line="49" w:lineRule="exact"/>
        <w:rPr>
          <w:sz w:val="20"/>
          <w:szCs w:val="20"/>
          <w:color w:val="auto"/>
        </w:rPr>
      </w:pPr>
    </w:p>
    <w:p>
      <w:pPr>
        <w:ind w:right="120"/>
        <w:spacing w:after="0" w:line="271" w:lineRule="auto"/>
        <w:rPr>
          <w:sz w:val="20"/>
          <w:szCs w:val="20"/>
          <w:color w:val="auto"/>
        </w:rPr>
      </w:pPr>
      <w:r>
        <w:rPr>
          <w:rFonts w:ascii="Times New Roman" w:cs="Times New Roman" w:eastAsia="Times New Roman" w:hAnsi="Times New Roman"/>
          <w:sz w:val="18"/>
          <w:szCs w:val="18"/>
          <w:color w:val="auto"/>
        </w:rPr>
        <w:t>At March 31, 2026, Sempra has an aggregate capacity of $10.2 billion under eight primary committed lines of credit, which provide liquidity and support our commercial paper programs. Because our commercial paper programs are supported by some of these lines of credit, we reflect the amount of commercial paper outstanding, before reductions of any unamortized discounts, and any letters of credit outstanding as a reduction to the available unused credit capacity in the following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78105</wp:posOffset>
            </wp:positionV>
            <wp:extent cx="7132320" cy="3003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32320" cy="300355"/>
                    </a:xfrm>
                    <a:prstGeom prst="rect">
                      <a:avLst/>
                    </a:prstGeom>
                    <a:noFill/>
                  </pic:spPr>
                </pic:pic>
              </a:graphicData>
            </a:graphic>
          </wp:anchor>
        </w:drawing>
      </w:r>
    </w:p>
    <w:p>
      <w:pPr>
        <w:spacing w:after="0" w:line="116"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FFFFFF"/>
        </w:rPr>
        <w:t>COMMITTED LINES OF CREDIT</w:t>
      </w:r>
    </w:p>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2200" w:type="dxa"/>
            <w:vAlign w:val="bottom"/>
          </w:tcPr>
          <w:p>
            <w:pPr>
              <w:ind w:left="20"/>
              <w:spacing w:after="0"/>
              <w:rPr>
                <w:sz w:val="20"/>
                <w:szCs w:val="20"/>
                <w:color w:val="auto"/>
              </w:rPr>
            </w:pPr>
            <w:r>
              <w:rPr>
                <w:rFonts w:ascii="Arial" w:cs="Arial" w:eastAsia="Arial" w:hAnsi="Arial"/>
                <w:sz w:val="14"/>
                <w:szCs w:val="14"/>
                <w:i w:val="1"/>
                <w:iCs w:val="1"/>
                <w:color w:val="FFFFFF"/>
              </w:rPr>
              <w:t>(Dollars in millions)</w:t>
            </w:r>
          </w:p>
        </w:tc>
        <w:tc>
          <w:tcPr>
            <w:tcW w:w="3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233"/>
        </w:trPr>
        <w:tc>
          <w:tcPr>
            <w:tcW w:w="2200" w:type="dxa"/>
            <w:vAlign w:val="bottom"/>
          </w:tcPr>
          <w:p>
            <w:pPr>
              <w:spacing w:after="0"/>
              <w:rPr>
                <w:sz w:val="20"/>
                <w:szCs w:val="20"/>
                <w:color w:val="auto"/>
              </w:rPr>
            </w:pPr>
          </w:p>
        </w:tc>
        <w:tc>
          <w:tcPr>
            <w:tcW w:w="32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color w:val="auto"/>
              </w:rPr>
              <w:t>March 31, 2026</w:t>
            </w:r>
          </w:p>
        </w:tc>
        <w:tc>
          <w:tcPr>
            <w:tcW w:w="2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r>
      <w:tr>
        <w:trPr>
          <w:trHeight w:val="177"/>
        </w:trPr>
        <w:tc>
          <w:tcPr>
            <w:tcW w:w="2200" w:type="dxa"/>
            <w:vAlign w:val="bottom"/>
          </w:tcPr>
          <w:p>
            <w:pPr>
              <w:spacing w:after="0"/>
              <w:rPr>
                <w:sz w:val="15"/>
                <w:szCs w:val="15"/>
                <w:color w:val="auto"/>
              </w:rPr>
            </w:pPr>
          </w:p>
        </w:tc>
        <w:tc>
          <w:tcPr>
            <w:tcW w:w="3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0" w:type="dxa"/>
            <w:vAlign w:val="bottom"/>
          </w:tcPr>
          <w:p>
            <w:pPr>
              <w:jc w:val="center"/>
              <w:ind w:right="101"/>
              <w:spacing w:after="0"/>
              <w:rPr>
                <w:sz w:val="20"/>
                <w:szCs w:val="20"/>
                <w:color w:val="auto"/>
              </w:rPr>
            </w:pPr>
            <w:r>
              <w:rPr>
                <w:rFonts w:ascii="Arial" w:cs="Arial" w:eastAsia="Arial" w:hAnsi="Arial"/>
                <w:sz w:val="14"/>
                <w:szCs w:val="14"/>
                <w:color w:val="auto"/>
              </w:rPr>
              <w:t>Commercial</w:t>
            </w:r>
          </w:p>
        </w:tc>
        <w:tc>
          <w:tcPr>
            <w:tcW w:w="1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162"/>
        </w:trPr>
        <w:tc>
          <w:tcPr>
            <w:tcW w:w="2200" w:type="dxa"/>
            <w:vAlign w:val="bottom"/>
          </w:tcPr>
          <w:p>
            <w:pPr>
              <w:spacing w:after="0"/>
              <w:rPr>
                <w:sz w:val="14"/>
                <w:szCs w:val="14"/>
                <w:color w:val="auto"/>
              </w:rPr>
            </w:pPr>
          </w:p>
        </w:tc>
        <w:tc>
          <w:tcPr>
            <w:tcW w:w="3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tcPr>
          <w:p>
            <w:pPr>
              <w:jc w:val="center"/>
              <w:ind w:right="101"/>
              <w:spacing w:after="0"/>
              <w:rPr>
                <w:sz w:val="20"/>
                <w:szCs w:val="20"/>
                <w:color w:val="auto"/>
              </w:rPr>
            </w:pPr>
            <w:r>
              <w:rPr>
                <w:rFonts w:ascii="Arial" w:cs="Arial" w:eastAsia="Arial" w:hAnsi="Arial"/>
                <w:sz w:val="14"/>
                <w:szCs w:val="14"/>
                <w:color w:val="auto"/>
              </w:rPr>
              <w:t>paper</w:t>
            </w:r>
          </w:p>
        </w:tc>
        <w:tc>
          <w:tcPr>
            <w:tcW w:w="180" w:type="dxa"/>
            <w:vAlign w:val="bottom"/>
          </w:tcPr>
          <w:p>
            <w:pPr>
              <w:spacing w:after="0"/>
              <w:rPr>
                <w:sz w:val="14"/>
                <w:szCs w:val="14"/>
                <w:color w:val="auto"/>
              </w:rPr>
            </w:pPr>
          </w:p>
        </w:tc>
        <w:tc>
          <w:tcPr>
            <w:tcW w:w="980" w:type="dxa"/>
            <w:vAlign w:val="bottom"/>
          </w:tcPr>
          <w:p>
            <w:pPr>
              <w:ind w:left="120"/>
              <w:spacing w:after="0"/>
              <w:rPr>
                <w:sz w:val="20"/>
                <w:szCs w:val="20"/>
                <w:color w:val="auto"/>
              </w:rPr>
            </w:pPr>
            <w:r>
              <w:rPr>
                <w:rFonts w:ascii="Arial" w:cs="Arial" w:eastAsia="Arial" w:hAnsi="Arial"/>
                <w:sz w:val="14"/>
                <w:szCs w:val="14"/>
                <w:color w:val="auto"/>
              </w:rPr>
              <w:t>Amounts</w:t>
            </w:r>
          </w:p>
        </w:tc>
        <w:tc>
          <w:tcPr>
            <w:tcW w:w="1180" w:type="dxa"/>
            <w:vAlign w:val="bottom"/>
            <w:gridSpan w:val="2"/>
          </w:tcPr>
          <w:p>
            <w:pPr>
              <w:jc w:val="right"/>
              <w:spacing w:after="0"/>
              <w:rPr>
                <w:sz w:val="20"/>
                <w:szCs w:val="20"/>
                <w:color w:val="auto"/>
              </w:rPr>
            </w:pPr>
            <w:r>
              <w:rPr>
                <w:rFonts w:ascii="Arial" w:cs="Arial" w:eastAsia="Arial" w:hAnsi="Arial"/>
                <w:sz w:val="14"/>
                <w:szCs w:val="14"/>
                <w:color w:val="auto"/>
              </w:rPr>
              <w:t>Letters of credit</w:t>
            </w:r>
          </w:p>
        </w:tc>
        <w:tc>
          <w:tcPr>
            <w:tcW w:w="220" w:type="dxa"/>
            <w:vAlign w:val="bottom"/>
          </w:tcPr>
          <w:p>
            <w:pPr>
              <w:spacing w:after="0"/>
              <w:rPr>
                <w:sz w:val="14"/>
                <w:szCs w:val="14"/>
                <w:color w:val="auto"/>
              </w:rPr>
            </w:pPr>
          </w:p>
        </w:tc>
        <w:tc>
          <w:tcPr>
            <w:tcW w:w="900" w:type="dxa"/>
            <w:vAlign w:val="bottom"/>
          </w:tcPr>
          <w:p>
            <w:pPr>
              <w:jc w:val="right"/>
              <w:ind w:right="160"/>
              <w:spacing w:after="0"/>
              <w:rPr>
                <w:sz w:val="20"/>
                <w:szCs w:val="20"/>
                <w:color w:val="auto"/>
              </w:rPr>
            </w:pPr>
            <w:r>
              <w:rPr>
                <w:rFonts w:ascii="Arial" w:cs="Arial" w:eastAsia="Arial" w:hAnsi="Arial"/>
                <w:sz w:val="14"/>
                <w:szCs w:val="14"/>
                <w:color w:val="auto"/>
              </w:rPr>
              <w:t>Available</w:t>
            </w:r>
          </w:p>
        </w:tc>
      </w:tr>
      <w:tr>
        <w:trPr>
          <w:trHeight w:val="208"/>
        </w:trPr>
        <w:tc>
          <w:tcPr>
            <w:tcW w:w="22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Borrower</w:t>
            </w:r>
          </w:p>
        </w:tc>
        <w:tc>
          <w:tcPr>
            <w:tcW w:w="3280" w:type="dxa"/>
            <w:vAlign w:val="bottom"/>
            <w:tcBorders>
              <w:bottom w:val="single" w:sz="8" w:color="auto"/>
            </w:tcBorders>
          </w:tcPr>
          <w:p>
            <w:pPr>
              <w:ind w:left="520"/>
              <w:spacing w:after="0"/>
              <w:rPr>
                <w:sz w:val="20"/>
                <w:szCs w:val="20"/>
                <w:color w:val="auto"/>
              </w:rPr>
            </w:pPr>
            <w:r>
              <w:rPr>
                <w:rFonts w:ascii="Arial" w:cs="Arial" w:eastAsia="Arial" w:hAnsi="Arial"/>
                <w:sz w:val="14"/>
                <w:szCs w:val="14"/>
                <w:color w:val="auto"/>
              </w:rPr>
              <w:t>Expiration date of facility</w:t>
            </w:r>
          </w:p>
        </w:tc>
        <w:tc>
          <w:tcPr>
            <w:tcW w:w="1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100"/>
              <w:spacing w:after="0"/>
              <w:rPr>
                <w:sz w:val="20"/>
                <w:szCs w:val="20"/>
                <w:color w:val="auto"/>
              </w:rPr>
            </w:pPr>
            <w:r>
              <w:rPr>
                <w:rFonts w:ascii="Arial" w:cs="Arial" w:eastAsia="Arial" w:hAnsi="Arial"/>
                <w:sz w:val="14"/>
                <w:szCs w:val="14"/>
                <w:color w:val="auto"/>
              </w:rPr>
              <w:t>Total facility</w:t>
            </w:r>
          </w:p>
        </w:tc>
        <w:tc>
          <w:tcPr>
            <w:tcW w:w="2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center"/>
              <w:ind w:right="101"/>
              <w:spacing w:after="0"/>
              <w:rPr>
                <w:sz w:val="20"/>
                <w:szCs w:val="20"/>
                <w:color w:val="auto"/>
              </w:rPr>
            </w:pPr>
            <w:r>
              <w:rPr>
                <w:rFonts w:ascii="Arial" w:cs="Arial" w:eastAsia="Arial" w:hAnsi="Arial"/>
                <w:sz w:val="14"/>
                <w:szCs w:val="14"/>
                <w:color w:val="auto"/>
              </w:rPr>
              <w:t>outstanding</w:t>
            </w:r>
          </w:p>
        </w:tc>
        <w:tc>
          <w:tcPr>
            <w:tcW w:w="1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outstanding</w:t>
            </w:r>
          </w:p>
        </w:tc>
        <w:tc>
          <w:tcPr>
            <w:tcW w:w="2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120"/>
              <w:spacing w:after="0"/>
              <w:rPr>
                <w:sz w:val="20"/>
                <w:szCs w:val="20"/>
                <w:color w:val="auto"/>
              </w:rPr>
            </w:pPr>
            <w:r>
              <w:rPr>
                <w:rFonts w:ascii="Arial" w:cs="Arial" w:eastAsia="Arial" w:hAnsi="Arial"/>
                <w:sz w:val="14"/>
                <w:szCs w:val="14"/>
                <w:color w:val="auto"/>
              </w:rPr>
              <w:t>outstanding</w:t>
            </w:r>
          </w:p>
        </w:tc>
        <w:tc>
          <w:tcPr>
            <w:tcW w:w="11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color w:val="auto"/>
              </w:rPr>
              <w:t>unused credit</w:t>
            </w:r>
          </w:p>
        </w:tc>
      </w:tr>
      <w:tr>
        <w:trPr>
          <w:trHeight w:val="214"/>
        </w:trPr>
        <w:tc>
          <w:tcPr>
            <w:tcW w:w="2200" w:type="dxa"/>
            <w:vAlign w:val="bottom"/>
            <w:shd w:val="clear" w:color="auto" w:fill="D4F1F5"/>
          </w:tcPr>
          <w:p>
            <w:pPr>
              <w:ind w:left="20"/>
              <w:spacing w:after="0"/>
              <w:rPr>
                <w:sz w:val="20"/>
                <w:szCs w:val="20"/>
                <w:color w:val="auto"/>
              </w:rPr>
            </w:pPr>
            <w:r>
              <w:rPr>
                <w:rFonts w:ascii="Arial" w:cs="Arial" w:eastAsia="Arial" w:hAnsi="Arial"/>
                <w:sz w:val="16"/>
                <w:szCs w:val="16"/>
                <w:color w:val="auto"/>
              </w:rPr>
              <w:t>Sempra</w:t>
            </w:r>
          </w:p>
        </w:tc>
        <w:tc>
          <w:tcPr>
            <w:tcW w:w="3280" w:type="dxa"/>
            <w:vAlign w:val="bottom"/>
            <w:shd w:val="clear" w:color="auto" w:fill="D4F1F5"/>
          </w:tcPr>
          <w:p>
            <w:pPr>
              <w:ind w:left="520"/>
              <w:spacing w:after="0"/>
              <w:rPr>
                <w:sz w:val="20"/>
                <w:szCs w:val="20"/>
                <w:color w:val="auto"/>
              </w:rPr>
            </w:pPr>
            <w:r>
              <w:rPr>
                <w:rFonts w:ascii="Arial" w:cs="Arial" w:eastAsia="Arial" w:hAnsi="Arial"/>
                <w:sz w:val="16"/>
                <w:szCs w:val="16"/>
                <w:color w:val="auto"/>
              </w:rPr>
              <w:t>October 2030</w:t>
            </w:r>
          </w:p>
        </w:tc>
        <w:tc>
          <w:tcPr>
            <w:tcW w:w="140" w:type="dxa"/>
            <w:vAlign w:val="bottom"/>
            <w:shd w:val="clear" w:color="auto" w:fill="D4F1F5"/>
          </w:tcPr>
          <w:p>
            <w:pPr>
              <w:jc w:val="right"/>
              <w:spacing w:after="0"/>
              <w:rPr>
                <w:sz w:val="20"/>
                <w:szCs w:val="20"/>
                <w:color w:val="auto"/>
              </w:rPr>
            </w:pPr>
            <w:r>
              <w:rPr>
                <w:rFonts w:ascii="Arial" w:cs="Arial" w:eastAsia="Arial" w:hAnsi="Arial"/>
                <w:sz w:val="16"/>
                <w:szCs w:val="16"/>
                <w:color w:val="auto"/>
              </w:rPr>
              <w:t>$</w:t>
            </w:r>
          </w:p>
        </w:tc>
        <w:tc>
          <w:tcPr>
            <w:tcW w:w="960" w:type="dxa"/>
            <w:vAlign w:val="bottom"/>
            <w:shd w:val="clear" w:color="auto" w:fill="D4F1F5"/>
          </w:tcPr>
          <w:p>
            <w:pPr>
              <w:jc w:val="right"/>
              <w:ind w:right="20"/>
              <w:spacing w:after="0"/>
              <w:rPr>
                <w:sz w:val="20"/>
                <w:szCs w:val="20"/>
                <w:color w:val="auto"/>
              </w:rPr>
            </w:pPr>
            <w:r>
              <w:rPr>
                <w:rFonts w:ascii="Arial" w:cs="Arial" w:eastAsia="Arial" w:hAnsi="Arial"/>
                <w:sz w:val="16"/>
                <w:szCs w:val="16"/>
                <w:color w:val="auto"/>
              </w:rPr>
              <w:t>4,000</w:t>
            </w:r>
          </w:p>
        </w:tc>
        <w:tc>
          <w:tcPr>
            <w:tcW w:w="200" w:type="dxa"/>
            <w:vAlign w:val="bottom"/>
            <w:shd w:val="clear" w:color="auto" w:fill="D4F1F5"/>
          </w:tcPr>
          <w:p>
            <w:pPr>
              <w:jc w:val="right"/>
              <w:spacing w:after="0"/>
              <w:rPr>
                <w:sz w:val="20"/>
                <w:szCs w:val="20"/>
                <w:color w:val="auto"/>
              </w:rPr>
            </w:pPr>
            <w:r>
              <w:rPr>
                <w:rFonts w:ascii="Arial" w:cs="Arial" w:eastAsia="Arial" w:hAnsi="Arial"/>
                <w:sz w:val="16"/>
                <w:szCs w:val="16"/>
                <w:color w:val="auto"/>
              </w:rPr>
              <w:t>$</w:t>
            </w:r>
          </w:p>
        </w:tc>
        <w:tc>
          <w:tcPr>
            <w:tcW w:w="1000" w:type="dxa"/>
            <w:vAlign w:val="bottom"/>
            <w:shd w:val="clear" w:color="auto" w:fill="D4F1F5"/>
          </w:tcPr>
          <w:p>
            <w:pPr>
              <w:jc w:val="right"/>
              <w:ind w:right="1"/>
              <w:spacing w:after="0"/>
              <w:rPr>
                <w:sz w:val="20"/>
                <w:szCs w:val="20"/>
                <w:color w:val="auto"/>
              </w:rPr>
            </w:pPr>
            <w:r>
              <w:rPr>
                <w:rFonts w:ascii="Arial" w:cs="Arial" w:eastAsia="Arial" w:hAnsi="Arial"/>
                <w:sz w:val="16"/>
                <w:szCs w:val="16"/>
                <w:color w:val="auto"/>
              </w:rPr>
              <w:t>(1,461)</w:t>
            </w:r>
          </w:p>
        </w:tc>
        <w:tc>
          <w:tcPr>
            <w:tcW w:w="180" w:type="dxa"/>
            <w:vAlign w:val="bottom"/>
            <w:shd w:val="clear" w:color="auto" w:fill="D4F1F5"/>
          </w:tcPr>
          <w:p>
            <w:pPr>
              <w:ind w:left="60"/>
              <w:spacing w:after="0"/>
              <w:rPr>
                <w:sz w:val="20"/>
                <w:szCs w:val="20"/>
                <w:color w:val="auto"/>
              </w:rPr>
            </w:pPr>
            <w:r>
              <w:rPr>
                <w:rFonts w:ascii="Arial" w:cs="Arial" w:eastAsia="Arial" w:hAnsi="Arial"/>
                <w:sz w:val="16"/>
                <w:szCs w:val="16"/>
                <w:color w:val="auto"/>
              </w:rPr>
              <w:t>$</w:t>
            </w:r>
          </w:p>
        </w:tc>
        <w:tc>
          <w:tcPr>
            <w:tcW w:w="980" w:type="dxa"/>
            <w:vAlign w:val="bottom"/>
            <w:shd w:val="clear" w:color="auto" w:fill="D4F1F5"/>
          </w:tcPr>
          <w:p>
            <w:pPr>
              <w:ind w:left="720"/>
              <w:spacing w:after="0"/>
              <w:rPr>
                <w:sz w:val="20"/>
                <w:szCs w:val="20"/>
                <w:color w:val="auto"/>
              </w:rPr>
            </w:pPr>
            <w:r>
              <w:rPr>
                <w:rFonts w:ascii="Arial" w:cs="Arial" w:eastAsia="Arial" w:hAnsi="Arial"/>
                <w:sz w:val="16"/>
                <w:szCs w:val="16"/>
                <w:color w:val="auto"/>
              </w:rPr>
              <w:t>—</w:t>
            </w:r>
          </w:p>
        </w:tc>
        <w:tc>
          <w:tcPr>
            <w:tcW w:w="200" w:type="dxa"/>
            <w:vAlign w:val="bottom"/>
            <w:shd w:val="clear" w:color="auto" w:fill="D4F1F5"/>
          </w:tcPr>
          <w:p>
            <w:pPr>
              <w:jc w:val="right"/>
              <w:spacing w:after="0"/>
              <w:rPr>
                <w:sz w:val="20"/>
                <w:szCs w:val="20"/>
                <w:color w:val="auto"/>
              </w:rPr>
            </w:pPr>
            <w:r>
              <w:rPr>
                <w:rFonts w:ascii="Arial" w:cs="Arial" w:eastAsia="Arial" w:hAnsi="Arial"/>
                <w:sz w:val="16"/>
                <w:szCs w:val="16"/>
                <w:color w:val="auto"/>
              </w:rPr>
              <w:t>$</w:t>
            </w:r>
          </w:p>
        </w:tc>
        <w:tc>
          <w:tcPr>
            <w:tcW w:w="980" w:type="dxa"/>
            <w:vAlign w:val="bottom"/>
            <w:shd w:val="clear" w:color="auto" w:fill="D4F1F5"/>
          </w:tcPr>
          <w:p>
            <w:pPr>
              <w:jc w:val="right"/>
              <w:ind w:right="40"/>
              <w:spacing w:after="0"/>
              <w:rPr>
                <w:sz w:val="20"/>
                <w:szCs w:val="20"/>
                <w:color w:val="auto"/>
              </w:rPr>
            </w:pPr>
            <w:r>
              <w:rPr>
                <w:rFonts w:ascii="Arial" w:cs="Arial" w:eastAsia="Arial" w:hAnsi="Arial"/>
                <w:sz w:val="16"/>
                <w:szCs w:val="16"/>
                <w:color w:val="auto"/>
              </w:rPr>
              <w:t>—</w:t>
            </w:r>
          </w:p>
        </w:tc>
        <w:tc>
          <w:tcPr>
            <w:tcW w:w="220" w:type="dxa"/>
            <w:vAlign w:val="bottom"/>
            <w:shd w:val="clear" w:color="auto" w:fill="D4F1F5"/>
          </w:tcPr>
          <w:p>
            <w:pPr>
              <w:jc w:val="right"/>
              <w:spacing w:after="0"/>
              <w:rPr>
                <w:sz w:val="20"/>
                <w:szCs w:val="20"/>
                <w:color w:val="auto"/>
              </w:rPr>
            </w:pPr>
            <w:r>
              <w:rPr>
                <w:rFonts w:ascii="Arial" w:cs="Arial" w:eastAsia="Arial" w:hAnsi="Arial"/>
                <w:sz w:val="16"/>
                <w:szCs w:val="16"/>
                <w:color w:val="auto"/>
              </w:rPr>
              <w:t>$</w:t>
            </w:r>
          </w:p>
        </w:tc>
        <w:tc>
          <w:tcPr>
            <w:tcW w:w="900" w:type="dxa"/>
            <w:vAlign w:val="bottom"/>
            <w:shd w:val="clear" w:color="auto" w:fill="D4F1F5"/>
          </w:tcPr>
          <w:p>
            <w:pPr>
              <w:jc w:val="right"/>
              <w:spacing w:after="0"/>
              <w:rPr>
                <w:sz w:val="20"/>
                <w:szCs w:val="20"/>
                <w:color w:val="auto"/>
              </w:rPr>
            </w:pPr>
            <w:r>
              <w:rPr>
                <w:rFonts w:ascii="Arial" w:cs="Arial" w:eastAsia="Arial" w:hAnsi="Arial"/>
                <w:sz w:val="16"/>
                <w:szCs w:val="16"/>
                <w:color w:val="auto"/>
              </w:rPr>
              <w:t>2,539</w:t>
            </w:r>
          </w:p>
        </w:tc>
      </w:tr>
      <w:tr>
        <w:trPr>
          <w:trHeight w:val="215"/>
        </w:trPr>
        <w:tc>
          <w:tcPr>
            <w:tcW w:w="2200" w:type="dxa"/>
            <w:vAlign w:val="bottom"/>
          </w:tcPr>
          <w:p>
            <w:pPr>
              <w:ind w:left="20"/>
              <w:spacing w:after="0"/>
              <w:rPr>
                <w:sz w:val="20"/>
                <w:szCs w:val="20"/>
                <w:color w:val="auto"/>
              </w:rPr>
            </w:pPr>
            <w:r>
              <w:rPr>
                <w:rFonts w:ascii="Arial" w:cs="Arial" w:eastAsia="Arial" w:hAnsi="Arial"/>
                <w:sz w:val="16"/>
                <w:szCs w:val="16"/>
                <w:color w:val="auto"/>
              </w:rPr>
              <w:t>SDG&amp;E</w:t>
            </w:r>
          </w:p>
        </w:tc>
        <w:tc>
          <w:tcPr>
            <w:tcW w:w="3280" w:type="dxa"/>
            <w:vAlign w:val="bottom"/>
          </w:tcPr>
          <w:p>
            <w:pPr>
              <w:ind w:left="520"/>
              <w:spacing w:after="0"/>
              <w:rPr>
                <w:sz w:val="20"/>
                <w:szCs w:val="20"/>
                <w:color w:val="auto"/>
              </w:rPr>
            </w:pPr>
            <w:r>
              <w:rPr>
                <w:rFonts w:ascii="Arial" w:cs="Arial" w:eastAsia="Arial" w:hAnsi="Arial"/>
                <w:sz w:val="16"/>
                <w:szCs w:val="16"/>
                <w:color w:val="auto"/>
              </w:rPr>
              <w:t>October 2030</w:t>
            </w:r>
          </w:p>
        </w:tc>
        <w:tc>
          <w:tcPr>
            <w:tcW w:w="140" w:type="dxa"/>
            <w:vAlign w:val="bottom"/>
          </w:tcPr>
          <w:p>
            <w:pPr>
              <w:spacing w:after="0"/>
              <w:rPr>
                <w:sz w:val="18"/>
                <w:szCs w:val="18"/>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1,500</w:t>
            </w:r>
          </w:p>
        </w:tc>
        <w:tc>
          <w:tcPr>
            <w:tcW w:w="200" w:type="dxa"/>
            <w:vAlign w:val="bottom"/>
          </w:tcPr>
          <w:p>
            <w:pPr>
              <w:spacing w:after="0"/>
              <w:rPr>
                <w:sz w:val="18"/>
                <w:szCs w:val="18"/>
                <w:color w:val="auto"/>
              </w:rPr>
            </w:pPr>
          </w:p>
        </w:tc>
        <w:tc>
          <w:tcPr>
            <w:tcW w:w="1000" w:type="dxa"/>
            <w:vAlign w:val="bottom"/>
          </w:tcPr>
          <w:p>
            <w:pPr>
              <w:jc w:val="right"/>
              <w:ind w:right="41"/>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980" w:type="dxa"/>
            <w:vAlign w:val="bottom"/>
          </w:tcPr>
          <w:p>
            <w:pPr>
              <w:ind w:left="7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1,500</w:t>
            </w:r>
          </w:p>
        </w:tc>
      </w:tr>
      <w:tr>
        <w:trPr>
          <w:trHeight w:val="217"/>
        </w:trPr>
        <w:tc>
          <w:tcPr>
            <w:tcW w:w="2200" w:type="dxa"/>
            <w:vAlign w:val="bottom"/>
            <w:shd w:val="clear" w:color="auto" w:fill="D4F1F5"/>
          </w:tcPr>
          <w:p>
            <w:pPr>
              <w:ind w:left="20"/>
              <w:spacing w:after="0"/>
              <w:rPr>
                <w:sz w:val="20"/>
                <w:szCs w:val="20"/>
                <w:color w:val="auto"/>
              </w:rPr>
            </w:pPr>
            <w:r>
              <w:rPr>
                <w:rFonts w:ascii="Arial" w:cs="Arial" w:eastAsia="Arial" w:hAnsi="Arial"/>
                <w:sz w:val="16"/>
                <w:szCs w:val="16"/>
                <w:color w:val="auto"/>
              </w:rPr>
              <w:t>SoCalGas</w:t>
            </w:r>
          </w:p>
        </w:tc>
        <w:tc>
          <w:tcPr>
            <w:tcW w:w="3280" w:type="dxa"/>
            <w:vAlign w:val="bottom"/>
            <w:shd w:val="clear" w:color="auto" w:fill="D4F1F5"/>
          </w:tcPr>
          <w:p>
            <w:pPr>
              <w:ind w:left="520"/>
              <w:spacing w:after="0"/>
              <w:rPr>
                <w:sz w:val="20"/>
                <w:szCs w:val="20"/>
                <w:color w:val="auto"/>
              </w:rPr>
            </w:pPr>
            <w:r>
              <w:rPr>
                <w:rFonts w:ascii="Arial" w:cs="Arial" w:eastAsia="Arial" w:hAnsi="Arial"/>
                <w:sz w:val="16"/>
                <w:szCs w:val="16"/>
                <w:color w:val="auto"/>
              </w:rPr>
              <w:t>October 2030</w:t>
            </w:r>
          </w:p>
        </w:tc>
        <w:tc>
          <w:tcPr>
            <w:tcW w:w="140" w:type="dxa"/>
            <w:vAlign w:val="bottom"/>
            <w:shd w:val="clear" w:color="auto" w:fill="D4F1F5"/>
          </w:tcPr>
          <w:p>
            <w:pPr>
              <w:spacing w:after="0"/>
              <w:rPr>
                <w:sz w:val="18"/>
                <w:szCs w:val="18"/>
                <w:color w:val="auto"/>
              </w:rPr>
            </w:pPr>
          </w:p>
        </w:tc>
        <w:tc>
          <w:tcPr>
            <w:tcW w:w="960" w:type="dxa"/>
            <w:vAlign w:val="bottom"/>
            <w:shd w:val="clear" w:color="auto" w:fill="D4F1F5"/>
          </w:tcPr>
          <w:p>
            <w:pPr>
              <w:jc w:val="right"/>
              <w:ind w:right="20"/>
              <w:spacing w:after="0"/>
              <w:rPr>
                <w:sz w:val="20"/>
                <w:szCs w:val="20"/>
                <w:color w:val="auto"/>
              </w:rPr>
            </w:pPr>
            <w:r>
              <w:rPr>
                <w:rFonts w:ascii="Arial" w:cs="Arial" w:eastAsia="Arial" w:hAnsi="Arial"/>
                <w:sz w:val="16"/>
                <w:szCs w:val="16"/>
                <w:color w:val="auto"/>
              </w:rPr>
              <w:t>1,200</w:t>
            </w:r>
          </w:p>
        </w:tc>
        <w:tc>
          <w:tcPr>
            <w:tcW w:w="200" w:type="dxa"/>
            <w:vAlign w:val="bottom"/>
            <w:shd w:val="clear" w:color="auto" w:fill="D4F1F5"/>
          </w:tcPr>
          <w:p>
            <w:pPr>
              <w:spacing w:after="0"/>
              <w:rPr>
                <w:sz w:val="18"/>
                <w:szCs w:val="18"/>
                <w:color w:val="auto"/>
              </w:rPr>
            </w:pPr>
          </w:p>
        </w:tc>
        <w:tc>
          <w:tcPr>
            <w:tcW w:w="1000" w:type="dxa"/>
            <w:vAlign w:val="bottom"/>
            <w:shd w:val="clear" w:color="auto" w:fill="D4F1F5"/>
          </w:tcPr>
          <w:p>
            <w:pPr>
              <w:jc w:val="right"/>
              <w:ind w:right="1"/>
              <w:spacing w:after="0"/>
              <w:rPr>
                <w:sz w:val="20"/>
                <w:szCs w:val="20"/>
                <w:color w:val="auto"/>
              </w:rPr>
            </w:pPr>
            <w:r>
              <w:rPr>
                <w:rFonts w:ascii="Arial" w:cs="Arial" w:eastAsia="Arial" w:hAnsi="Arial"/>
                <w:sz w:val="16"/>
                <w:szCs w:val="16"/>
                <w:color w:val="auto"/>
              </w:rPr>
              <w:t>(99)</w:t>
            </w:r>
          </w:p>
        </w:tc>
        <w:tc>
          <w:tcPr>
            <w:tcW w:w="180" w:type="dxa"/>
            <w:vAlign w:val="bottom"/>
            <w:shd w:val="clear" w:color="auto" w:fill="D4F1F5"/>
          </w:tcPr>
          <w:p>
            <w:pPr>
              <w:spacing w:after="0"/>
              <w:rPr>
                <w:sz w:val="18"/>
                <w:szCs w:val="18"/>
                <w:color w:val="auto"/>
              </w:rPr>
            </w:pPr>
          </w:p>
        </w:tc>
        <w:tc>
          <w:tcPr>
            <w:tcW w:w="980" w:type="dxa"/>
            <w:vAlign w:val="bottom"/>
            <w:shd w:val="clear" w:color="auto" w:fill="D4F1F5"/>
          </w:tcPr>
          <w:p>
            <w:pPr>
              <w:ind w:left="720"/>
              <w:spacing w:after="0"/>
              <w:rPr>
                <w:sz w:val="20"/>
                <w:szCs w:val="20"/>
                <w:color w:val="auto"/>
              </w:rPr>
            </w:pPr>
            <w:r>
              <w:rPr>
                <w:rFonts w:ascii="Arial" w:cs="Arial" w:eastAsia="Arial" w:hAnsi="Arial"/>
                <w:sz w:val="16"/>
                <w:szCs w:val="16"/>
                <w:color w:val="auto"/>
              </w:rPr>
              <w:t>—</w:t>
            </w:r>
          </w:p>
        </w:tc>
        <w:tc>
          <w:tcPr>
            <w:tcW w:w="200" w:type="dxa"/>
            <w:vAlign w:val="bottom"/>
            <w:shd w:val="clear" w:color="auto" w:fill="D4F1F5"/>
          </w:tcPr>
          <w:p>
            <w:pPr>
              <w:spacing w:after="0"/>
              <w:rPr>
                <w:sz w:val="18"/>
                <w:szCs w:val="18"/>
                <w:color w:val="auto"/>
              </w:rPr>
            </w:pPr>
          </w:p>
        </w:tc>
        <w:tc>
          <w:tcPr>
            <w:tcW w:w="980" w:type="dxa"/>
            <w:vAlign w:val="bottom"/>
            <w:shd w:val="clear" w:color="auto" w:fill="D4F1F5"/>
          </w:tcPr>
          <w:p>
            <w:pPr>
              <w:jc w:val="right"/>
              <w:ind w:right="40"/>
              <w:spacing w:after="0"/>
              <w:rPr>
                <w:sz w:val="20"/>
                <w:szCs w:val="20"/>
                <w:color w:val="auto"/>
              </w:rPr>
            </w:pPr>
            <w:r>
              <w:rPr>
                <w:rFonts w:ascii="Arial" w:cs="Arial" w:eastAsia="Arial" w:hAnsi="Arial"/>
                <w:sz w:val="16"/>
                <w:szCs w:val="16"/>
                <w:color w:val="auto"/>
              </w:rPr>
              <w:t>—</w:t>
            </w:r>
          </w:p>
        </w:tc>
        <w:tc>
          <w:tcPr>
            <w:tcW w:w="220" w:type="dxa"/>
            <w:vAlign w:val="bottom"/>
            <w:shd w:val="clear" w:color="auto" w:fill="D4F1F5"/>
          </w:tcPr>
          <w:p>
            <w:pPr>
              <w:spacing w:after="0"/>
              <w:rPr>
                <w:sz w:val="18"/>
                <w:szCs w:val="18"/>
                <w:color w:val="auto"/>
              </w:rPr>
            </w:pPr>
          </w:p>
        </w:tc>
        <w:tc>
          <w:tcPr>
            <w:tcW w:w="900" w:type="dxa"/>
            <w:vAlign w:val="bottom"/>
            <w:shd w:val="clear" w:color="auto" w:fill="D4F1F5"/>
          </w:tcPr>
          <w:p>
            <w:pPr>
              <w:jc w:val="right"/>
              <w:spacing w:after="0"/>
              <w:rPr>
                <w:sz w:val="20"/>
                <w:szCs w:val="20"/>
                <w:color w:val="auto"/>
              </w:rPr>
            </w:pPr>
            <w:r>
              <w:rPr>
                <w:rFonts w:ascii="Arial" w:cs="Arial" w:eastAsia="Arial" w:hAnsi="Arial"/>
                <w:sz w:val="16"/>
                <w:szCs w:val="16"/>
                <w:color w:val="auto"/>
              </w:rPr>
              <w:t>1,101</w:t>
            </w:r>
          </w:p>
        </w:tc>
      </w:tr>
      <w:tr>
        <w:trPr>
          <w:trHeight w:val="215"/>
        </w:trPr>
        <w:tc>
          <w:tcPr>
            <w:tcW w:w="2200" w:type="dxa"/>
            <w:vAlign w:val="bottom"/>
          </w:tcPr>
          <w:p>
            <w:pPr>
              <w:ind w:left="20"/>
              <w:spacing w:after="0"/>
              <w:rPr>
                <w:sz w:val="20"/>
                <w:szCs w:val="20"/>
                <w:color w:val="auto"/>
              </w:rPr>
            </w:pPr>
            <w:r>
              <w:rPr>
                <w:rFonts w:ascii="Arial" w:cs="Arial" w:eastAsia="Arial" w:hAnsi="Arial"/>
                <w:sz w:val="16"/>
                <w:szCs w:val="16"/>
                <w:color w:val="auto"/>
              </w:rPr>
              <w:t>SI Partners and IEnova</w:t>
            </w:r>
          </w:p>
        </w:tc>
        <w:tc>
          <w:tcPr>
            <w:tcW w:w="3280" w:type="dxa"/>
            <w:vAlign w:val="bottom"/>
          </w:tcPr>
          <w:p>
            <w:pPr>
              <w:ind w:left="520"/>
              <w:spacing w:after="0"/>
              <w:rPr>
                <w:sz w:val="20"/>
                <w:szCs w:val="20"/>
                <w:color w:val="auto"/>
              </w:rPr>
            </w:pPr>
            <w:r>
              <w:rPr>
                <w:rFonts w:ascii="Arial" w:cs="Arial" w:eastAsia="Arial" w:hAnsi="Arial"/>
                <w:sz w:val="16"/>
                <w:szCs w:val="16"/>
                <w:color w:val="auto"/>
              </w:rPr>
              <w:t>September 2026</w:t>
            </w:r>
          </w:p>
        </w:tc>
        <w:tc>
          <w:tcPr>
            <w:tcW w:w="140" w:type="dxa"/>
            <w:vAlign w:val="bottom"/>
          </w:tcPr>
          <w:p>
            <w:pPr>
              <w:spacing w:after="0"/>
              <w:rPr>
                <w:sz w:val="18"/>
                <w:szCs w:val="18"/>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500</w:t>
            </w:r>
          </w:p>
        </w:tc>
        <w:tc>
          <w:tcPr>
            <w:tcW w:w="200" w:type="dxa"/>
            <w:vAlign w:val="bottom"/>
          </w:tcPr>
          <w:p>
            <w:pPr>
              <w:spacing w:after="0"/>
              <w:rPr>
                <w:sz w:val="18"/>
                <w:szCs w:val="18"/>
                <w:color w:val="auto"/>
              </w:rPr>
            </w:pPr>
          </w:p>
        </w:tc>
        <w:tc>
          <w:tcPr>
            <w:tcW w:w="1000" w:type="dxa"/>
            <w:vAlign w:val="bottom"/>
          </w:tcPr>
          <w:p>
            <w:pPr>
              <w:jc w:val="right"/>
              <w:ind w:right="41"/>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980" w:type="dxa"/>
            <w:vAlign w:val="bottom"/>
          </w:tcPr>
          <w:p>
            <w:pPr>
              <w:ind w:left="540"/>
              <w:spacing w:after="0"/>
              <w:rPr>
                <w:sz w:val="20"/>
                <w:szCs w:val="20"/>
                <w:color w:val="auto"/>
              </w:rPr>
            </w:pPr>
            <w:r>
              <w:rPr>
                <w:rFonts w:ascii="Arial" w:cs="Arial" w:eastAsia="Arial" w:hAnsi="Arial"/>
                <w:sz w:val="16"/>
                <w:szCs w:val="16"/>
                <w:color w:val="auto"/>
              </w:rPr>
              <w:t>(145)</w:t>
            </w:r>
          </w:p>
        </w:tc>
        <w:tc>
          <w:tcPr>
            <w:tcW w:w="200" w:type="dxa"/>
            <w:vAlign w:val="bottom"/>
          </w:tcPr>
          <w:p>
            <w:pPr>
              <w:spacing w:after="0"/>
              <w:rPr>
                <w:sz w:val="18"/>
                <w:szCs w:val="18"/>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355</w:t>
            </w:r>
          </w:p>
        </w:tc>
      </w:tr>
      <w:tr>
        <w:trPr>
          <w:trHeight w:val="217"/>
        </w:trPr>
        <w:tc>
          <w:tcPr>
            <w:tcW w:w="2200" w:type="dxa"/>
            <w:vAlign w:val="bottom"/>
            <w:shd w:val="clear" w:color="auto" w:fill="D4F1F5"/>
          </w:tcPr>
          <w:p>
            <w:pPr>
              <w:ind w:left="20"/>
              <w:spacing w:after="0"/>
              <w:rPr>
                <w:sz w:val="20"/>
                <w:szCs w:val="20"/>
                <w:color w:val="auto"/>
              </w:rPr>
            </w:pPr>
            <w:r>
              <w:rPr>
                <w:rFonts w:ascii="Arial" w:cs="Arial" w:eastAsia="Arial" w:hAnsi="Arial"/>
                <w:sz w:val="16"/>
                <w:szCs w:val="16"/>
                <w:color w:val="auto"/>
              </w:rPr>
              <w:t>SI Partners and IEnova</w:t>
            </w:r>
          </w:p>
        </w:tc>
        <w:tc>
          <w:tcPr>
            <w:tcW w:w="3280" w:type="dxa"/>
            <w:vAlign w:val="bottom"/>
            <w:shd w:val="clear" w:color="auto" w:fill="D4F1F5"/>
          </w:tcPr>
          <w:p>
            <w:pPr>
              <w:ind w:left="520"/>
              <w:spacing w:after="0"/>
              <w:rPr>
                <w:sz w:val="20"/>
                <w:szCs w:val="20"/>
                <w:color w:val="auto"/>
              </w:rPr>
            </w:pPr>
            <w:r>
              <w:rPr>
                <w:rFonts w:ascii="Arial" w:cs="Arial" w:eastAsia="Arial" w:hAnsi="Arial"/>
                <w:sz w:val="16"/>
                <w:szCs w:val="16"/>
                <w:color w:val="auto"/>
              </w:rPr>
              <w:t>August 2028</w:t>
            </w:r>
          </w:p>
        </w:tc>
        <w:tc>
          <w:tcPr>
            <w:tcW w:w="140" w:type="dxa"/>
            <w:vAlign w:val="bottom"/>
            <w:shd w:val="clear" w:color="auto" w:fill="D4F1F5"/>
          </w:tcPr>
          <w:p>
            <w:pPr>
              <w:spacing w:after="0"/>
              <w:rPr>
                <w:sz w:val="18"/>
                <w:szCs w:val="18"/>
                <w:color w:val="auto"/>
              </w:rPr>
            </w:pPr>
          </w:p>
        </w:tc>
        <w:tc>
          <w:tcPr>
            <w:tcW w:w="960" w:type="dxa"/>
            <w:vAlign w:val="bottom"/>
            <w:shd w:val="clear" w:color="auto" w:fill="D4F1F5"/>
          </w:tcPr>
          <w:p>
            <w:pPr>
              <w:jc w:val="right"/>
              <w:ind w:right="20"/>
              <w:spacing w:after="0"/>
              <w:rPr>
                <w:sz w:val="20"/>
                <w:szCs w:val="20"/>
                <w:color w:val="auto"/>
              </w:rPr>
            </w:pPr>
            <w:r>
              <w:rPr>
                <w:rFonts w:ascii="Arial" w:cs="Arial" w:eastAsia="Arial" w:hAnsi="Arial"/>
                <w:sz w:val="16"/>
                <w:szCs w:val="16"/>
                <w:color w:val="auto"/>
              </w:rPr>
              <w:t>1,500</w:t>
            </w:r>
          </w:p>
        </w:tc>
        <w:tc>
          <w:tcPr>
            <w:tcW w:w="200" w:type="dxa"/>
            <w:vAlign w:val="bottom"/>
            <w:shd w:val="clear" w:color="auto" w:fill="D4F1F5"/>
          </w:tcPr>
          <w:p>
            <w:pPr>
              <w:spacing w:after="0"/>
              <w:rPr>
                <w:sz w:val="18"/>
                <w:szCs w:val="18"/>
                <w:color w:val="auto"/>
              </w:rPr>
            </w:pPr>
          </w:p>
        </w:tc>
        <w:tc>
          <w:tcPr>
            <w:tcW w:w="1000" w:type="dxa"/>
            <w:vAlign w:val="bottom"/>
            <w:shd w:val="clear" w:color="auto" w:fill="D4F1F5"/>
          </w:tcPr>
          <w:p>
            <w:pPr>
              <w:jc w:val="right"/>
              <w:ind w:right="41"/>
              <w:spacing w:after="0"/>
              <w:rPr>
                <w:sz w:val="20"/>
                <w:szCs w:val="20"/>
                <w:color w:val="auto"/>
              </w:rPr>
            </w:pPr>
            <w:r>
              <w:rPr>
                <w:rFonts w:ascii="Arial" w:cs="Arial" w:eastAsia="Arial" w:hAnsi="Arial"/>
                <w:sz w:val="16"/>
                <w:szCs w:val="16"/>
                <w:color w:val="auto"/>
              </w:rPr>
              <w:t>—</w:t>
            </w:r>
          </w:p>
        </w:tc>
        <w:tc>
          <w:tcPr>
            <w:tcW w:w="180" w:type="dxa"/>
            <w:vAlign w:val="bottom"/>
            <w:shd w:val="clear" w:color="auto" w:fill="D4F1F5"/>
          </w:tcPr>
          <w:p>
            <w:pPr>
              <w:spacing w:after="0"/>
              <w:rPr>
                <w:sz w:val="18"/>
                <w:szCs w:val="18"/>
                <w:color w:val="auto"/>
              </w:rPr>
            </w:pPr>
          </w:p>
        </w:tc>
        <w:tc>
          <w:tcPr>
            <w:tcW w:w="980" w:type="dxa"/>
            <w:vAlign w:val="bottom"/>
            <w:shd w:val="clear" w:color="auto" w:fill="D4F1F5"/>
          </w:tcPr>
          <w:p>
            <w:pPr>
              <w:ind w:left="540"/>
              <w:spacing w:after="0"/>
              <w:rPr>
                <w:sz w:val="20"/>
                <w:szCs w:val="20"/>
                <w:color w:val="auto"/>
              </w:rPr>
            </w:pPr>
            <w:r>
              <w:rPr>
                <w:rFonts w:ascii="Arial" w:cs="Arial" w:eastAsia="Arial" w:hAnsi="Arial"/>
                <w:sz w:val="16"/>
                <w:szCs w:val="16"/>
                <w:color w:val="auto"/>
              </w:rPr>
              <w:t>(286)</w:t>
            </w:r>
          </w:p>
        </w:tc>
        <w:tc>
          <w:tcPr>
            <w:tcW w:w="200" w:type="dxa"/>
            <w:vAlign w:val="bottom"/>
            <w:shd w:val="clear" w:color="auto" w:fill="D4F1F5"/>
          </w:tcPr>
          <w:p>
            <w:pPr>
              <w:spacing w:after="0"/>
              <w:rPr>
                <w:sz w:val="18"/>
                <w:szCs w:val="18"/>
                <w:color w:val="auto"/>
              </w:rPr>
            </w:pPr>
          </w:p>
        </w:tc>
        <w:tc>
          <w:tcPr>
            <w:tcW w:w="980" w:type="dxa"/>
            <w:vAlign w:val="bottom"/>
            <w:shd w:val="clear" w:color="auto" w:fill="D4F1F5"/>
          </w:tcPr>
          <w:p>
            <w:pPr>
              <w:jc w:val="right"/>
              <w:ind w:right="40"/>
              <w:spacing w:after="0"/>
              <w:rPr>
                <w:sz w:val="20"/>
                <w:szCs w:val="20"/>
                <w:color w:val="auto"/>
              </w:rPr>
            </w:pPr>
            <w:r>
              <w:rPr>
                <w:rFonts w:ascii="Arial" w:cs="Arial" w:eastAsia="Arial" w:hAnsi="Arial"/>
                <w:sz w:val="16"/>
                <w:szCs w:val="16"/>
                <w:color w:val="auto"/>
              </w:rPr>
              <w:t>—</w:t>
            </w:r>
          </w:p>
        </w:tc>
        <w:tc>
          <w:tcPr>
            <w:tcW w:w="220" w:type="dxa"/>
            <w:vAlign w:val="bottom"/>
            <w:shd w:val="clear" w:color="auto" w:fill="D4F1F5"/>
          </w:tcPr>
          <w:p>
            <w:pPr>
              <w:spacing w:after="0"/>
              <w:rPr>
                <w:sz w:val="18"/>
                <w:szCs w:val="18"/>
                <w:color w:val="auto"/>
              </w:rPr>
            </w:pPr>
          </w:p>
        </w:tc>
        <w:tc>
          <w:tcPr>
            <w:tcW w:w="900" w:type="dxa"/>
            <w:vAlign w:val="bottom"/>
            <w:shd w:val="clear" w:color="auto" w:fill="D4F1F5"/>
          </w:tcPr>
          <w:p>
            <w:pPr>
              <w:jc w:val="right"/>
              <w:spacing w:after="0"/>
              <w:rPr>
                <w:sz w:val="20"/>
                <w:szCs w:val="20"/>
                <w:color w:val="auto"/>
              </w:rPr>
            </w:pPr>
            <w:r>
              <w:rPr>
                <w:rFonts w:ascii="Arial" w:cs="Arial" w:eastAsia="Arial" w:hAnsi="Arial"/>
                <w:sz w:val="16"/>
                <w:szCs w:val="16"/>
                <w:color w:val="auto"/>
              </w:rPr>
              <w:t>1,214</w:t>
            </w:r>
          </w:p>
        </w:tc>
      </w:tr>
      <w:tr>
        <w:trPr>
          <w:trHeight w:val="215"/>
        </w:trPr>
        <w:tc>
          <w:tcPr>
            <w:tcW w:w="2200" w:type="dxa"/>
            <w:vAlign w:val="bottom"/>
          </w:tcPr>
          <w:p>
            <w:pPr>
              <w:ind w:left="20"/>
              <w:spacing w:after="0"/>
              <w:rPr>
                <w:sz w:val="20"/>
                <w:szCs w:val="20"/>
                <w:color w:val="auto"/>
              </w:rPr>
            </w:pPr>
            <w:r>
              <w:rPr>
                <w:rFonts w:ascii="Arial" w:cs="Arial" w:eastAsia="Arial" w:hAnsi="Arial"/>
                <w:sz w:val="16"/>
                <w:szCs w:val="16"/>
                <w:color w:val="auto"/>
              </w:rPr>
              <w:t>SI Partners and IEnova</w:t>
            </w:r>
          </w:p>
        </w:tc>
        <w:tc>
          <w:tcPr>
            <w:tcW w:w="3280" w:type="dxa"/>
            <w:vAlign w:val="bottom"/>
          </w:tcPr>
          <w:p>
            <w:pPr>
              <w:ind w:left="520"/>
              <w:spacing w:after="0"/>
              <w:rPr>
                <w:sz w:val="20"/>
                <w:szCs w:val="20"/>
                <w:color w:val="auto"/>
              </w:rPr>
            </w:pPr>
            <w:r>
              <w:rPr>
                <w:rFonts w:ascii="Arial" w:cs="Arial" w:eastAsia="Arial" w:hAnsi="Arial"/>
                <w:sz w:val="16"/>
                <w:szCs w:val="16"/>
                <w:color w:val="auto"/>
              </w:rPr>
              <w:t>December 2028</w:t>
            </w:r>
          </w:p>
        </w:tc>
        <w:tc>
          <w:tcPr>
            <w:tcW w:w="140" w:type="dxa"/>
            <w:vAlign w:val="bottom"/>
          </w:tcPr>
          <w:p>
            <w:pPr>
              <w:spacing w:after="0"/>
              <w:rPr>
                <w:sz w:val="18"/>
                <w:szCs w:val="18"/>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1,000</w:t>
            </w:r>
          </w:p>
        </w:tc>
        <w:tc>
          <w:tcPr>
            <w:tcW w:w="200" w:type="dxa"/>
            <w:vAlign w:val="bottom"/>
          </w:tcPr>
          <w:p>
            <w:pPr>
              <w:spacing w:after="0"/>
              <w:rPr>
                <w:sz w:val="18"/>
                <w:szCs w:val="18"/>
                <w:color w:val="auto"/>
              </w:rPr>
            </w:pPr>
          </w:p>
        </w:tc>
        <w:tc>
          <w:tcPr>
            <w:tcW w:w="1000" w:type="dxa"/>
            <w:vAlign w:val="bottom"/>
          </w:tcPr>
          <w:p>
            <w:pPr>
              <w:jc w:val="right"/>
              <w:ind w:right="41"/>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980" w:type="dxa"/>
            <w:vAlign w:val="bottom"/>
          </w:tcPr>
          <w:p>
            <w:pPr>
              <w:ind w:left="7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1,000</w:t>
            </w:r>
          </w:p>
        </w:tc>
      </w:tr>
      <w:tr>
        <w:trPr>
          <w:trHeight w:val="217"/>
        </w:trPr>
        <w:tc>
          <w:tcPr>
            <w:tcW w:w="2200" w:type="dxa"/>
            <w:vAlign w:val="bottom"/>
            <w:shd w:val="clear" w:color="auto" w:fill="D4F1F5"/>
          </w:tcPr>
          <w:p>
            <w:pPr>
              <w:ind w:left="20"/>
              <w:spacing w:after="0"/>
              <w:rPr>
                <w:sz w:val="20"/>
                <w:szCs w:val="20"/>
                <w:color w:val="auto"/>
              </w:rPr>
            </w:pPr>
            <w:r>
              <w:rPr>
                <w:rFonts w:ascii="Arial" w:cs="Arial" w:eastAsia="Arial" w:hAnsi="Arial"/>
                <w:sz w:val="16"/>
                <w:szCs w:val="16"/>
                <w:color w:val="auto"/>
              </w:rPr>
              <w:t>Port Arthur LNG I</w:t>
            </w:r>
          </w:p>
        </w:tc>
        <w:tc>
          <w:tcPr>
            <w:tcW w:w="3280" w:type="dxa"/>
            <w:vAlign w:val="bottom"/>
            <w:shd w:val="clear" w:color="auto" w:fill="D4F1F5"/>
          </w:tcPr>
          <w:p>
            <w:pPr>
              <w:ind w:left="520"/>
              <w:spacing w:after="0"/>
              <w:rPr>
                <w:sz w:val="20"/>
                <w:szCs w:val="20"/>
                <w:color w:val="auto"/>
              </w:rPr>
            </w:pPr>
            <w:r>
              <w:rPr>
                <w:rFonts w:ascii="Arial" w:cs="Arial" w:eastAsia="Arial" w:hAnsi="Arial"/>
                <w:sz w:val="16"/>
                <w:szCs w:val="16"/>
                <w:color w:val="auto"/>
              </w:rPr>
              <w:t>March 2030</w:t>
            </w:r>
          </w:p>
        </w:tc>
        <w:tc>
          <w:tcPr>
            <w:tcW w:w="140" w:type="dxa"/>
            <w:vAlign w:val="bottom"/>
            <w:shd w:val="clear" w:color="auto" w:fill="D4F1F5"/>
          </w:tcPr>
          <w:p>
            <w:pPr>
              <w:spacing w:after="0"/>
              <w:rPr>
                <w:sz w:val="18"/>
                <w:szCs w:val="18"/>
                <w:color w:val="auto"/>
              </w:rPr>
            </w:pPr>
          </w:p>
        </w:tc>
        <w:tc>
          <w:tcPr>
            <w:tcW w:w="960" w:type="dxa"/>
            <w:vAlign w:val="bottom"/>
            <w:shd w:val="clear" w:color="auto" w:fill="D4F1F5"/>
          </w:tcPr>
          <w:p>
            <w:pPr>
              <w:jc w:val="right"/>
              <w:ind w:right="20"/>
              <w:spacing w:after="0"/>
              <w:rPr>
                <w:sz w:val="20"/>
                <w:szCs w:val="20"/>
                <w:color w:val="auto"/>
              </w:rPr>
            </w:pPr>
            <w:r>
              <w:rPr>
                <w:rFonts w:ascii="Arial" w:cs="Arial" w:eastAsia="Arial" w:hAnsi="Arial"/>
                <w:sz w:val="16"/>
                <w:szCs w:val="16"/>
                <w:color w:val="auto"/>
              </w:rPr>
              <w:t>200</w:t>
            </w:r>
          </w:p>
        </w:tc>
        <w:tc>
          <w:tcPr>
            <w:tcW w:w="200" w:type="dxa"/>
            <w:vAlign w:val="bottom"/>
            <w:shd w:val="clear" w:color="auto" w:fill="D4F1F5"/>
          </w:tcPr>
          <w:p>
            <w:pPr>
              <w:spacing w:after="0"/>
              <w:rPr>
                <w:sz w:val="18"/>
                <w:szCs w:val="18"/>
                <w:color w:val="auto"/>
              </w:rPr>
            </w:pPr>
          </w:p>
        </w:tc>
        <w:tc>
          <w:tcPr>
            <w:tcW w:w="1000" w:type="dxa"/>
            <w:vAlign w:val="bottom"/>
            <w:shd w:val="clear" w:color="auto" w:fill="D4F1F5"/>
          </w:tcPr>
          <w:p>
            <w:pPr>
              <w:jc w:val="right"/>
              <w:ind w:right="41"/>
              <w:spacing w:after="0"/>
              <w:rPr>
                <w:sz w:val="20"/>
                <w:szCs w:val="20"/>
                <w:color w:val="auto"/>
              </w:rPr>
            </w:pPr>
            <w:r>
              <w:rPr>
                <w:rFonts w:ascii="Arial" w:cs="Arial" w:eastAsia="Arial" w:hAnsi="Arial"/>
                <w:sz w:val="16"/>
                <w:szCs w:val="16"/>
                <w:color w:val="auto"/>
              </w:rPr>
              <w:t>—</w:t>
            </w:r>
          </w:p>
        </w:tc>
        <w:tc>
          <w:tcPr>
            <w:tcW w:w="180" w:type="dxa"/>
            <w:vAlign w:val="bottom"/>
            <w:shd w:val="clear" w:color="auto" w:fill="D4F1F5"/>
          </w:tcPr>
          <w:p>
            <w:pPr>
              <w:spacing w:after="0"/>
              <w:rPr>
                <w:sz w:val="18"/>
                <w:szCs w:val="18"/>
                <w:color w:val="auto"/>
              </w:rPr>
            </w:pPr>
          </w:p>
        </w:tc>
        <w:tc>
          <w:tcPr>
            <w:tcW w:w="980" w:type="dxa"/>
            <w:vAlign w:val="bottom"/>
            <w:shd w:val="clear" w:color="auto" w:fill="D4F1F5"/>
          </w:tcPr>
          <w:p>
            <w:pPr>
              <w:ind w:left="720"/>
              <w:spacing w:after="0"/>
              <w:rPr>
                <w:sz w:val="20"/>
                <w:szCs w:val="20"/>
                <w:color w:val="auto"/>
              </w:rPr>
            </w:pPr>
            <w:r>
              <w:rPr>
                <w:rFonts w:ascii="Arial" w:cs="Arial" w:eastAsia="Arial" w:hAnsi="Arial"/>
                <w:sz w:val="16"/>
                <w:szCs w:val="16"/>
                <w:color w:val="auto"/>
              </w:rPr>
              <w:t>—</w:t>
            </w:r>
          </w:p>
        </w:tc>
        <w:tc>
          <w:tcPr>
            <w:tcW w:w="200" w:type="dxa"/>
            <w:vAlign w:val="bottom"/>
            <w:shd w:val="clear" w:color="auto" w:fill="D4F1F5"/>
          </w:tcPr>
          <w:p>
            <w:pPr>
              <w:spacing w:after="0"/>
              <w:rPr>
                <w:sz w:val="18"/>
                <w:szCs w:val="18"/>
                <w:color w:val="auto"/>
              </w:rPr>
            </w:pPr>
          </w:p>
        </w:tc>
        <w:tc>
          <w:tcPr>
            <w:tcW w:w="980" w:type="dxa"/>
            <w:vAlign w:val="bottom"/>
            <w:shd w:val="clear" w:color="auto" w:fill="D4F1F5"/>
          </w:tcPr>
          <w:p>
            <w:pPr>
              <w:jc w:val="right"/>
              <w:spacing w:after="0"/>
              <w:rPr>
                <w:sz w:val="20"/>
                <w:szCs w:val="20"/>
                <w:color w:val="auto"/>
              </w:rPr>
            </w:pPr>
            <w:r>
              <w:rPr>
                <w:rFonts w:ascii="Arial" w:cs="Arial" w:eastAsia="Arial" w:hAnsi="Arial"/>
                <w:sz w:val="16"/>
                <w:szCs w:val="16"/>
                <w:color w:val="auto"/>
              </w:rPr>
              <w:t>(87)</w:t>
            </w:r>
          </w:p>
        </w:tc>
        <w:tc>
          <w:tcPr>
            <w:tcW w:w="220" w:type="dxa"/>
            <w:vAlign w:val="bottom"/>
            <w:shd w:val="clear" w:color="auto" w:fill="D4F1F5"/>
          </w:tcPr>
          <w:p>
            <w:pPr>
              <w:spacing w:after="0"/>
              <w:rPr>
                <w:sz w:val="18"/>
                <w:szCs w:val="18"/>
                <w:color w:val="auto"/>
              </w:rPr>
            </w:pPr>
          </w:p>
        </w:tc>
        <w:tc>
          <w:tcPr>
            <w:tcW w:w="900" w:type="dxa"/>
            <w:vAlign w:val="bottom"/>
            <w:shd w:val="clear" w:color="auto" w:fill="D4F1F5"/>
          </w:tcPr>
          <w:p>
            <w:pPr>
              <w:jc w:val="right"/>
              <w:spacing w:after="0"/>
              <w:rPr>
                <w:sz w:val="20"/>
                <w:szCs w:val="20"/>
                <w:color w:val="auto"/>
              </w:rPr>
            </w:pPr>
            <w:r>
              <w:rPr>
                <w:rFonts w:ascii="Arial" w:cs="Arial" w:eastAsia="Arial" w:hAnsi="Arial"/>
                <w:sz w:val="16"/>
                <w:szCs w:val="16"/>
                <w:color w:val="auto"/>
              </w:rPr>
              <w:t>113</w:t>
            </w:r>
          </w:p>
        </w:tc>
      </w:tr>
      <w:tr>
        <w:trPr>
          <w:trHeight w:val="215"/>
        </w:trPr>
        <w:tc>
          <w:tcPr>
            <w:tcW w:w="2200" w:type="dxa"/>
            <w:vAlign w:val="bottom"/>
            <w:tcBorders>
              <w:bottom w:val="single" w:sz="8" w:color="D4F1F5"/>
            </w:tcBorders>
          </w:tcPr>
          <w:p>
            <w:pPr>
              <w:ind w:left="20"/>
              <w:spacing w:after="0"/>
              <w:rPr>
                <w:sz w:val="20"/>
                <w:szCs w:val="20"/>
                <w:color w:val="auto"/>
              </w:rPr>
            </w:pPr>
            <w:r>
              <w:rPr>
                <w:rFonts w:ascii="Arial" w:cs="Arial" w:eastAsia="Arial" w:hAnsi="Arial"/>
                <w:sz w:val="16"/>
                <w:szCs w:val="16"/>
                <w:color w:val="auto"/>
              </w:rPr>
              <w:t>Port Arthur LNG II</w:t>
            </w:r>
          </w:p>
        </w:tc>
        <w:tc>
          <w:tcPr>
            <w:tcW w:w="3280" w:type="dxa"/>
            <w:vAlign w:val="bottom"/>
            <w:tcBorders>
              <w:bottom w:val="single" w:sz="8" w:color="D4F1F5"/>
            </w:tcBorders>
          </w:tcPr>
          <w:p>
            <w:pPr>
              <w:ind w:left="520"/>
              <w:spacing w:after="0"/>
              <w:rPr>
                <w:sz w:val="20"/>
                <w:szCs w:val="20"/>
                <w:color w:val="auto"/>
              </w:rPr>
            </w:pPr>
            <w:r>
              <w:rPr>
                <w:rFonts w:ascii="Arial" w:cs="Arial" w:eastAsia="Arial" w:hAnsi="Arial"/>
                <w:sz w:val="16"/>
                <w:szCs w:val="16"/>
                <w:color w:val="auto"/>
              </w:rPr>
              <w:t>September 2030</w:t>
            </w:r>
          </w:p>
        </w:tc>
        <w:tc>
          <w:tcPr>
            <w:tcW w:w="1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300</w:t>
            </w:r>
          </w:p>
        </w:tc>
        <w:tc>
          <w:tcPr>
            <w:tcW w:w="2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ind w:left="7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(176)</w:t>
            </w:r>
          </w:p>
        </w:tc>
        <w:tc>
          <w:tcPr>
            <w:tcW w:w="2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124</w:t>
            </w:r>
          </w:p>
        </w:tc>
      </w:tr>
      <w:tr>
        <w:trPr>
          <w:trHeight w:val="217"/>
        </w:trPr>
        <w:tc>
          <w:tcPr>
            <w:tcW w:w="2200" w:type="dxa"/>
            <w:vAlign w:val="bottom"/>
            <w:tcBorders>
              <w:bottom w:val="single" w:sz="8" w:color="auto"/>
            </w:tcBorders>
            <w:shd w:val="clear" w:color="auto" w:fill="D4F1F5"/>
          </w:tcPr>
          <w:p>
            <w:pPr>
              <w:ind w:left="140"/>
              <w:spacing w:after="0"/>
              <w:rPr>
                <w:sz w:val="20"/>
                <w:szCs w:val="20"/>
                <w:color w:val="auto"/>
              </w:rPr>
            </w:pPr>
            <w:r>
              <w:rPr>
                <w:rFonts w:ascii="Arial" w:cs="Arial" w:eastAsia="Arial" w:hAnsi="Arial"/>
                <w:sz w:val="16"/>
                <w:szCs w:val="16"/>
                <w:color w:val="auto"/>
              </w:rPr>
              <w:t>Total</w:t>
            </w:r>
          </w:p>
        </w:tc>
        <w:tc>
          <w:tcPr>
            <w:tcW w:w="3280" w:type="dxa"/>
            <w:vAlign w:val="bottom"/>
            <w:tcBorders>
              <w:bottom w:val="single" w:sz="8" w:color="auto"/>
            </w:tcBorders>
            <w:shd w:val="clear" w:color="auto" w:fill="D4F1F5"/>
          </w:tcPr>
          <w:p>
            <w:pPr>
              <w:spacing w:after="0"/>
              <w:rPr>
                <w:sz w:val="18"/>
                <w:szCs w:val="18"/>
                <w:color w:val="auto"/>
              </w:rPr>
            </w:pPr>
          </w:p>
        </w:tc>
        <w:tc>
          <w:tcPr>
            <w:tcW w:w="140" w:type="dxa"/>
            <w:vAlign w:val="bottom"/>
            <w:tcBorders>
              <w:bottom w:val="single" w:sz="8" w:color="auto"/>
            </w:tcBorders>
            <w:shd w:val="clear" w:color="auto" w:fill="D4F1F5"/>
          </w:tcPr>
          <w:p>
            <w:pPr>
              <w:jc w:val="right"/>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shd w:val="clear" w:color="auto" w:fill="D4F1F5"/>
          </w:tcPr>
          <w:p>
            <w:pPr>
              <w:jc w:val="right"/>
              <w:ind w:right="20"/>
              <w:spacing w:after="0"/>
              <w:rPr>
                <w:sz w:val="20"/>
                <w:szCs w:val="20"/>
                <w:color w:val="auto"/>
              </w:rPr>
            </w:pPr>
            <w:r>
              <w:rPr>
                <w:rFonts w:ascii="Arial" w:cs="Arial" w:eastAsia="Arial" w:hAnsi="Arial"/>
                <w:sz w:val="16"/>
                <w:szCs w:val="16"/>
                <w:color w:val="auto"/>
              </w:rPr>
              <w:t>10,200</w:t>
            </w:r>
          </w:p>
        </w:tc>
        <w:tc>
          <w:tcPr>
            <w:tcW w:w="200" w:type="dxa"/>
            <w:vAlign w:val="bottom"/>
            <w:tcBorders>
              <w:bottom w:val="single" w:sz="8" w:color="auto"/>
            </w:tcBorders>
            <w:shd w:val="clear" w:color="auto" w:fill="D4F1F5"/>
          </w:tcPr>
          <w:p>
            <w:pPr>
              <w:jc w:val="right"/>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shd w:val="clear" w:color="auto" w:fill="D4F1F5"/>
          </w:tcPr>
          <w:p>
            <w:pPr>
              <w:jc w:val="right"/>
              <w:ind w:right="1"/>
              <w:spacing w:after="0"/>
              <w:rPr>
                <w:sz w:val="20"/>
                <w:szCs w:val="20"/>
                <w:color w:val="auto"/>
              </w:rPr>
            </w:pPr>
            <w:r>
              <w:rPr>
                <w:rFonts w:ascii="Arial" w:cs="Arial" w:eastAsia="Arial" w:hAnsi="Arial"/>
                <w:sz w:val="16"/>
                <w:szCs w:val="16"/>
                <w:color w:val="auto"/>
              </w:rPr>
              <w:t>(1,560)</w:t>
            </w:r>
          </w:p>
        </w:tc>
        <w:tc>
          <w:tcPr>
            <w:tcW w:w="180" w:type="dxa"/>
            <w:vAlign w:val="bottom"/>
            <w:tcBorders>
              <w:bottom w:val="single" w:sz="8" w:color="auto"/>
            </w:tcBorders>
            <w:shd w:val="clear" w:color="auto" w:fill="D4F1F5"/>
          </w:tcPr>
          <w:p>
            <w:pPr>
              <w:ind w:left="60"/>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shd w:val="clear" w:color="auto" w:fill="D4F1F5"/>
          </w:tcPr>
          <w:p>
            <w:pPr>
              <w:ind w:left="540"/>
              <w:spacing w:after="0"/>
              <w:rPr>
                <w:sz w:val="20"/>
                <w:szCs w:val="20"/>
                <w:color w:val="auto"/>
              </w:rPr>
            </w:pPr>
            <w:r>
              <w:rPr>
                <w:rFonts w:ascii="Arial" w:cs="Arial" w:eastAsia="Arial" w:hAnsi="Arial"/>
                <w:sz w:val="16"/>
                <w:szCs w:val="16"/>
                <w:color w:val="auto"/>
              </w:rPr>
              <w:t>(431)</w:t>
            </w:r>
          </w:p>
        </w:tc>
        <w:tc>
          <w:tcPr>
            <w:tcW w:w="200" w:type="dxa"/>
            <w:vAlign w:val="bottom"/>
            <w:tcBorders>
              <w:bottom w:val="single" w:sz="8" w:color="auto"/>
            </w:tcBorders>
            <w:shd w:val="clear" w:color="auto" w:fill="D4F1F5"/>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shd w:val="clear" w:color="auto" w:fill="D4F1F5"/>
          </w:tcPr>
          <w:p>
            <w:pPr>
              <w:jc w:val="right"/>
              <w:spacing w:after="0"/>
              <w:rPr>
                <w:sz w:val="20"/>
                <w:szCs w:val="20"/>
                <w:color w:val="auto"/>
              </w:rPr>
            </w:pPr>
            <w:r>
              <w:rPr>
                <w:rFonts w:ascii="Arial" w:cs="Arial" w:eastAsia="Arial" w:hAnsi="Arial"/>
                <w:sz w:val="16"/>
                <w:szCs w:val="16"/>
                <w:color w:val="auto"/>
              </w:rPr>
              <w:t>(263)</w:t>
            </w:r>
          </w:p>
        </w:tc>
        <w:tc>
          <w:tcPr>
            <w:tcW w:w="220" w:type="dxa"/>
            <w:vAlign w:val="bottom"/>
            <w:tcBorders>
              <w:bottom w:val="single" w:sz="8" w:color="auto"/>
            </w:tcBorders>
            <w:shd w:val="clear" w:color="auto" w:fill="D4F1F5"/>
          </w:tcPr>
          <w:p>
            <w:pPr>
              <w:jc w:val="right"/>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shd w:val="clear" w:color="auto" w:fill="D4F1F5"/>
          </w:tcPr>
          <w:p>
            <w:pPr>
              <w:jc w:val="right"/>
              <w:spacing w:after="0"/>
              <w:rPr>
                <w:sz w:val="20"/>
                <w:szCs w:val="20"/>
                <w:color w:val="auto"/>
              </w:rPr>
            </w:pPr>
            <w:r>
              <w:rPr>
                <w:rFonts w:ascii="Arial" w:cs="Arial" w:eastAsia="Arial" w:hAnsi="Arial"/>
                <w:sz w:val="16"/>
                <w:szCs w:val="16"/>
                <w:color w:val="auto"/>
              </w:rPr>
              <w:t>7,946</w:t>
            </w:r>
          </w:p>
        </w:tc>
      </w:tr>
    </w:tbl>
    <w:p>
      <w:pPr>
        <w:spacing w:after="0" w:line="238"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Sempra, SDG&amp;E and SoCalGas each must maintain a ratio of indebtedness to total capitalization (as defined in each of the applicable credit facilities) of no more than 65% at the end of each quarter. At March 31, 2026, each Registrant was in compliance with this ratio under its respective credit facility.</w:t>
      </w:r>
    </w:p>
    <w:p>
      <w:pPr>
        <w:spacing w:after="0" w:line="67" w:lineRule="exact"/>
        <w:rPr>
          <w:sz w:val="20"/>
          <w:szCs w:val="20"/>
          <w:color w:val="auto"/>
        </w:rPr>
      </w:pPr>
    </w:p>
    <w:p>
      <w:pPr>
        <w:ind w:right="160"/>
        <w:spacing w:after="0" w:line="274" w:lineRule="auto"/>
        <w:rPr>
          <w:sz w:val="20"/>
          <w:szCs w:val="20"/>
          <w:color w:val="auto"/>
        </w:rPr>
      </w:pPr>
      <w:r>
        <w:rPr>
          <w:rFonts w:ascii="Times New Roman" w:cs="Times New Roman" w:eastAsia="Times New Roman" w:hAnsi="Times New Roman"/>
          <w:sz w:val="18"/>
          <w:szCs w:val="18"/>
          <w:color w:val="auto"/>
        </w:rPr>
        <w:t>The three lines of credit that are shared by SI Partners and its subsidiary, IEnova, require that SI Partners maintain a ratio of consolidated adjusted net indebtedness to consolidated earnings before interest, taxes, depreciation and amortization (as defined in each credit facility) of no more than 5.25 to 1.00 at the end of each quarter. At March 31, 2026, SI Partners was in compliance with this ratio.</w:t>
      </w:r>
    </w:p>
    <w:p>
      <w:pPr>
        <w:spacing w:after="0" w:line="74" w:lineRule="exact"/>
        <w:rPr>
          <w:sz w:val="20"/>
          <w:szCs w:val="20"/>
          <w:color w:val="auto"/>
        </w:rPr>
      </w:pPr>
    </w:p>
    <w:p>
      <w:pPr>
        <w:ind w:right="280"/>
        <w:spacing w:after="0" w:line="274" w:lineRule="auto"/>
        <w:rPr>
          <w:sz w:val="20"/>
          <w:szCs w:val="20"/>
          <w:color w:val="auto"/>
        </w:rPr>
      </w:pPr>
      <w:r>
        <w:rPr>
          <w:rFonts w:ascii="Times New Roman" w:cs="Times New Roman" w:eastAsia="Times New Roman" w:hAnsi="Times New Roman"/>
          <w:sz w:val="18"/>
          <w:szCs w:val="18"/>
          <w:color w:val="auto"/>
        </w:rPr>
        <w:t>Additionally, the three lines of credit that are shared by SI Partners and IEnova and the Port Arthur LNG I and Port Arthur LNG II credit facilities are included in the disposal group that is classified as held for sale that we discuss in Note 6 but remain legally accessible and a source of available credit to Sempra Infrastructure until the planned sale of a portion of our equity interest in SI Partners closes.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Uncommitted Line of Credit</w:t>
      </w:r>
    </w:p>
    <w:p>
      <w:pPr>
        <w:spacing w:after="0" w:line="49"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ECA LNG Phase 1, which is included in the disposal group that is classified as held for sale, has an uncommitted line of credit with an aggregate capacity of $100 million that expires in August 2026. Borrowings are generally used for working capital requirements and can be in U.S. dollars or Mexican pesos. At March 31, 2026, ECA LNG Phase 1 has outstanding borrowings of $13 million, before reductions of any unamortized discounts, in Mexican pesos that bear interest at a variable rate based on the 28-day Interbank Equilibrium Interest Rate plus 154 bps. Borrowings made in U.S. dollars bear interest at a variable rate based on the one-month or three-month SOFR plus 164 bps and a credit adjustment spread of 10 bps.</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150495</wp:posOffset>
            </wp:positionV>
            <wp:extent cx="71577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Uncommitted Letters of Credit</w:t>
      </w:r>
    </w:p>
    <w:p>
      <w:pPr>
        <w:spacing w:after="0" w:line="49" w:lineRule="exact"/>
        <w:rPr>
          <w:sz w:val="20"/>
          <w:szCs w:val="20"/>
          <w:color w:val="auto"/>
        </w:rPr>
      </w:pPr>
    </w:p>
    <w:p>
      <w:pPr>
        <w:jc w:val="both"/>
        <w:ind w:right="580"/>
        <w:spacing w:after="0" w:line="329" w:lineRule="auto"/>
        <w:rPr>
          <w:sz w:val="20"/>
          <w:szCs w:val="20"/>
          <w:color w:val="auto"/>
        </w:rPr>
      </w:pPr>
      <w:r>
        <w:rPr>
          <w:rFonts w:ascii="Times New Roman" w:cs="Times New Roman" w:eastAsia="Times New Roman" w:hAnsi="Times New Roman"/>
          <w:sz w:val="17"/>
          <w:szCs w:val="17"/>
          <w:color w:val="auto"/>
        </w:rPr>
        <w:t>Outside of our domestic and foreign credit facilities, we have unsecured standby letter of credit capacity with select lenders that is uncommitted and supported by reimbursement agreements. At March 31, 2026, we have $202 million in standby letters of credit outstanding under these agreements.</w:t>
      </w:r>
    </w:p>
    <w:p>
      <w:pPr>
        <w:spacing w:after="0" w:line="62"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FFFFFF"/>
        </w:rPr>
        <w:t>UNCOMMITTED LETTERS OF CREDIT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-115570</wp:posOffset>
            </wp:positionV>
            <wp:extent cx="7132320" cy="26543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32320" cy="265430"/>
                    </a:xfrm>
                    <a:prstGeom prst="rect">
                      <a:avLst/>
                    </a:prstGeom>
                    <a:noFill/>
                  </pic:spPr>
                </pic:pic>
              </a:graphicData>
            </a:graphic>
          </wp:anchor>
        </w:drawing>
      </w:r>
    </w:p>
    <w:p>
      <w:pPr>
        <w:spacing w:after="0" w:line="19" w:lineRule="exact"/>
        <w:rPr>
          <w:sz w:val="20"/>
          <w:szCs w:val="20"/>
          <w:color w:val="auto"/>
        </w:rPr>
      </w:pPr>
    </w:p>
    <w:p>
      <w:pPr>
        <w:ind w:left="20"/>
        <w:spacing w:after="0"/>
        <w:rPr>
          <w:sz w:val="20"/>
          <w:szCs w:val="20"/>
          <w:color w:val="auto"/>
        </w:rPr>
      </w:pPr>
      <w:r>
        <w:rPr>
          <w:rFonts w:ascii="Arial" w:cs="Arial" w:eastAsia="Arial" w:hAnsi="Arial"/>
          <w:sz w:val="14"/>
          <w:szCs w:val="14"/>
          <w:i w:val="1"/>
          <w:iCs w:val="1"/>
          <w:color w:val="FFFFFF"/>
        </w:rPr>
        <w:t>(Dollars in millions)</w:t>
      </w:r>
    </w:p>
    <w:p>
      <w:pPr>
        <w:spacing w:after="0" w:line="53"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2800" w:type="dxa"/>
            <w:vAlign w:val="bottom"/>
            <w:tcBorders>
              <w:bottom w:val="single" w:sz="8" w:color="auto"/>
            </w:tcBorders>
          </w:tcPr>
          <w:p>
            <w:pPr>
              <w:spacing w:after="0"/>
              <w:rPr>
                <w:sz w:val="16"/>
                <w:szCs w:val="16"/>
                <w:color w:val="auto"/>
              </w:rPr>
            </w:pPr>
          </w:p>
        </w:tc>
        <w:tc>
          <w:tcPr>
            <w:tcW w:w="6580" w:type="dxa"/>
            <w:vAlign w:val="bottom"/>
            <w:tcBorders>
              <w:bottom w:val="single" w:sz="8" w:color="auto"/>
            </w:tcBorders>
          </w:tcPr>
          <w:p>
            <w:pPr>
              <w:ind w:left="1620"/>
              <w:spacing w:after="0"/>
              <w:rPr>
                <w:sz w:val="20"/>
                <w:szCs w:val="20"/>
                <w:color w:val="auto"/>
              </w:rPr>
            </w:pPr>
            <w:r>
              <w:rPr>
                <w:rFonts w:ascii="Arial" w:cs="Arial" w:eastAsia="Arial" w:hAnsi="Arial"/>
                <w:sz w:val="14"/>
                <w:szCs w:val="14"/>
                <w:color w:val="auto"/>
              </w:rPr>
              <w:t>Expiration date range</w:t>
            </w:r>
          </w:p>
        </w:tc>
        <w:tc>
          <w:tcPr>
            <w:tcW w:w="26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tcPr>
          <w:p>
            <w:pPr>
              <w:jc w:val="right"/>
              <w:ind w:right="361"/>
              <w:spacing w:after="0"/>
              <w:rPr>
                <w:sz w:val="20"/>
                <w:szCs w:val="20"/>
                <w:color w:val="auto"/>
              </w:rPr>
            </w:pPr>
            <w:r>
              <w:rPr>
                <w:rFonts w:ascii="Arial" w:cs="Arial" w:eastAsia="Arial" w:hAnsi="Arial"/>
                <w:sz w:val="14"/>
                <w:szCs w:val="14"/>
                <w:color w:val="auto"/>
              </w:rPr>
              <w:t>March 31, 2026</w:t>
            </w:r>
          </w:p>
        </w:tc>
      </w:tr>
      <w:tr>
        <w:trPr>
          <w:trHeight w:val="213"/>
        </w:trPr>
        <w:tc>
          <w:tcPr>
            <w:tcW w:w="2800" w:type="dxa"/>
            <w:vAlign w:val="bottom"/>
            <w:shd w:val="clear" w:color="auto" w:fill="D4F1F5"/>
          </w:tcPr>
          <w:p>
            <w:pPr>
              <w:ind w:left="20"/>
              <w:spacing w:after="0"/>
              <w:rPr>
                <w:sz w:val="20"/>
                <w:szCs w:val="20"/>
                <w:color w:val="auto"/>
              </w:rPr>
            </w:pPr>
            <w:r>
              <w:rPr>
                <w:rFonts w:ascii="Arial" w:cs="Arial" w:eastAsia="Arial" w:hAnsi="Arial"/>
                <w:sz w:val="16"/>
                <w:szCs w:val="16"/>
                <w:color w:val="auto"/>
              </w:rPr>
              <w:t>SDG&amp;E</w:t>
            </w:r>
          </w:p>
        </w:tc>
        <w:tc>
          <w:tcPr>
            <w:tcW w:w="6580" w:type="dxa"/>
            <w:vAlign w:val="bottom"/>
            <w:shd w:val="clear" w:color="auto" w:fill="D4F1F5"/>
          </w:tcPr>
          <w:p>
            <w:pPr>
              <w:ind w:left="1620"/>
              <w:spacing w:after="0"/>
              <w:rPr>
                <w:sz w:val="20"/>
                <w:szCs w:val="20"/>
                <w:color w:val="auto"/>
              </w:rPr>
            </w:pPr>
            <w:r>
              <w:rPr>
                <w:rFonts w:ascii="Arial" w:cs="Arial" w:eastAsia="Arial" w:hAnsi="Arial"/>
                <w:sz w:val="16"/>
                <w:szCs w:val="16"/>
                <w:color w:val="auto"/>
              </w:rPr>
              <w:t>May 2026 - January 2027</w:t>
            </w:r>
          </w:p>
        </w:tc>
        <w:tc>
          <w:tcPr>
            <w:tcW w:w="260" w:type="dxa"/>
            <w:vAlign w:val="bottom"/>
            <w:shd w:val="clear" w:color="auto" w:fill="D4F1F5"/>
          </w:tcPr>
          <w:p>
            <w:pPr>
              <w:jc w:val="right"/>
              <w:ind w:right="79"/>
              <w:spacing w:after="0"/>
              <w:rPr>
                <w:sz w:val="20"/>
                <w:szCs w:val="20"/>
                <w:color w:val="auto"/>
              </w:rPr>
            </w:pPr>
            <w:r>
              <w:rPr>
                <w:rFonts w:ascii="Arial" w:cs="Arial" w:eastAsia="Arial" w:hAnsi="Arial"/>
                <w:sz w:val="16"/>
                <w:szCs w:val="16"/>
                <w:color w:val="auto"/>
                <w:w w:val="89"/>
              </w:rPr>
              <w:t>$</w:t>
            </w:r>
          </w:p>
        </w:tc>
        <w:tc>
          <w:tcPr>
            <w:tcW w:w="1600" w:type="dxa"/>
            <w:vAlign w:val="bottom"/>
            <w:shd w:val="clear" w:color="auto" w:fill="D4F1F5"/>
          </w:tcPr>
          <w:p>
            <w:pPr>
              <w:jc w:val="right"/>
              <w:ind w:right="1"/>
              <w:spacing w:after="0"/>
              <w:rPr>
                <w:sz w:val="20"/>
                <w:szCs w:val="20"/>
                <w:color w:val="auto"/>
              </w:rPr>
            </w:pPr>
            <w:r>
              <w:rPr>
                <w:rFonts w:ascii="Arial" w:cs="Arial" w:eastAsia="Arial" w:hAnsi="Arial"/>
                <w:sz w:val="16"/>
                <w:szCs w:val="16"/>
                <w:color w:val="auto"/>
              </w:rPr>
              <w:t>21</w:t>
            </w:r>
          </w:p>
        </w:tc>
      </w:tr>
      <w:tr>
        <w:trPr>
          <w:trHeight w:val="215"/>
        </w:trPr>
        <w:tc>
          <w:tcPr>
            <w:tcW w:w="2800" w:type="dxa"/>
            <w:vAlign w:val="bottom"/>
          </w:tcPr>
          <w:p>
            <w:pPr>
              <w:ind w:left="20"/>
              <w:spacing w:after="0"/>
              <w:rPr>
                <w:sz w:val="20"/>
                <w:szCs w:val="20"/>
                <w:color w:val="auto"/>
              </w:rPr>
            </w:pPr>
            <w:r>
              <w:rPr>
                <w:rFonts w:ascii="Arial" w:cs="Arial" w:eastAsia="Arial" w:hAnsi="Arial"/>
                <w:sz w:val="16"/>
                <w:szCs w:val="16"/>
                <w:color w:val="auto"/>
              </w:rPr>
              <w:t>SoCalGas</w:t>
            </w:r>
          </w:p>
        </w:tc>
        <w:tc>
          <w:tcPr>
            <w:tcW w:w="6580" w:type="dxa"/>
            <w:vAlign w:val="bottom"/>
          </w:tcPr>
          <w:p>
            <w:pPr>
              <w:ind w:left="1620"/>
              <w:spacing w:after="0"/>
              <w:rPr>
                <w:sz w:val="20"/>
                <w:szCs w:val="20"/>
                <w:color w:val="auto"/>
              </w:rPr>
            </w:pPr>
            <w:r>
              <w:rPr>
                <w:rFonts w:ascii="Arial" w:cs="Arial" w:eastAsia="Arial" w:hAnsi="Arial"/>
                <w:sz w:val="16"/>
                <w:szCs w:val="16"/>
                <w:color w:val="auto"/>
              </w:rPr>
              <w:t>June 2026 - March 2027</w:t>
            </w:r>
          </w:p>
        </w:tc>
        <w:tc>
          <w:tcPr>
            <w:tcW w:w="260" w:type="dxa"/>
            <w:vAlign w:val="bottom"/>
          </w:tcPr>
          <w:p>
            <w:pPr>
              <w:spacing w:after="0"/>
              <w:rPr>
                <w:sz w:val="18"/>
                <w:szCs w:val="18"/>
                <w:color w:val="auto"/>
              </w:rPr>
            </w:pPr>
          </w:p>
        </w:tc>
        <w:tc>
          <w:tcPr>
            <w:tcW w:w="1600" w:type="dxa"/>
            <w:vAlign w:val="bottom"/>
          </w:tcPr>
          <w:p>
            <w:pPr>
              <w:jc w:val="right"/>
              <w:ind w:right="1"/>
              <w:spacing w:after="0"/>
              <w:rPr>
                <w:sz w:val="20"/>
                <w:szCs w:val="20"/>
                <w:color w:val="auto"/>
              </w:rPr>
            </w:pPr>
            <w:r>
              <w:rPr>
                <w:rFonts w:ascii="Arial" w:cs="Arial" w:eastAsia="Arial" w:hAnsi="Arial"/>
                <w:sz w:val="16"/>
                <w:szCs w:val="16"/>
                <w:color w:val="auto"/>
              </w:rPr>
              <w:t>15</w:t>
            </w:r>
          </w:p>
        </w:tc>
      </w:tr>
      <w:tr>
        <w:trPr>
          <w:trHeight w:val="217"/>
        </w:trPr>
        <w:tc>
          <w:tcPr>
            <w:tcW w:w="2800" w:type="dxa"/>
            <w:vAlign w:val="bottom"/>
            <w:shd w:val="clear" w:color="auto" w:fill="D4F1F5"/>
          </w:tcPr>
          <w:p>
            <w:pPr>
              <w:ind w:left="20"/>
              <w:spacing w:after="0" w:line="217" w:lineRule="exact"/>
              <w:rPr>
                <w:sz w:val="20"/>
                <w:szCs w:val="20"/>
                <w:color w:val="auto"/>
              </w:rPr>
            </w:pPr>
            <w:r>
              <w:rPr>
                <w:rFonts w:ascii="Arial" w:cs="Arial" w:eastAsia="Arial" w:hAnsi="Arial"/>
                <w:sz w:val="16"/>
                <w:szCs w:val="16"/>
                <w:color w:val="auto"/>
              </w:rPr>
              <w:t>Other Sempra</w:t>
            </w:r>
            <w:r>
              <w:rPr>
                <w:rFonts w:ascii="Arial" w:cs="Arial" w:eastAsia="Arial" w:hAnsi="Arial"/>
                <w:sz w:val="21"/>
                <w:szCs w:val="21"/>
                <w:color w:val="auto"/>
                <w:vertAlign w:val="superscript"/>
              </w:rPr>
              <w:t>(1)</w:t>
            </w:r>
          </w:p>
        </w:tc>
        <w:tc>
          <w:tcPr>
            <w:tcW w:w="6580" w:type="dxa"/>
            <w:vAlign w:val="bottom"/>
            <w:shd w:val="clear" w:color="auto" w:fill="D4F1F5"/>
          </w:tcPr>
          <w:p>
            <w:pPr>
              <w:ind w:left="1620"/>
              <w:spacing w:after="0"/>
              <w:rPr>
                <w:sz w:val="20"/>
                <w:szCs w:val="20"/>
                <w:color w:val="auto"/>
              </w:rPr>
            </w:pPr>
            <w:r>
              <w:rPr>
                <w:rFonts w:ascii="Arial" w:cs="Arial" w:eastAsia="Arial" w:hAnsi="Arial"/>
                <w:sz w:val="16"/>
                <w:szCs w:val="16"/>
                <w:color w:val="auto"/>
              </w:rPr>
              <w:t>June 2026 - March 2027</w:t>
            </w:r>
          </w:p>
        </w:tc>
        <w:tc>
          <w:tcPr>
            <w:tcW w:w="260" w:type="dxa"/>
            <w:vAlign w:val="bottom"/>
            <w:tcBorders>
              <w:bottom w:val="single" w:sz="8" w:color="auto"/>
            </w:tcBorders>
            <w:shd w:val="clear" w:color="auto" w:fill="D4F1F5"/>
          </w:tcPr>
          <w:p>
            <w:pPr>
              <w:spacing w:after="0"/>
              <w:rPr>
                <w:sz w:val="18"/>
                <w:szCs w:val="18"/>
                <w:color w:val="auto"/>
              </w:rPr>
            </w:pPr>
          </w:p>
        </w:tc>
        <w:tc>
          <w:tcPr>
            <w:tcW w:w="1600" w:type="dxa"/>
            <w:vAlign w:val="bottom"/>
            <w:tcBorders>
              <w:bottom w:val="single" w:sz="8" w:color="auto"/>
            </w:tcBorders>
            <w:shd w:val="clear" w:color="auto" w:fill="D4F1F5"/>
          </w:tcPr>
          <w:p>
            <w:pPr>
              <w:jc w:val="right"/>
              <w:ind w:right="1"/>
              <w:spacing w:after="0"/>
              <w:rPr>
                <w:sz w:val="20"/>
                <w:szCs w:val="20"/>
                <w:color w:val="auto"/>
              </w:rPr>
            </w:pPr>
            <w:r>
              <w:rPr>
                <w:rFonts w:ascii="Arial" w:cs="Arial" w:eastAsia="Arial" w:hAnsi="Arial"/>
                <w:sz w:val="16"/>
                <w:szCs w:val="16"/>
                <w:color w:val="auto"/>
              </w:rPr>
              <w:t>166</w:t>
            </w:r>
          </w:p>
        </w:tc>
      </w:tr>
      <w:tr>
        <w:trPr>
          <w:trHeight w:val="217"/>
        </w:trPr>
        <w:tc>
          <w:tcPr>
            <w:tcW w:w="2800" w:type="dxa"/>
            <w:vAlign w:val="bottom"/>
            <w:tcBorders>
              <w:bottom w:val="single" w:sz="8" w:color="auto"/>
            </w:tcBorders>
          </w:tcPr>
          <w:p>
            <w:pPr>
              <w:ind w:left="180"/>
              <w:spacing w:after="0"/>
              <w:rPr>
                <w:sz w:val="20"/>
                <w:szCs w:val="20"/>
                <w:color w:val="auto"/>
              </w:rPr>
            </w:pPr>
            <w:r>
              <w:rPr>
                <w:rFonts w:ascii="Arial" w:cs="Arial" w:eastAsia="Arial" w:hAnsi="Arial"/>
                <w:sz w:val="16"/>
                <w:szCs w:val="16"/>
                <w:color w:val="auto"/>
              </w:rPr>
              <w:t>Total Sempra</w:t>
            </w:r>
          </w:p>
        </w:tc>
        <w:tc>
          <w:tcPr>
            <w:tcW w:w="658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160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202</w:t>
            </w:r>
          </w:p>
        </w:tc>
      </w:tr>
    </w:tbl>
    <w:p>
      <w:pPr>
        <w:spacing w:after="0" w:line="141" w:lineRule="exact"/>
        <w:rPr>
          <w:sz w:val="20"/>
          <w:szCs w:val="20"/>
          <w:color w:val="auto"/>
        </w:rPr>
      </w:pPr>
    </w:p>
    <w:p>
      <w:pPr>
        <w:ind w:left="340" w:right="520" w:hanging="332"/>
        <w:spacing w:after="0" w:line="216" w:lineRule="auto"/>
        <w:tabs>
          <w:tab w:leader="none" w:pos="344" w:val="left"/>
        </w:tabs>
        <w:numPr>
          <w:ilvl w:val="0"/>
          <w:numId w:val="21"/>
        </w:numPr>
        <w:rPr>
          <w:rFonts w:ascii="Arial" w:cs="Arial" w:eastAsia="Arial" w:hAnsi="Arial"/>
          <w:sz w:val="21"/>
          <w:szCs w:val="21"/>
          <w:i w:val="1"/>
          <w:iCs w:val="1"/>
          <w:color w:val="auto"/>
          <w:vertAlign w:val="superscript"/>
        </w:rPr>
      </w:pPr>
      <w:r>
        <w:rPr>
          <w:rFonts w:ascii="Arial" w:cs="Arial" w:eastAsia="Arial" w:hAnsi="Arial"/>
          <w:sz w:val="14"/>
          <w:szCs w:val="14"/>
          <w:i w:val="1"/>
          <w:iCs w:val="1"/>
          <w:color w:val="auto"/>
        </w:rPr>
        <w:t>Excludes $1,796 in unsecured standby letters of credit with expiration dates ranging from April 2026 - November 2054 that are included in the disposal group that is classified as held for sale.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Weighted-Average Interest Rates</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weighted-average interest rates on all short-term debt are as follows:</w:t>
      </w:r>
    </w:p>
    <w:p>
      <w:pPr>
        <w:spacing w:after="0" w:line="162"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FFFFFF"/>
        </w:rPr>
        <w:t>WEIGHTED-AVERAGE INTEREST RATES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-115570</wp:posOffset>
            </wp:positionV>
            <wp:extent cx="7132320" cy="27432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32320" cy="274320"/>
                    </a:xfrm>
                    <a:prstGeom prst="rect">
                      <a:avLst/>
                    </a:prstGeom>
                    <a:noFill/>
                  </pic:spPr>
                </pic:pic>
              </a:graphicData>
            </a:graphic>
          </wp:anchor>
        </w:drawing>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4240" w:type="dxa"/>
            <w:vAlign w:val="bottom"/>
            <w:tcBorders>
              <w:bottom w:val="single" w:sz="8" w:color="auto"/>
            </w:tcBorders>
          </w:tcPr>
          <w:p>
            <w:pPr>
              <w:spacing w:after="0"/>
              <w:rPr>
                <w:sz w:val="16"/>
                <w:szCs w:val="16"/>
                <w:color w:val="auto"/>
              </w:rPr>
            </w:pPr>
          </w:p>
        </w:tc>
        <w:tc>
          <w:tcPr>
            <w:tcW w:w="5160" w:type="dxa"/>
            <w:vAlign w:val="bottom"/>
            <w:tcBorders>
              <w:bottom w:val="single" w:sz="8" w:color="auto"/>
            </w:tcBorders>
          </w:tcPr>
          <w:p>
            <w:pPr>
              <w:jc w:val="right"/>
              <w:ind w:right="601"/>
              <w:spacing w:after="0"/>
              <w:rPr>
                <w:sz w:val="20"/>
                <w:szCs w:val="20"/>
                <w:color w:val="auto"/>
              </w:rPr>
            </w:pPr>
            <w:r>
              <w:rPr>
                <w:rFonts w:ascii="Arial" w:cs="Arial" w:eastAsia="Arial" w:hAnsi="Arial"/>
                <w:sz w:val="14"/>
                <w:szCs w:val="14"/>
                <w:color w:val="auto"/>
              </w:rPr>
              <w:t>March 31, 2026</w:t>
            </w:r>
          </w:p>
        </w:tc>
        <w:tc>
          <w:tcPr>
            <w:tcW w:w="1840" w:type="dxa"/>
            <w:vAlign w:val="bottom"/>
            <w:tcBorders>
              <w:bottom w:val="single" w:sz="8" w:color="auto"/>
            </w:tcBorders>
          </w:tcPr>
          <w:p>
            <w:pPr>
              <w:ind w:left="240"/>
              <w:spacing w:after="0"/>
              <w:rPr>
                <w:sz w:val="20"/>
                <w:szCs w:val="20"/>
                <w:color w:val="auto"/>
              </w:rPr>
            </w:pPr>
            <w:r>
              <w:rPr>
                <w:rFonts w:ascii="Arial" w:cs="Arial" w:eastAsia="Arial" w:hAnsi="Arial"/>
                <w:sz w:val="14"/>
                <w:szCs w:val="14"/>
                <w:color w:val="auto"/>
              </w:rPr>
              <w:t>December 31, 2025</w:t>
            </w:r>
          </w:p>
        </w:tc>
      </w:tr>
      <w:tr>
        <w:trPr>
          <w:trHeight w:val="213"/>
        </w:trPr>
        <w:tc>
          <w:tcPr>
            <w:tcW w:w="4240" w:type="dxa"/>
            <w:vAlign w:val="bottom"/>
            <w:shd w:val="clear" w:color="auto" w:fill="D4F1F5"/>
          </w:tcPr>
          <w:p>
            <w:pPr>
              <w:ind w:left="20"/>
              <w:spacing w:after="0"/>
              <w:rPr>
                <w:sz w:val="20"/>
                <w:szCs w:val="20"/>
                <w:color w:val="auto"/>
              </w:rPr>
            </w:pPr>
            <w:r>
              <w:rPr>
                <w:rFonts w:ascii="Arial" w:cs="Arial" w:eastAsia="Arial" w:hAnsi="Arial"/>
                <w:sz w:val="16"/>
                <w:szCs w:val="16"/>
                <w:color w:val="auto"/>
              </w:rPr>
              <w:t>Sempra</w:t>
            </w:r>
          </w:p>
        </w:tc>
        <w:tc>
          <w:tcPr>
            <w:tcW w:w="5160" w:type="dxa"/>
            <w:vAlign w:val="bottom"/>
            <w:shd w:val="clear" w:color="auto" w:fill="D4F1F5"/>
          </w:tcPr>
          <w:p>
            <w:pPr>
              <w:jc w:val="right"/>
              <w:ind w:right="161"/>
              <w:spacing w:after="0"/>
              <w:rPr>
                <w:sz w:val="20"/>
                <w:szCs w:val="20"/>
                <w:color w:val="auto"/>
              </w:rPr>
            </w:pPr>
            <w:r>
              <w:rPr>
                <w:rFonts w:ascii="Arial" w:cs="Arial" w:eastAsia="Arial" w:hAnsi="Arial"/>
                <w:sz w:val="16"/>
                <w:szCs w:val="16"/>
                <w:color w:val="auto"/>
              </w:rPr>
              <w:t>4.37 %</w:t>
            </w:r>
          </w:p>
        </w:tc>
        <w:tc>
          <w:tcPr>
            <w:tcW w:w="1840" w:type="dxa"/>
            <w:vAlign w:val="bottom"/>
            <w:shd w:val="clear" w:color="auto" w:fill="D4F1F5"/>
          </w:tcPr>
          <w:p>
            <w:pPr>
              <w:ind w:left="1320"/>
              <w:spacing w:after="0"/>
              <w:rPr>
                <w:sz w:val="20"/>
                <w:szCs w:val="20"/>
                <w:color w:val="auto"/>
              </w:rPr>
            </w:pPr>
            <w:r>
              <w:rPr>
                <w:rFonts w:ascii="Arial" w:cs="Arial" w:eastAsia="Arial" w:hAnsi="Arial"/>
                <w:sz w:val="16"/>
                <w:szCs w:val="16"/>
                <w:color w:val="auto"/>
              </w:rPr>
              <w:t>4.32 %</w:t>
            </w:r>
          </w:p>
        </w:tc>
      </w:tr>
      <w:tr>
        <w:trPr>
          <w:trHeight w:val="215"/>
        </w:trPr>
        <w:tc>
          <w:tcPr>
            <w:tcW w:w="4240" w:type="dxa"/>
            <w:vAlign w:val="bottom"/>
          </w:tcPr>
          <w:p>
            <w:pPr>
              <w:ind w:left="20"/>
              <w:spacing w:after="0"/>
              <w:rPr>
                <w:sz w:val="20"/>
                <w:szCs w:val="20"/>
                <w:color w:val="auto"/>
              </w:rPr>
            </w:pPr>
            <w:r>
              <w:rPr>
                <w:rFonts w:ascii="Arial" w:cs="Arial" w:eastAsia="Arial" w:hAnsi="Arial"/>
                <w:sz w:val="16"/>
                <w:szCs w:val="16"/>
                <w:color w:val="auto"/>
              </w:rPr>
              <w:t>SDG&amp;E</w:t>
            </w:r>
          </w:p>
        </w:tc>
        <w:tc>
          <w:tcPr>
            <w:tcW w:w="5160" w:type="dxa"/>
            <w:vAlign w:val="bottom"/>
          </w:tcPr>
          <w:p>
            <w:pPr>
              <w:jc w:val="right"/>
              <w:ind w:right="361"/>
              <w:spacing w:after="0"/>
              <w:rPr>
                <w:sz w:val="20"/>
                <w:szCs w:val="20"/>
                <w:color w:val="auto"/>
              </w:rPr>
            </w:pPr>
            <w:r>
              <w:rPr>
                <w:rFonts w:ascii="Arial" w:cs="Arial" w:eastAsia="Arial" w:hAnsi="Arial"/>
                <w:sz w:val="16"/>
                <w:szCs w:val="16"/>
                <w:color w:val="auto"/>
              </w:rPr>
              <w:t>—</w:t>
            </w:r>
          </w:p>
        </w:tc>
        <w:tc>
          <w:tcPr>
            <w:tcW w:w="1840" w:type="dxa"/>
            <w:vAlign w:val="bottom"/>
          </w:tcPr>
          <w:p>
            <w:pPr>
              <w:ind w:left="1320"/>
              <w:spacing w:after="0"/>
              <w:rPr>
                <w:sz w:val="20"/>
                <w:szCs w:val="20"/>
                <w:color w:val="auto"/>
              </w:rPr>
            </w:pPr>
            <w:r>
              <w:rPr>
                <w:rFonts w:ascii="Arial" w:cs="Arial" w:eastAsia="Arial" w:hAnsi="Arial"/>
                <w:sz w:val="16"/>
                <w:szCs w:val="16"/>
                <w:color w:val="auto"/>
              </w:rPr>
              <w:t>3.96</w:t>
            </w:r>
          </w:p>
        </w:tc>
      </w:tr>
      <w:tr>
        <w:trPr>
          <w:trHeight w:val="224"/>
        </w:trPr>
        <w:tc>
          <w:tcPr>
            <w:tcW w:w="4240" w:type="dxa"/>
            <w:vAlign w:val="bottom"/>
            <w:tcBorders>
              <w:bottom w:val="single" w:sz="8" w:color="ACACAC"/>
            </w:tcBorders>
            <w:shd w:val="clear" w:color="auto" w:fill="D4F1F5"/>
          </w:tcPr>
          <w:p>
            <w:pPr>
              <w:ind w:left="20"/>
              <w:spacing w:after="0"/>
              <w:rPr>
                <w:sz w:val="20"/>
                <w:szCs w:val="20"/>
                <w:color w:val="auto"/>
              </w:rPr>
            </w:pPr>
            <w:r>
              <w:rPr>
                <w:rFonts w:ascii="Arial" w:cs="Arial" w:eastAsia="Arial" w:hAnsi="Arial"/>
                <w:sz w:val="16"/>
                <w:szCs w:val="16"/>
                <w:color w:val="auto"/>
              </w:rPr>
              <w:t>SoCalGas</w:t>
            </w:r>
          </w:p>
        </w:tc>
        <w:tc>
          <w:tcPr>
            <w:tcW w:w="5160" w:type="dxa"/>
            <w:vAlign w:val="bottom"/>
            <w:tcBorders>
              <w:bottom w:val="single" w:sz="8" w:color="ACACAC"/>
            </w:tcBorders>
            <w:shd w:val="clear" w:color="auto" w:fill="D4F1F5"/>
          </w:tcPr>
          <w:p>
            <w:pPr>
              <w:jc w:val="right"/>
              <w:ind w:right="361"/>
              <w:spacing w:after="0"/>
              <w:rPr>
                <w:sz w:val="20"/>
                <w:szCs w:val="20"/>
                <w:color w:val="auto"/>
              </w:rPr>
            </w:pPr>
            <w:r>
              <w:rPr>
                <w:rFonts w:ascii="Arial" w:cs="Arial" w:eastAsia="Arial" w:hAnsi="Arial"/>
                <w:sz w:val="16"/>
                <w:szCs w:val="16"/>
                <w:color w:val="auto"/>
              </w:rPr>
              <w:t>4.32</w:t>
            </w:r>
          </w:p>
        </w:tc>
        <w:tc>
          <w:tcPr>
            <w:tcW w:w="1840" w:type="dxa"/>
            <w:vAlign w:val="bottom"/>
            <w:tcBorders>
              <w:bottom w:val="single" w:sz="8" w:color="ACACAC"/>
            </w:tcBorders>
            <w:shd w:val="clear" w:color="auto" w:fill="D4F1F5"/>
          </w:tcPr>
          <w:p>
            <w:pPr>
              <w:ind w:left="1320"/>
              <w:spacing w:after="0"/>
              <w:rPr>
                <w:sz w:val="20"/>
                <w:szCs w:val="20"/>
                <w:color w:val="auto"/>
              </w:rPr>
            </w:pPr>
            <w:r>
              <w:rPr>
                <w:rFonts w:ascii="Arial" w:cs="Arial" w:eastAsia="Arial" w:hAnsi="Arial"/>
                <w:sz w:val="16"/>
                <w:szCs w:val="16"/>
                <w:color w:val="auto"/>
              </w:rPr>
              <w:t>4.17</w:t>
            </w:r>
          </w:p>
        </w:tc>
      </w:tr>
    </w:tbl>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LONG-TERM DEBT</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SDG&amp;E</w:t>
      </w:r>
    </w:p>
    <w:p>
      <w:pPr>
        <w:spacing w:after="0" w:line="49"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In March 2026, SDG&amp;E issued $625 million aggregate principal amount of 5.20% first mortgage bonds due in full upon maturity on March 15, 2036 and received proceeds of $618 million (net of debt discount, underwriting discounts and debt issuance costs of $7 million), and $475 million aggregate principal amount of 5.95% first mortgage bonds due in full upon maturity on March 15, 2056 and received proceeds of $467 million (net of debt discount, underwriting discounts and debt issuance costs of $8 million). Each series of first mortgage bonds is redeemable prior to maturity, subject to its terms, and in certain circumstances subject to make-whole provisions. SDG&amp;E intends to use the net proceeds to repay outstanding first mortgage bonds due in May 2026 and June 2026 and outstanding commercial paper and for other general corporate purposes.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Other Sempra</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Sempra</w:t>
      </w:r>
    </w:p>
    <w:p>
      <w:pPr>
        <w:spacing w:after="0" w:line="49" w:lineRule="exact"/>
        <w:rPr>
          <w:sz w:val="20"/>
          <w:szCs w:val="20"/>
          <w:color w:val="auto"/>
        </w:rPr>
      </w:pPr>
    </w:p>
    <w:p>
      <w:pPr>
        <w:ind w:right="20"/>
        <w:spacing w:after="0" w:line="271" w:lineRule="auto"/>
        <w:rPr>
          <w:sz w:val="20"/>
          <w:szCs w:val="20"/>
          <w:color w:val="auto"/>
        </w:rPr>
      </w:pPr>
      <w:r>
        <w:rPr>
          <w:rFonts w:ascii="Times New Roman" w:cs="Times New Roman" w:eastAsia="Times New Roman" w:hAnsi="Times New Roman"/>
          <w:sz w:val="18"/>
          <w:szCs w:val="18"/>
          <w:color w:val="auto"/>
        </w:rPr>
        <w:t>In March 2026, Sempra issued $800 million aggregate principal amount of 5.25% notes due in full upon maturity on March 15, 2036 and received proceeds of $791 million (net of debt discount, underwriting discounts and debt issuance costs of $9 million). The notes are redeemable prior to maturity, subject to their terms, and in certain circumstances subject to make-whole provisions. We used the net proceeds to repay outstanding commercial paper and other indebtedness and for general corporate purposes.</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ECA LNG Phase 1</w:t>
      </w:r>
    </w:p>
    <w:p>
      <w:pPr>
        <w:spacing w:after="0" w:line="49" w:lineRule="exact"/>
        <w:rPr>
          <w:sz w:val="20"/>
          <w:szCs w:val="20"/>
          <w:color w:val="auto"/>
        </w:rPr>
      </w:pPr>
    </w:p>
    <w:p>
      <w:pPr>
        <w:spacing w:after="0" w:line="281" w:lineRule="auto"/>
        <w:rPr>
          <w:sz w:val="20"/>
          <w:szCs w:val="20"/>
          <w:color w:val="auto"/>
        </w:rPr>
      </w:pPr>
      <w:r>
        <w:rPr>
          <w:rFonts w:ascii="Times New Roman" w:cs="Times New Roman" w:eastAsia="Times New Roman" w:hAnsi="Times New Roman"/>
          <w:sz w:val="18"/>
          <w:szCs w:val="18"/>
          <w:color w:val="auto"/>
        </w:rPr>
        <w:t>ECA LNG Phase 1 has a loan agreement with a syndicate of external lenders that matures on December 30, 2027 for an aggregate principal amount of up to $1.5 billion. The loan agreement bears interest at a weighted-average blended rate of 2.29% plus a benchmark interest rate per annum equal to (a) term SOFR based on a tenor comparable to the applicable interest period, plus (b) a credit adjustment spread of 10 bps.</w:t>
      </w: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right="380"/>
        <w:spacing w:after="0" w:line="274" w:lineRule="auto"/>
        <w:rPr>
          <w:sz w:val="20"/>
          <w:szCs w:val="20"/>
          <w:color w:val="auto"/>
        </w:rPr>
      </w:pPr>
      <w:r>
        <w:rPr>
          <w:rFonts w:ascii="Times New Roman" w:cs="Times New Roman" w:eastAsia="Times New Roman" w:hAnsi="Times New Roman"/>
          <w:sz w:val="18"/>
          <w:szCs w:val="18"/>
          <w:color w:val="auto"/>
        </w:rPr>
        <w:t>At both March 31, 2026 and December 31, 2025, $1.3 billion of borrowings from external lenders are outstanding under the loan agreement, with a weighted-average interest rate of 6.09% and 6.06%, respectively. Proceeds from the loan are being used to finance the cost of construction of the ECA LNG Phase 1 project.</w:t>
      </w:r>
    </w:p>
    <w:p>
      <w:pPr>
        <w:spacing w:after="0" w:line="74" w:lineRule="exact"/>
        <w:rPr>
          <w:sz w:val="20"/>
          <w:szCs w:val="20"/>
          <w:color w:val="auto"/>
        </w:rPr>
      </w:pPr>
    </w:p>
    <w:p>
      <w:pPr>
        <w:ind w:right="100"/>
        <w:spacing w:after="0" w:line="274" w:lineRule="auto"/>
        <w:rPr>
          <w:sz w:val="20"/>
          <w:szCs w:val="20"/>
          <w:color w:val="auto"/>
        </w:rPr>
      </w:pPr>
      <w:r>
        <w:rPr>
          <w:rFonts w:ascii="Times New Roman" w:cs="Times New Roman" w:eastAsia="Times New Roman" w:hAnsi="Times New Roman"/>
          <w:sz w:val="18"/>
          <w:szCs w:val="18"/>
          <w:color w:val="auto"/>
        </w:rPr>
        <w:t>IEnova and TotalEnergies SE have provided guarantees for repayment of the loan of up to $1,226 million and $305 million, respectively, plus accrued and unpaid interest. The effective interest rate of the loan is based on the interest payments made to external lenders and guarantee payments made to TotalEnergies SE as a guarantor.</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Port Arthur LNG I</w:t>
      </w:r>
    </w:p>
    <w:p>
      <w:pPr>
        <w:spacing w:after="0" w:line="49" w:lineRule="exact"/>
        <w:rPr>
          <w:sz w:val="20"/>
          <w:szCs w:val="20"/>
          <w:color w:val="auto"/>
        </w:rPr>
      </w:pPr>
    </w:p>
    <w:p>
      <w:pPr>
        <w:spacing w:after="0" w:line="270" w:lineRule="auto"/>
        <w:rPr>
          <w:sz w:val="20"/>
          <w:szCs w:val="20"/>
          <w:color w:val="auto"/>
        </w:rPr>
      </w:pPr>
      <w:r>
        <w:rPr>
          <w:rFonts w:ascii="Times New Roman" w:cs="Times New Roman" w:eastAsia="Times New Roman" w:hAnsi="Times New Roman"/>
          <w:sz w:val="18"/>
          <w:szCs w:val="18"/>
          <w:color w:val="auto"/>
        </w:rPr>
        <w:t>Port Arthur LNG I has a seven-year term loan facility agreement with a syndicate of lenders that matures on March 20, 2030 for an aggregate principal amount of approximately $6.8 billion. At March 31, 2026 and December 31, 2025, $3.8 billion and $3.2 billion, respectively, of borrowings are outstanding under the loan agreement, with an all-in weighted-average interest rate of 5.60% and 5.47%, respectively. At March 31, 2026, previous borrowings totaling $983 million have been repaid and cannot be reborrowed. Proceeds from the loan are being used to finance the cost of construction of the PA LNG Phase 1 project.</w:t>
      </w:r>
    </w:p>
    <w:p>
      <w:pPr>
        <w:spacing w:after="0" w:line="64" w:lineRule="exact"/>
        <w:rPr>
          <w:sz w:val="20"/>
          <w:szCs w:val="20"/>
          <w:color w:val="auto"/>
        </w:rPr>
      </w:pPr>
    </w:p>
    <w:p>
      <w:pPr>
        <w:ind w:right="100"/>
        <w:spacing w:after="0" w:line="281" w:lineRule="auto"/>
        <w:rPr>
          <w:sz w:val="20"/>
          <w:szCs w:val="20"/>
          <w:color w:val="auto"/>
        </w:rPr>
      </w:pPr>
      <w:r>
        <w:rPr>
          <w:rFonts w:ascii="Times New Roman" w:cs="Times New Roman" w:eastAsia="Times New Roman" w:hAnsi="Times New Roman"/>
          <w:sz w:val="18"/>
          <w:szCs w:val="18"/>
          <w:color w:val="auto"/>
        </w:rPr>
        <w:t>On April 8, 2026, Port Arthur LNG I issued senior secured notes for an aggregate principal amount of $2.0 billion. The notes bear interest at the rate of 6.43% and mature on June 15, 2048. The net proceeds were used to repay borrowings and accrued interest under the existing Port Arthur LNG I term loan facility.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269875</wp:posOffset>
            </wp:positionV>
            <wp:extent cx="713232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Arial" w:cs="Arial" w:eastAsia="Arial" w:hAnsi="Arial"/>
          <w:sz w:val="20"/>
          <w:szCs w:val="20"/>
          <w:color w:val="auto"/>
        </w:rPr>
        <w:t>NOTE 8. DERIVATIVE FINANCIAL INSTRUMENTS</w:t>
      </w:r>
    </w:p>
    <w:p>
      <w:pPr>
        <w:spacing w:after="0" w:line="97"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We use derivative instruments primarily to manage exposures arising in the normal course of business. Our principal exposures are commodity market risk, benchmark interest rate risk and foreign exchange rate exposures. Our use of derivatives for these risks is integrated into the economic management of our anticipated revenues, anticipated expenses, assets and liabilities. Derivatives may be effective in mitigating these risks (1) that could lead to declines in anticipated revenues or increases in anticipated expenses, or (2) that could cause our asset values to fall or our liabilities to increase. Accordingly, our derivative activity summarized below generally represents an impact that is intended to offset associated revenues, expenses, assets or liabilities that are not included in the tables below.</w:t>
      </w:r>
    </w:p>
    <w:p>
      <w:pPr>
        <w:spacing w:after="0" w:line="82" w:lineRule="exact"/>
        <w:rPr>
          <w:sz w:val="20"/>
          <w:szCs w:val="20"/>
          <w:color w:val="auto"/>
        </w:rPr>
      </w:pPr>
    </w:p>
    <w:p>
      <w:pPr>
        <w:ind w:right="220"/>
        <w:spacing w:after="0" w:line="274" w:lineRule="auto"/>
        <w:rPr>
          <w:sz w:val="20"/>
          <w:szCs w:val="20"/>
          <w:color w:val="auto"/>
        </w:rPr>
      </w:pPr>
      <w:r>
        <w:rPr>
          <w:rFonts w:ascii="Times New Roman" w:cs="Times New Roman" w:eastAsia="Times New Roman" w:hAnsi="Times New Roman"/>
          <w:sz w:val="18"/>
          <w:szCs w:val="18"/>
          <w:color w:val="auto"/>
        </w:rPr>
        <w:t>In certain cases, we apply the normal purchase or sale exception to contracts that otherwise would have been accounted for as derivative instruments and have other commodity contracts that are not derivatives. These contracts are not recorded at fair value and are therefore excluded from the disclosures below.</w:t>
      </w:r>
    </w:p>
    <w:p>
      <w:pPr>
        <w:spacing w:after="0" w:line="74" w:lineRule="exact"/>
        <w:rPr>
          <w:sz w:val="20"/>
          <w:szCs w:val="20"/>
          <w:color w:val="auto"/>
        </w:rPr>
      </w:pPr>
    </w:p>
    <w:p>
      <w:pPr>
        <w:spacing w:after="0" w:line="263" w:lineRule="auto"/>
        <w:rPr>
          <w:sz w:val="20"/>
          <w:szCs w:val="20"/>
          <w:color w:val="auto"/>
        </w:rPr>
      </w:pPr>
      <w:r>
        <w:rPr>
          <w:rFonts w:ascii="Times New Roman" w:cs="Times New Roman" w:eastAsia="Times New Roman" w:hAnsi="Times New Roman"/>
          <w:sz w:val="18"/>
          <w:szCs w:val="18"/>
          <w:color w:val="auto"/>
        </w:rPr>
        <w:t>In all other cases, we record derivatives at fair value on the Condensed Consolidated Balance Sheets. We may have derivatives that are (1) cash flow hedges, (2) fair value hedges, or (3) undesignated. Depending on the applicability of hedge accounting and the requirement to pass impacts through to customers for SDG&amp;E and SoCalGas and other operations subject to regulatory accounting the impact of derivative instruments may be offset in OCI (cash flow hedges), on the balance sheet (regulatory offsets), or recognized in earnings (fair value hedges and undesignated derivatives not subject to rate recovery). We classify cash flows from the (1) principal settlements of cross-currency swaps that hedge exposure related to Mexican peso-denominated debt and amounts related to terminations or early settlements of interest rate swaps as financing activities, (2) principal settlements of interest rate swaps associated with capitalized interest costs incurred to finance capital projects as investing activities, and (3) settlements of other derivative instruments as operating activities on the Condensed Consolidated Statements of Cash Flows.</w:t>
      </w:r>
    </w:p>
    <w:p>
      <w:pPr>
        <w:spacing w:after="0" w:line="3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HEDGE ACCOUNTING</w:t>
      </w:r>
    </w:p>
    <w:p>
      <w:pPr>
        <w:spacing w:after="0" w:line="118" w:lineRule="exact"/>
        <w:rPr>
          <w:sz w:val="20"/>
          <w:szCs w:val="20"/>
          <w:color w:val="auto"/>
        </w:rPr>
      </w:pPr>
    </w:p>
    <w:p>
      <w:pPr>
        <w:ind w:right="60"/>
        <w:spacing w:after="0" w:line="271" w:lineRule="auto"/>
        <w:rPr>
          <w:sz w:val="20"/>
          <w:szCs w:val="20"/>
          <w:color w:val="auto"/>
        </w:rPr>
      </w:pPr>
      <w:r>
        <w:rPr>
          <w:rFonts w:ascii="Times New Roman" w:cs="Times New Roman" w:eastAsia="Times New Roman" w:hAnsi="Times New Roman"/>
          <w:sz w:val="18"/>
          <w:szCs w:val="18"/>
          <w:color w:val="auto"/>
        </w:rPr>
        <w:t>We may designate a derivative as a cash flow hedging instrument if it effectively converts anticipated cash flows associated with revenues or expenses to a fixed dollar amount. We may utilize cash flow hedge accounting for derivative commodity instruments, foreign currency instruments and interest rate instruments. Designating cash flow hedges is dependent on the business context in which the instrument is being used, the effectiveness of the instrument in offsetting the risk of variability of future cash flows of a given revenue or expense item, and other criteria.</w:t>
      </w:r>
    </w:p>
    <w:p>
      <w:pPr>
        <w:spacing w:after="0" w:line="200" w:lineRule="exact"/>
        <w:rPr>
          <w:sz w:val="20"/>
          <w:szCs w:val="20"/>
          <w:color w:val="auto"/>
        </w:rPr>
      </w:pPr>
    </w:p>
    <w:p>
      <w:pPr>
        <w:spacing w:after="0" w:line="3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150495</wp:posOffset>
            </wp:positionV>
            <wp:extent cx="715772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ENERGY DERIVATIVES</w:t>
      </w:r>
    </w:p>
    <w:p>
      <w:pPr>
        <w:spacing w:after="0" w:line="118" w:lineRule="exact"/>
        <w:rPr>
          <w:sz w:val="20"/>
          <w:szCs w:val="20"/>
          <w:color w:val="auto"/>
        </w:rPr>
      </w:pPr>
    </w:p>
    <w:p>
      <w:pPr>
        <w:ind w:right="220"/>
        <w:spacing w:after="0" w:line="274" w:lineRule="auto"/>
        <w:rPr>
          <w:sz w:val="20"/>
          <w:szCs w:val="20"/>
          <w:color w:val="auto"/>
        </w:rPr>
      </w:pPr>
      <w:r>
        <w:rPr>
          <w:rFonts w:ascii="Times New Roman" w:cs="Times New Roman" w:eastAsia="Times New Roman" w:hAnsi="Times New Roman"/>
          <w:sz w:val="18"/>
          <w:szCs w:val="18"/>
          <w:color w:val="auto"/>
        </w:rPr>
        <w:t>Our market risk is primarily related to natural gas and electricity price volatility and the specific physical locations where we transact. We use energy derivatives to manage these risks. The use of energy derivatives in our various businesses depends on the particular energy market, and the operating and regulatory environments applicable to the business, as follows:</w:t>
      </w:r>
    </w:p>
    <w:p>
      <w:pPr>
        <w:spacing w:after="0" w:line="20" w:lineRule="exact"/>
        <w:rPr>
          <w:sz w:val="20"/>
          <w:szCs w:val="20"/>
          <w:color w:val="auto"/>
        </w:rPr>
      </w:pPr>
    </w:p>
    <w:p>
      <w:pPr>
        <w:ind w:left="180" w:right="80" w:hanging="172"/>
        <w:spacing w:after="0" w:line="244" w:lineRule="auto"/>
        <w:tabs>
          <w:tab w:leader="none" w:pos="176"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SDG&amp;E and SoCalGas use natural gas derivatives and SDG&amp;E uses electricity derivatives, for the benefit of customers, with the objective of managing both price risk and basis risk, and stabilizing and lowering natural gas and electricity costs. These derivatives include fixed-price natural gas and electricity positions, options, and basis risk instruments, which are either exchange-traded or over-the-counter financial instruments, or bilateral physical transactions. This activity is governed by risk management and transacting activity plans limited by company policy and regulatory requirements. SDG&amp;E’s risk management and transacting activity plans for electricity derivatives are also required to be filed with, and have been approved by, the CPUC. SoCalGas is also subject to certain regulatory requirements and thresholds related to natural gas procurement under the GCIM. Natural gas and electricity derivative activities are recorded as commodity costs that are offset by regulatory account balances and are recovered in rates. Net commodity cost impacts on the Condensed Consolidated Statements of Operations are reflected in Cost of Natural Gas or in Cost of Electric Fuel and Purchased Power.</w:t>
      </w:r>
    </w:p>
    <w:p>
      <w:pPr>
        <w:spacing w:after="0" w:line="23" w:lineRule="exact"/>
        <w:rPr>
          <w:rFonts w:ascii="Times New Roman" w:cs="Times New Roman" w:eastAsia="Times New Roman" w:hAnsi="Times New Roman"/>
          <w:sz w:val="18"/>
          <w:szCs w:val="18"/>
          <w:color w:val="auto"/>
        </w:rPr>
      </w:pPr>
    </w:p>
    <w:p>
      <w:pPr>
        <w:ind w:left="180" w:right="180" w:hanging="172"/>
        <w:spacing w:after="0" w:line="250" w:lineRule="auto"/>
        <w:tabs>
          <w:tab w:leader="none" w:pos="176"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SDG&amp;E is allocated and may purchase CRRs, which are designed to reduce the regional electricity price volatility risk that may result from local transmission capacity constraints. Unrealized gains and losses do not impact earnings, as they are offset by regulatory account balances. Realized gains and losses associated with CRRs, which are recoverable in rates, are recorded in Cost of Electric Fuel and Purchased Power on the Condensed Consolidated Statements of Operations.</w:t>
      </w:r>
    </w:p>
    <w:p>
      <w:pPr>
        <w:spacing w:after="0" w:line="15" w:lineRule="exact"/>
        <w:rPr>
          <w:rFonts w:ascii="Times New Roman" w:cs="Times New Roman" w:eastAsia="Times New Roman" w:hAnsi="Times New Roman"/>
          <w:sz w:val="18"/>
          <w:szCs w:val="18"/>
          <w:color w:val="auto"/>
        </w:rPr>
      </w:pPr>
    </w:p>
    <w:p>
      <w:pPr>
        <w:jc w:val="both"/>
        <w:ind w:left="180" w:right="40" w:hanging="172"/>
        <w:spacing w:after="0" w:line="250" w:lineRule="auto"/>
        <w:tabs>
          <w:tab w:leader="none" w:pos="176"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Sempra Infrastructure may use natural gas, LNG and electricity derivatives, as appropriate, in an effort to mitigate commodity price risk and optimize the earnings of its assets which support the following businesses: LNG, natural gas pipelines and storage, and power generation. Gains and losses associated with these undesignated derivatives are recognized in Revenues: Energy-Related Businesses or Energy-Related Business Cost of Sales on the Condensed Consolidated Statements of Operations.</w:t>
      </w:r>
    </w:p>
    <w:p>
      <w:pPr>
        <w:spacing w:after="0" w:line="28" w:lineRule="exact"/>
        <w:rPr>
          <w:rFonts w:ascii="Times New Roman" w:cs="Times New Roman" w:eastAsia="Times New Roman" w:hAnsi="Times New Roman"/>
          <w:sz w:val="18"/>
          <w:szCs w:val="18"/>
          <w:color w:val="auto"/>
        </w:rPr>
      </w:pPr>
    </w:p>
    <w:p>
      <w:pPr>
        <w:ind w:left="160" w:hanging="152"/>
        <w:spacing w:after="0"/>
        <w:tabs>
          <w:tab w:leader="none" w:pos="1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time to time, our various businesses, including SDG&amp;E and SoCalGas, may use other derivatives to hedge exposures such as GHG allowances.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net energy derivative volumes.</w:t>
      </w:r>
    </w:p>
    <w:p>
      <w:pPr>
        <w:spacing w:after="0" w:line="175"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FFFFFF"/>
        </w:rPr>
        <w:t>NET ENERGY DERIVATIVE VOLUMES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-115570</wp:posOffset>
            </wp:positionV>
            <wp:extent cx="7132320" cy="26606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32320" cy="266065"/>
                    </a:xfrm>
                    <a:prstGeom prst="rect">
                      <a:avLst/>
                    </a:prstGeom>
                    <a:noFill/>
                  </pic:spPr>
                </pic:pic>
              </a:graphicData>
            </a:graphic>
          </wp:anchor>
        </w:drawing>
      </w:r>
    </w:p>
    <w:p>
      <w:pPr>
        <w:spacing w:after="0" w:line="19" w:lineRule="exact"/>
        <w:rPr>
          <w:sz w:val="20"/>
          <w:szCs w:val="20"/>
          <w:color w:val="auto"/>
        </w:rPr>
      </w:pPr>
    </w:p>
    <w:p>
      <w:pPr>
        <w:ind w:left="20"/>
        <w:spacing w:after="0"/>
        <w:rPr>
          <w:sz w:val="20"/>
          <w:szCs w:val="20"/>
          <w:color w:val="auto"/>
        </w:rPr>
      </w:pPr>
      <w:r>
        <w:rPr>
          <w:rFonts w:ascii="Arial" w:cs="Arial" w:eastAsia="Arial" w:hAnsi="Arial"/>
          <w:sz w:val="14"/>
          <w:szCs w:val="14"/>
          <w:i w:val="1"/>
          <w:iCs w:val="1"/>
          <w:color w:val="FFFFFF"/>
        </w:rPr>
        <w:t>(Quantities in millions)</w:t>
      </w:r>
    </w:p>
    <w:p>
      <w:pPr>
        <w:spacing w:after="0" w:line="53"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62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Commodity</w:t>
            </w:r>
          </w:p>
        </w:tc>
        <w:tc>
          <w:tcPr>
            <w:tcW w:w="144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Unit of measure</w:t>
            </w:r>
          </w:p>
        </w:tc>
        <w:tc>
          <w:tcPr>
            <w:tcW w:w="1900" w:type="dxa"/>
            <w:vAlign w:val="bottom"/>
            <w:tcBorders>
              <w:bottom w:val="single" w:sz="8" w:color="auto"/>
            </w:tcBorders>
          </w:tcPr>
          <w:p>
            <w:pPr>
              <w:jc w:val="right"/>
              <w:ind w:right="421"/>
              <w:spacing w:after="0"/>
              <w:rPr>
                <w:sz w:val="20"/>
                <w:szCs w:val="20"/>
                <w:color w:val="auto"/>
              </w:rPr>
            </w:pPr>
            <w:r>
              <w:rPr>
                <w:rFonts w:ascii="Arial" w:cs="Arial" w:eastAsia="Arial" w:hAnsi="Arial"/>
                <w:sz w:val="14"/>
                <w:szCs w:val="14"/>
                <w:color w:val="auto"/>
              </w:rPr>
              <w:t>March 31, 2026</w:t>
            </w:r>
          </w:p>
        </w:tc>
        <w:tc>
          <w:tcPr>
            <w:tcW w:w="1700" w:type="dxa"/>
            <w:vAlign w:val="bottom"/>
            <w:tcBorders>
              <w:bottom w:val="single" w:sz="8" w:color="auto"/>
            </w:tcBorders>
          </w:tcPr>
          <w:p>
            <w:pPr>
              <w:jc w:val="right"/>
              <w:ind w:right="161"/>
              <w:spacing w:after="0"/>
              <w:rPr>
                <w:sz w:val="20"/>
                <w:szCs w:val="20"/>
                <w:color w:val="auto"/>
              </w:rPr>
            </w:pPr>
            <w:r>
              <w:rPr>
                <w:rFonts w:ascii="Arial" w:cs="Arial" w:eastAsia="Arial" w:hAnsi="Arial"/>
                <w:sz w:val="14"/>
                <w:szCs w:val="14"/>
                <w:color w:val="auto"/>
              </w:rPr>
              <w:t>December 31, 2025</w:t>
            </w:r>
          </w:p>
        </w:tc>
      </w:tr>
      <w:tr>
        <w:trPr>
          <w:trHeight w:val="214"/>
        </w:trPr>
        <w:tc>
          <w:tcPr>
            <w:tcW w:w="6200" w:type="dxa"/>
            <w:vAlign w:val="bottom"/>
            <w:shd w:val="clear" w:color="auto" w:fill="D4F1F5"/>
          </w:tcPr>
          <w:p>
            <w:pPr>
              <w:ind w:left="20"/>
              <w:spacing w:after="0"/>
              <w:rPr>
                <w:sz w:val="20"/>
                <w:szCs w:val="20"/>
                <w:color w:val="auto"/>
              </w:rPr>
            </w:pPr>
            <w:r>
              <w:rPr>
                <w:rFonts w:ascii="Arial" w:cs="Arial" w:eastAsia="Arial" w:hAnsi="Arial"/>
                <w:sz w:val="16"/>
                <w:szCs w:val="16"/>
                <w:b w:val="1"/>
                <w:bCs w:val="1"/>
                <w:color w:val="auto"/>
              </w:rPr>
              <w:t>Sempra:</w:t>
            </w:r>
          </w:p>
        </w:tc>
        <w:tc>
          <w:tcPr>
            <w:tcW w:w="1440" w:type="dxa"/>
            <w:vAlign w:val="bottom"/>
            <w:shd w:val="clear" w:color="auto" w:fill="D4F1F5"/>
          </w:tcPr>
          <w:p>
            <w:pPr>
              <w:spacing w:after="0"/>
              <w:rPr>
                <w:sz w:val="18"/>
                <w:szCs w:val="18"/>
                <w:color w:val="auto"/>
              </w:rPr>
            </w:pPr>
          </w:p>
        </w:tc>
        <w:tc>
          <w:tcPr>
            <w:tcW w:w="1900" w:type="dxa"/>
            <w:vAlign w:val="bottom"/>
            <w:shd w:val="clear" w:color="auto" w:fill="D4F1F5"/>
          </w:tcPr>
          <w:p>
            <w:pPr>
              <w:spacing w:after="0"/>
              <w:rPr>
                <w:sz w:val="18"/>
                <w:szCs w:val="18"/>
                <w:color w:val="auto"/>
              </w:rPr>
            </w:pPr>
          </w:p>
        </w:tc>
        <w:tc>
          <w:tcPr>
            <w:tcW w:w="1700" w:type="dxa"/>
            <w:vAlign w:val="bottom"/>
            <w:shd w:val="clear" w:color="auto" w:fill="D4F1F5"/>
          </w:tcPr>
          <w:p>
            <w:pPr>
              <w:spacing w:after="0"/>
              <w:rPr>
                <w:sz w:val="18"/>
                <w:szCs w:val="18"/>
                <w:color w:val="auto"/>
              </w:rPr>
            </w:pPr>
          </w:p>
        </w:tc>
      </w:tr>
      <w:tr>
        <w:trPr>
          <w:trHeight w:val="216"/>
        </w:trPr>
        <w:tc>
          <w:tcPr>
            <w:tcW w:w="6200" w:type="dxa"/>
            <w:vAlign w:val="bottom"/>
          </w:tcPr>
          <w:p>
            <w:pPr>
              <w:ind w:left="220"/>
              <w:spacing w:after="0" w:line="216" w:lineRule="exact"/>
              <w:rPr>
                <w:sz w:val="20"/>
                <w:szCs w:val="20"/>
                <w:color w:val="auto"/>
              </w:rPr>
            </w:pPr>
            <w:r>
              <w:rPr>
                <w:rFonts w:ascii="Arial" w:cs="Arial" w:eastAsia="Arial" w:hAnsi="Arial"/>
                <w:sz w:val="16"/>
                <w:szCs w:val="16"/>
                <w:color w:val="auto"/>
              </w:rPr>
              <w:t>Natural gas</w:t>
            </w:r>
            <w:r>
              <w:rPr>
                <w:rFonts w:ascii="Arial" w:cs="Arial" w:eastAsia="Arial" w:hAnsi="Arial"/>
                <w:sz w:val="21"/>
                <w:szCs w:val="21"/>
                <w:color w:val="auto"/>
                <w:vertAlign w:val="superscript"/>
              </w:rPr>
              <w:t>(1)</w:t>
            </w:r>
          </w:p>
        </w:tc>
        <w:tc>
          <w:tcPr>
            <w:tcW w:w="1440" w:type="dxa"/>
            <w:vAlign w:val="bottom"/>
          </w:tcPr>
          <w:p>
            <w:pPr>
              <w:spacing w:after="0"/>
              <w:rPr>
                <w:sz w:val="20"/>
                <w:szCs w:val="20"/>
                <w:color w:val="auto"/>
              </w:rPr>
            </w:pPr>
            <w:r>
              <w:rPr>
                <w:rFonts w:ascii="Arial" w:cs="Arial" w:eastAsia="Arial" w:hAnsi="Arial"/>
                <w:sz w:val="16"/>
                <w:szCs w:val="16"/>
                <w:color w:val="auto"/>
              </w:rPr>
              <w:t>MMBtu</w:t>
            </w:r>
          </w:p>
        </w:tc>
        <w:tc>
          <w:tcPr>
            <w:tcW w:w="1900" w:type="dxa"/>
            <w:vAlign w:val="bottom"/>
          </w:tcPr>
          <w:p>
            <w:pPr>
              <w:jc w:val="right"/>
              <w:ind w:right="121"/>
              <w:spacing w:after="0"/>
              <w:rPr>
                <w:sz w:val="20"/>
                <w:szCs w:val="20"/>
                <w:color w:val="auto"/>
              </w:rPr>
            </w:pPr>
            <w:r>
              <w:rPr>
                <w:rFonts w:ascii="Arial" w:cs="Arial" w:eastAsia="Arial" w:hAnsi="Arial"/>
                <w:sz w:val="16"/>
                <w:szCs w:val="16"/>
                <w:color w:val="auto"/>
              </w:rPr>
              <w:t>438</w:t>
            </w:r>
          </w:p>
        </w:tc>
        <w:tc>
          <w:tcPr>
            <w:tcW w:w="1700" w:type="dxa"/>
            <w:vAlign w:val="bottom"/>
          </w:tcPr>
          <w:p>
            <w:pPr>
              <w:jc w:val="right"/>
              <w:ind w:right="1"/>
              <w:spacing w:after="0"/>
              <w:rPr>
                <w:sz w:val="20"/>
                <w:szCs w:val="20"/>
                <w:color w:val="auto"/>
              </w:rPr>
            </w:pPr>
            <w:r>
              <w:rPr>
                <w:rFonts w:ascii="Arial" w:cs="Arial" w:eastAsia="Arial" w:hAnsi="Arial"/>
                <w:sz w:val="16"/>
                <w:szCs w:val="16"/>
                <w:color w:val="auto"/>
              </w:rPr>
              <w:t>336</w:t>
            </w:r>
          </w:p>
        </w:tc>
      </w:tr>
      <w:tr>
        <w:trPr>
          <w:trHeight w:val="223"/>
        </w:trPr>
        <w:tc>
          <w:tcPr>
            <w:tcW w:w="6200" w:type="dxa"/>
            <w:vAlign w:val="bottom"/>
            <w:tcBorders>
              <w:bottom w:val="single" w:sz="8" w:color="B6B6B6"/>
            </w:tcBorders>
            <w:shd w:val="clear" w:color="auto" w:fill="D4F1F5"/>
          </w:tcPr>
          <w:p>
            <w:pPr>
              <w:ind w:left="220"/>
              <w:spacing w:after="0"/>
              <w:rPr>
                <w:sz w:val="20"/>
                <w:szCs w:val="20"/>
                <w:color w:val="auto"/>
              </w:rPr>
            </w:pPr>
            <w:r>
              <w:rPr>
                <w:rFonts w:ascii="Arial" w:cs="Arial" w:eastAsia="Arial" w:hAnsi="Arial"/>
                <w:sz w:val="16"/>
                <w:szCs w:val="16"/>
                <w:color w:val="auto"/>
              </w:rPr>
              <w:t>Congestion revenue rights</w:t>
            </w:r>
          </w:p>
        </w:tc>
        <w:tc>
          <w:tcPr>
            <w:tcW w:w="1440" w:type="dxa"/>
            <w:vAlign w:val="bottom"/>
            <w:tcBorders>
              <w:bottom w:val="single" w:sz="8" w:color="ACACAC"/>
            </w:tcBorders>
            <w:shd w:val="clear" w:color="auto" w:fill="D4F1F5"/>
          </w:tcPr>
          <w:p>
            <w:pPr>
              <w:spacing w:after="0"/>
              <w:rPr>
                <w:sz w:val="20"/>
                <w:szCs w:val="20"/>
                <w:color w:val="auto"/>
              </w:rPr>
            </w:pPr>
            <w:r>
              <w:rPr>
                <w:rFonts w:ascii="Arial" w:cs="Arial" w:eastAsia="Arial" w:hAnsi="Arial"/>
                <w:sz w:val="16"/>
                <w:szCs w:val="16"/>
                <w:color w:val="auto"/>
              </w:rPr>
              <w:t>MWh</w:t>
            </w:r>
          </w:p>
        </w:tc>
        <w:tc>
          <w:tcPr>
            <w:tcW w:w="1900" w:type="dxa"/>
            <w:vAlign w:val="bottom"/>
            <w:tcBorders>
              <w:bottom w:val="single" w:sz="8" w:color="ACACAC"/>
            </w:tcBorders>
            <w:shd w:val="clear" w:color="auto" w:fill="D4F1F5"/>
          </w:tcPr>
          <w:p>
            <w:pPr>
              <w:jc w:val="right"/>
              <w:ind w:right="121"/>
              <w:spacing w:after="0"/>
              <w:rPr>
                <w:sz w:val="20"/>
                <w:szCs w:val="20"/>
                <w:color w:val="auto"/>
              </w:rPr>
            </w:pPr>
            <w:r>
              <w:rPr>
                <w:rFonts w:ascii="Arial" w:cs="Arial" w:eastAsia="Arial" w:hAnsi="Arial"/>
                <w:sz w:val="16"/>
                <w:szCs w:val="16"/>
                <w:color w:val="auto"/>
              </w:rPr>
              <w:t>16</w:t>
            </w:r>
          </w:p>
        </w:tc>
        <w:tc>
          <w:tcPr>
            <w:tcW w:w="1700" w:type="dxa"/>
            <w:vAlign w:val="bottom"/>
            <w:tcBorders>
              <w:bottom w:val="single" w:sz="8" w:color="ACACAC"/>
            </w:tcBorders>
            <w:shd w:val="clear" w:color="auto" w:fill="D4F1F5"/>
          </w:tcPr>
          <w:p>
            <w:pPr>
              <w:jc w:val="right"/>
              <w:ind w:right="1"/>
              <w:spacing w:after="0"/>
              <w:rPr>
                <w:sz w:val="20"/>
                <w:szCs w:val="20"/>
                <w:color w:val="auto"/>
              </w:rPr>
            </w:pPr>
            <w:r>
              <w:rPr>
                <w:rFonts w:ascii="Arial" w:cs="Arial" w:eastAsia="Arial" w:hAnsi="Arial"/>
                <w:sz w:val="16"/>
                <w:szCs w:val="16"/>
                <w:color w:val="auto"/>
              </w:rPr>
              <w:t>18</w:t>
            </w:r>
          </w:p>
        </w:tc>
      </w:tr>
      <w:tr>
        <w:trPr>
          <w:trHeight w:val="216"/>
        </w:trPr>
        <w:tc>
          <w:tcPr>
            <w:tcW w:w="6200" w:type="dxa"/>
            <w:vAlign w:val="bottom"/>
          </w:tcPr>
          <w:p>
            <w:pPr>
              <w:ind w:left="20"/>
              <w:spacing w:after="0"/>
              <w:rPr>
                <w:sz w:val="20"/>
                <w:szCs w:val="20"/>
                <w:color w:val="auto"/>
              </w:rPr>
            </w:pPr>
            <w:r>
              <w:rPr>
                <w:rFonts w:ascii="Arial" w:cs="Arial" w:eastAsia="Arial" w:hAnsi="Arial"/>
                <w:sz w:val="16"/>
                <w:szCs w:val="16"/>
                <w:b w:val="1"/>
                <w:bCs w:val="1"/>
                <w:color w:val="auto"/>
              </w:rPr>
              <w:t>SDG&amp;E:</w:t>
            </w:r>
          </w:p>
        </w:tc>
        <w:tc>
          <w:tcPr>
            <w:tcW w:w="144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700" w:type="dxa"/>
            <w:vAlign w:val="bottom"/>
          </w:tcPr>
          <w:p>
            <w:pPr>
              <w:spacing w:after="0"/>
              <w:rPr>
                <w:sz w:val="18"/>
                <w:szCs w:val="18"/>
                <w:color w:val="auto"/>
              </w:rPr>
            </w:pPr>
          </w:p>
        </w:tc>
      </w:tr>
      <w:tr>
        <w:trPr>
          <w:trHeight w:val="216"/>
        </w:trPr>
        <w:tc>
          <w:tcPr>
            <w:tcW w:w="6200" w:type="dxa"/>
            <w:vAlign w:val="bottom"/>
            <w:shd w:val="clear" w:color="auto" w:fill="D4F1F5"/>
          </w:tcPr>
          <w:p>
            <w:pPr>
              <w:ind w:left="220"/>
              <w:spacing w:after="0"/>
              <w:rPr>
                <w:sz w:val="20"/>
                <w:szCs w:val="20"/>
                <w:color w:val="auto"/>
              </w:rPr>
            </w:pPr>
            <w:r>
              <w:rPr>
                <w:rFonts w:ascii="Arial" w:cs="Arial" w:eastAsia="Arial" w:hAnsi="Arial"/>
                <w:sz w:val="16"/>
                <w:szCs w:val="16"/>
                <w:color w:val="auto"/>
              </w:rPr>
              <w:t>Natural gas</w:t>
            </w:r>
          </w:p>
        </w:tc>
        <w:tc>
          <w:tcPr>
            <w:tcW w:w="1440" w:type="dxa"/>
            <w:vAlign w:val="bottom"/>
            <w:shd w:val="clear" w:color="auto" w:fill="D4F1F5"/>
          </w:tcPr>
          <w:p>
            <w:pPr>
              <w:spacing w:after="0"/>
              <w:rPr>
                <w:sz w:val="20"/>
                <w:szCs w:val="20"/>
                <w:color w:val="auto"/>
              </w:rPr>
            </w:pPr>
            <w:r>
              <w:rPr>
                <w:rFonts w:ascii="Arial" w:cs="Arial" w:eastAsia="Arial" w:hAnsi="Arial"/>
                <w:sz w:val="16"/>
                <w:szCs w:val="16"/>
                <w:color w:val="auto"/>
              </w:rPr>
              <w:t>MMBtu</w:t>
            </w:r>
          </w:p>
        </w:tc>
        <w:tc>
          <w:tcPr>
            <w:tcW w:w="1900" w:type="dxa"/>
            <w:vAlign w:val="bottom"/>
            <w:shd w:val="clear" w:color="auto" w:fill="D4F1F5"/>
          </w:tcPr>
          <w:p>
            <w:pPr>
              <w:jc w:val="right"/>
              <w:ind w:right="121"/>
              <w:spacing w:after="0"/>
              <w:rPr>
                <w:sz w:val="20"/>
                <w:szCs w:val="20"/>
                <w:color w:val="auto"/>
              </w:rPr>
            </w:pPr>
            <w:r>
              <w:rPr>
                <w:rFonts w:ascii="Arial" w:cs="Arial" w:eastAsia="Arial" w:hAnsi="Arial"/>
                <w:sz w:val="16"/>
                <w:szCs w:val="16"/>
                <w:color w:val="auto"/>
              </w:rPr>
              <w:t>14</w:t>
            </w:r>
          </w:p>
        </w:tc>
        <w:tc>
          <w:tcPr>
            <w:tcW w:w="1700" w:type="dxa"/>
            <w:vAlign w:val="bottom"/>
            <w:shd w:val="clear" w:color="auto" w:fill="D4F1F5"/>
          </w:tcPr>
          <w:p>
            <w:pPr>
              <w:jc w:val="right"/>
              <w:ind w:right="1"/>
              <w:spacing w:after="0"/>
              <w:rPr>
                <w:sz w:val="20"/>
                <w:szCs w:val="20"/>
                <w:color w:val="auto"/>
              </w:rPr>
            </w:pPr>
            <w:r>
              <w:rPr>
                <w:rFonts w:ascii="Arial" w:cs="Arial" w:eastAsia="Arial" w:hAnsi="Arial"/>
                <w:sz w:val="16"/>
                <w:szCs w:val="16"/>
                <w:color w:val="auto"/>
              </w:rPr>
              <w:t>14</w:t>
            </w:r>
          </w:p>
        </w:tc>
      </w:tr>
      <w:tr>
        <w:trPr>
          <w:trHeight w:val="223"/>
        </w:trPr>
        <w:tc>
          <w:tcPr>
            <w:tcW w:w="6200" w:type="dxa"/>
            <w:vAlign w:val="bottom"/>
            <w:tcBorders>
              <w:bottom w:val="single" w:sz="8" w:color="B6B6B6"/>
            </w:tcBorders>
          </w:tcPr>
          <w:p>
            <w:pPr>
              <w:ind w:left="220"/>
              <w:spacing w:after="0"/>
              <w:rPr>
                <w:sz w:val="20"/>
                <w:szCs w:val="20"/>
                <w:color w:val="auto"/>
              </w:rPr>
            </w:pPr>
            <w:r>
              <w:rPr>
                <w:rFonts w:ascii="Arial" w:cs="Arial" w:eastAsia="Arial" w:hAnsi="Arial"/>
                <w:sz w:val="16"/>
                <w:szCs w:val="16"/>
                <w:color w:val="auto"/>
              </w:rPr>
              <w:t>Congestion revenue rights</w:t>
            </w:r>
          </w:p>
        </w:tc>
        <w:tc>
          <w:tcPr>
            <w:tcW w:w="1440" w:type="dxa"/>
            <w:vAlign w:val="bottom"/>
            <w:tcBorders>
              <w:bottom w:val="single" w:sz="8" w:color="ACACAC"/>
            </w:tcBorders>
          </w:tcPr>
          <w:p>
            <w:pPr>
              <w:spacing w:after="0"/>
              <w:rPr>
                <w:sz w:val="20"/>
                <w:szCs w:val="20"/>
                <w:color w:val="auto"/>
              </w:rPr>
            </w:pPr>
            <w:r>
              <w:rPr>
                <w:rFonts w:ascii="Arial" w:cs="Arial" w:eastAsia="Arial" w:hAnsi="Arial"/>
                <w:sz w:val="16"/>
                <w:szCs w:val="16"/>
                <w:color w:val="auto"/>
              </w:rPr>
              <w:t>MWh</w:t>
            </w:r>
          </w:p>
        </w:tc>
        <w:tc>
          <w:tcPr>
            <w:tcW w:w="1900" w:type="dxa"/>
            <w:vAlign w:val="bottom"/>
            <w:tcBorders>
              <w:bottom w:val="single" w:sz="8" w:color="ACACAC"/>
            </w:tcBorders>
          </w:tcPr>
          <w:p>
            <w:pPr>
              <w:jc w:val="right"/>
              <w:ind w:right="121"/>
              <w:spacing w:after="0"/>
              <w:rPr>
                <w:sz w:val="20"/>
                <w:szCs w:val="20"/>
                <w:color w:val="auto"/>
              </w:rPr>
            </w:pPr>
            <w:r>
              <w:rPr>
                <w:rFonts w:ascii="Arial" w:cs="Arial" w:eastAsia="Arial" w:hAnsi="Arial"/>
                <w:sz w:val="16"/>
                <w:szCs w:val="16"/>
                <w:color w:val="auto"/>
              </w:rPr>
              <w:t>16</w:t>
            </w:r>
          </w:p>
        </w:tc>
        <w:tc>
          <w:tcPr>
            <w:tcW w:w="1700" w:type="dxa"/>
            <w:vAlign w:val="bottom"/>
            <w:tcBorders>
              <w:bottom w:val="single" w:sz="8" w:color="ACACAC"/>
            </w:tcBorders>
          </w:tcPr>
          <w:p>
            <w:pPr>
              <w:jc w:val="right"/>
              <w:ind w:right="1"/>
              <w:spacing w:after="0"/>
              <w:rPr>
                <w:sz w:val="20"/>
                <w:szCs w:val="20"/>
                <w:color w:val="auto"/>
              </w:rPr>
            </w:pPr>
            <w:r>
              <w:rPr>
                <w:rFonts w:ascii="Arial" w:cs="Arial" w:eastAsia="Arial" w:hAnsi="Arial"/>
                <w:sz w:val="16"/>
                <w:szCs w:val="16"/>
                <w:color w:val="auto"/>
              </w:rPr>
              <w:t>18</w:t>
            </w:r>
          </w:p>
        </w:tc>
      </w:tr>
      <w:tr>
        <w:trPr>
          <w:trHeight w:val="216"/>
        </w:trPr>
        <w:tc>
          <w:tcPr>
            <w:tcW w:w="6200" w:type="dxa"/>
            <w:vAlign w:val="bottom"/>
            <w:shd w:val="clear" w:color="auto" w:fill="D4F1F5"/>
          </w:tcPr>
          <w:p>
            <w:pPr>
              <w:ind w:left="20"/>
              <w:spacing w:after="0"/>
              <w:rPr>
                <w:sz w:val="20"/>
                <w:szCs w:val="20"/>
                <w:color w:val="auto"/>
              </w:rPr>
            </w:pPr>
            <w:r>
              <w:rPr>
                <w:rFonts w:ascii="Arial" w:cs="Arial" w:eastAsia="Arial" w:hAnsi="Arial"/>
                <w:sz w:val="16"/>
                <w:szCs w:val="16"/>
                <w:b w:val="1"/>
                <w:bCs w:val="1"/>
                <w:color w:val="auto"/>
              </w:rPr>
              <w:t>SoCalGas:</w:t>
            </w:r>
          </w:p>
        </w:tc>
        <w:tc>
          <w:tcPr>
            <w:tcW w:w="1440" w:type="dxa"/>
            <w:vAlign w:val="bottom"/>
            <w:shd w:val="clear" w:color="auto" w:fill="D4F1F5"/>
          </w:tcPr>
          <w:p>
            <w:pPr>
              <w:spacing w:after="0"/>
              <w:rPr>
                <w:sz w:val="18"/>
                <w:szCs w:val="18"/>
                <w:color w:val="auto"/>
              </w:rPr>
            </w:pPr>
          </w:p>
        </w:tc>
        <w:tc>
          <w:tcPr>
            <w:tcW w:w="1900" w:type="dxa"/>
            <w:vAlign w:val="bottom"/>
            <w:shd w:val="clear" w:color="auto" w:fill="D4F1F5"/>
          </w:tcPr>
          <w:p>
            <w:pPr>
              <w:spacing w:after="0"/>
              <w:rPr>
                <w:sz w:val="18"/>
                <w:szCs w:val="18"/>
                <w:color w:val="auto"/>
              </w:rPr>
            </w:pPr>
          </w:p>
        </w:tc>
        <w:tc>
          <w:tcPr>
            <w:tcW w:w="1700" w:type="dxa"/>
            <w:vAlign w:val="bottom"/>
            <w:shd w:val="clear" w:color="auto" w:fill="D4F1F5"/>
          </w:tcPr>
          <w:p>
            <w:pPr>
              <w:spacing w:after="0"/>
              <w:rPr>
                <w:sz w:val="18"/>
                <w:szCs w:val="18"/>
                <w:color w:val="auto"/>
              </w:rPr>
            </w:pPr>
          </w:p>
        </w:tc>
      </w:tr>
      <w:tr>
        <w:trPr>
          <w:trHeight w:val="223"/>
        </w:trPr>
        <w:tc>
          <w:tcPr>
            <w:tcW w:w="6200" w:type="dxa"/>
            <w:vAlign w:val="bottom"/>
            <w:tcBorders>
              <w:bottom w:val="single" w:sz="8" w:color="ACACAC"/>
            </w:tcBorders>
          </w:tcPr>
          <w:p>
            <w:pPr>
              <w:ind w:left="260"/>
              <w:spacing w:after="0"/>
              <w:rPr>
                <w:sz w:val="20"/>
                <w:szCs w:val="20"/>
                <w:color w:val="auto"/>
              </w:rPr>
            </w:pPr>
            <w:r>
              <w:rPr>
                <w:rFonts w:ascii="Arial" w:cs="Arial" w:eastAsia="Arial" w:hAnsi="Arial"/>
                <w:sz w:val="16"/>
                <w:szCs w:val="16"/>
                <w:color w:val="auto"/>
              </w:rPr>
              <w:t>Natural gas</w:t>
            </w:r>
          </w:p>
        </w:tc>
        <w:tc>
          <w:tcPr>
            <w:tcW w:w="1440" w:type="dxa"/>
            <w:vAlign w:val="bottom"/>
            <w:tcBorders>
              <w:bottom w:val="single" w:sz="8" w:color="ACACAC"/>
            </w:tcBorders>
          </w:tcPr>
          <w:p>
            <w:pPr>
              <w:spacing w:after="0"/>
              <w:rPr>
                <w:sz w:val="20"/>
                <w:szCs w:val="20"/>
                <w:color w:val="auto"/>
              </w:rPr>
            </w:pPr>
            <w:r>
              <w:rPr>
                <w:rFonts w:ascii="Arial" w:cs="Arial" w:eastAsia="Arial" w:hAnsi="Arial"/>
                <w:sz w:val="16"/>
                <w:szCs w:val="16"/>
                <w:color w:val="auto"/>
              </w:rPr>
              <w:t>MMBtu</w:t>
            </w:r>
          </w:p>
        </w:tc>
        <w:tc>
          <w:tcPr>
            <w:tcW w:w="1900" w:type="dxa"/>
            <w:vAlign w:val="bottom"/>
            <w:tcBorders>
              <w:bottom w:val="single" w:sz="8" w:color="ACACAC"/>
            </w:tcBorders>
          </w:tcPr>
          <w:p>
            <w:pPr>
              <w:jc w:val="right"/>
              <w:ind w:right="121"/>
              <w:spacing w:after="0"/>
              <w:rPr>
                <w:sz w:val="20"/>
                <w:szCs w:val="20"/>
                <w:color w:val="auto"/>
              </w:rPr>
            </w:pPr>
            <w:r>
              <w:rPr>
                <w:rFonts w:ascii="Arial" w:cs="Arial" w:eastAsia="Arial" w:hAnsi="Arial"/>
                <w:sz w:val="16"/>
                <w:szCs w:val="16"/>
                <w:color w:val="auto"/>
              </w:rPr>
              <w:t>424</w:t>
            </w:r>
          </w:p>
        </w:tc>
        <w:tc>
          <w:tcPr>
            <w:tcW w:w="1700" w:type="dxa"/>
            <w:vAlign w:val="bottom"/>
            <w:tcBorders>
              <w:bottom w:val="single" w:sz="8" w:color="ACACAC"/>
            </w:tcBorders>
          </w:tcPr>
          <w:p>
            <w:pPr>
              <w:jc w:val="right"/>
              <w:ind w:right="1"/>
              <w:spacing w:after="0"/>
              <w:rPr>
                <w:sz w:val="20"/>
                <w:szCs w:val="20"/>
                <w:color w:val="auto"/>
              </w:rPr>
            </w:pPr>
            <w:r>
              <w:rPr>
                <w:rFonts w:ascii="Arial" w:cs="Arial" w:eastAsia="Arial" w:hAnsi="Arial"/>
                <w:sz w:val="16"/>
                <w:szCs w:val="16"/>
                <w:color w:val="auto"/>
              </w:rPr>
              <w:t>322</w:t>
            </w:r>
          </w:p>
        </w:tc>
      </w:tr>
    </w:tbl>
    <w:p>
      <w:pPr>
        <w:spacing w:after="0" w:line="61" w:lineRule="exact"/>
        <w:rPr>
          <w:sz w:val="20"/>
          <w:szCs w:val="20"/>
          <w:color w:val="auto"/>
        </w:rPr>
      </w:pPr>
    </w:p>
    <w:p>
      <w:pPr>
        <w:ind w:left="300" w:hanging="292"/>
        <w:spacing w:after="0"/>
        <w:tabs>
          <w:tab w:leader="none" w:pos="300" w:val="left"/>
        </w:tabs>
        <w:numPr>
          <w:ilvl w:val="0"/>
          <w:numId w:val="23"/>
        </w:numPr>
        <w:rPr>
          <w:rFonts w:ascii="Arial" w:cs="Arial" w:eastAsia="Arial" w:hAnsi="Arial"/>
          <w:sz w:val="21"/>
          <w:szCs w:val="21"/>
          <w:i w:val="1"/>
          <w:iCs w:val="1"/>
          <w:color w:val="auto"/>
          <w:vertAlign w:val="superscript"/>
        </w:rPr>
      </w:pPr>
      <w:r>
        <w:rPr>
          <w:rFonts w:ascii="Arial" w:cs="Arial" w:eastAsia="Arial" w:hAnsi="Arial"/>
          <w:sz w:val="14"/>
          <w:szCs w:val="14"/>
          <w:i w:val="1"/>
          <w:iCs w:val="1"/>
          <w:color w:val="auto"/>
        </w:rPr>
        <w:t>At March 31, 2026 and December 31, 2025, excludes 1,329 and 1,016, respectively, related to the disposal group that is classified as held for sale.</w:t>
      </w:r>
    </w:p>
    <w:p>
      <w:pPr>
        <w:spacing w:after="0" w:line="3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DERIVATIVES</w:t>
      </w:r>
    </w:p>
    <w:p>
      <w:pPr>
        <w:spacing w:after="0" w:line="118" w:lineRule="exact"/>
        <w:rPr>
          <w:sz w:val="20"/>
          <w:szCs w:val="20"/>
          <w:color w:val="auto"/>
        </w:rPr>
      </w:pPr>
    </w:p>
    <w:p>
      <w:pPr>
        <w:jc w:val="both"/>
        <w:ind w:right="40"/>
        <w:spacing w:after="0" w:line="271" w:lineRule="auto"/>
        <w:rPr>
          <w:sz w:val="20"/>
          <w:szCs w:val="20"/>
          <w:color w:val="auto"/>
        </w:rPr>
      </w:pPr>
      <w:r>
        <w:rPr>
          <w:rFonts w:ascii="Times New Roman" w:cs="Times New Roman" w:eastAsia="Times New Roman" w:hAnsi="Times New Roman"/>
          <w:sz w:val="18"/>
          <w:szCs w:val="18"/>
          <w:color w:val="auto"/>
        </w:rPr>
        <w:t>We are exposed to interest rates primarily as a result of our current and expected use of financing. SDG&amp;E and SoCalGas, as well as Sempra and its other subsidiaries and equity method investees, periodically enter into interest rate derivative agreements intended to moderate our exposure to interest rates and to lower our overall costs of borrowing. In addition, we may utilize interest rate swaps, typically designated as cash flow hedges, to lock in interest rates on outstanding debt or in anticipation of future financings.</w:t>
      </w:r>
    </w:p>
    <w:p>
      <w:pPr>
        <w:spacing w:after="0" w:line="64" w:lineRule="exact"/>
        <w:rPr>
          <w:sz w:val="20"/>
          <w:szCs w:val="20"/>
          <w:color w:val="auto"/>
        </w:rPr>
      </w:pPr>
    </w:p>
    <w:p>
      <w:pPr>
        <w:ind w:right="20"/>
        <w:spacing w:after="0" w:line="297" w:lineRule="auto"/>
        <w:rPr>
          <w:sz w:val="20"/>
          <w:szCs w:val="20"/>
          <w:color w:val="auto"/>
        </w:rPr>
      </w:pPr>
      <w:r>
        <w:rPr>
          <w:rFonts w:ascii="Times New Roman" w:cs="Times New Roman" w:eastAsia="Times New Roman" w:hAnsi="Times New Roman"/>
          <w:sz w:val="18"/>
          <w:szCs w:val="18"/>
          <w:color w:val="auto"/>
        </w:rPr>
        <w:t>At both March 31, 2026 and December 31, 2025, interest rate derivatives designated as cash flow hedges accrue interest based on notional amounts of $244 million. These instruments have maturities from 2026 to 2034 and are included within the disposal group that is classified as held for sale.</w:t>
      </w: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150495</wp:posOffset>
            </wp:positionV>
            <wp:extent cx="715772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right="200"/>
        <w:spacing w:after="0" w:line="270" w:lineRule="auto"/>
        <w:rPr>
          <w:sz w:val="20"/>
          <w:szCs w:val="20"/>
          <w:color w:val="auto"/>
        </w:rPr>
      </w:pPr>
      <w:r>
        <w:rPr>
          <w:rFonts w:ascii="Times New Roman" w:cs="Times New Roman" w:eastAsia="Times New Roman" w:hAnsi="Times New Roman"/>
          <w:sz w:val="18"/>
          <w:szCs w:val="18"/>
          <w:color w:val="auto"/>
        </w:rPr>
        <w:t>In March 2026, Port Arthur LNG I received a cash settlement of $96 million, net of transaction costs, for the termination of $1.2 billion of the notional amount of interest rate swaps that were de-designated in 2024. At March 31, 2026 and December 31, 2025, interest rate derivatives not designated as hedging instruments have a maximum notional amount of $1,952 million and $3,189 million, respectively, with maturities from 2026 to 2048 and accrue interest based on notional amounts of $1,461 million and $2,286 million, respectively. These undesignated derivatives are included within the disposal group that is classified as held for sale.</w:t>
      </w:r>
    </w:p>
    <w:p>
      <w:pPr>
        <w:spacing w:after="0" w:line="3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DERIVATIVES</w:t>
      </w:r>
    </w:p>
    <w:p>
      <w:pPr>
        <w:spacing w:after="0" w:line="118" w:lineRule="exact"/>
        <w:rPr>
          <w:sz w:val="20"/>
          <w:szCs w:val="20"/>
          <w:color w:val="auto"/>
        </w:rPr>
      </w:pPr>
    </w:p>
    <w:p>
      <w:pPr>
        <w:ind w:right="120"/>
        <w:spacing w:after="0" w:line="281" w:lineRule="auto"/>
        <w:rPr>
          <w:sz w:val="20"/>
          <w:szCs w:val="20"/>
          <w:color w:val="auto"/>
        </w:rPr>
      </w:pPr>
      <w:r>
        <w:rPr>
          <w:rFonts w:ascii="Times New Roman" w:cs="Times New Roman" w:eastAsia="Times New Roman" w:hAnsi="Times New Roman"/>
          <w:sz w:val="18"/>
          <w:szCs w:val="18"/>
          <w:color w:val="auto"/>
        </w:rPr>
        <w:t>Oncor uses cross-currency swaps designated as fair value hedges intended to offset foreign currency exchange rate risk related to its foreign-currency-denominated debt. From time to time, SI Partners and its equity method investees may use foreign currency derivatives to hedge exposures related to cash flows associated with revenues from contracts denominated in Mexican pesos that are indexed to the U.S. dollar.</w:t>
      </w:r>
    </w:p>
    <w:p>
      <w:pPr>
        <w:spacing w:after="0" w:line="56"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We are also exposed to exchange rate movements at our Mexican subsidiaries and equity method investees, which have U.S. dollar-denominated cash balances, receivables, payables and debt (monetary assets and liabilities) that give rise to Mexican currency exchange rate movements for Mexican income tax purposes. They also have deferred income tax assets and liabilities denominated in the Mexican peso, which must be translated to U.S. dollars for financial reporting purposes. In addition, monetary assets and liabilities and certain nonmonetary assets and liabilities are adjusted for Mexican inflation for Mexican income tax purposes. We may utilize foreign currency derivatives as a means to help manage the risk of exposure to significant fluctuations in our income tax expense and equity earnings from these impacts; however, we generally do not hedge our deferred income tax assets and liabilities or for inflation.</w:t>
      </w:r>
    </w:p>
    <w:p>
      <w:pPr>
        <w:spacing w:after="0" w:line="82"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18"/>
          <w:szCs w:val="18"/>
          <w:color w:val="auto"/>
        </w:rPr>
        <w:t>In the first quarter of 2026, SI Partners entered into contingent, undesignated foreign currency hedges that are designed to fix the exchange rate associated with the anticipated after-tax net proceeds from the planned sale of Ecogas, with notional amounts totaling approximately 7.5 billion Mexican pesos ($411 million to $422 million in U.S. dollar-equivalent, depending on the closing date of the sale). Settlement of the hedges is contingent on the completion of the planned sale of Ecogas expected in the second or third quarter of 2026.</w:t>
      </w:r>
    </w:p>
    <w:p>
      <w:pPr>
        <w:spacing w:after="0" w:line="64" w:lineRule="exact"/>
        <w:rPr>
          <w:sz w:val="20"/>
          <w:szCs w:val="20"/>
          <w:color w:val="auto"/>
        </w:rPr>
      </w:pPr>
    </w:p>
    <w:p>
      <w:pPr>
        <w:ind w:right="20"/>
        <w:spacing w:after="0" w:line="270" w:lineRule="auto"/>
        <w:rPr>
          <w:sz w:val="20"/>
          <w:szCs w:val="20"/>
          <w:color w:val="auto"/>
        </w:rPr>
      </w:pPr>
      <w:r>
        <w:rPr>
          <w:rFonts w:ascii="Times New Roman" w:cs="Times New Roman" w:eastAsia="Times New Roman" w:hAnsi="Times New Roman"/>
          <w:sz w:val="18"/>
          <w:szCs w:val="18"/>
          <w:color w:val="auto"/>
        </w:rPr>
        <w:t>Also, in the first quarter of 2026, Sempra entered into undesignated foreign currency hedges with notional amounts totaling 11.0 billion Mexican pesos ($612 million in U.S. dollar-equivalent) to help mitigate the exchange rate risk associated with the anticipated Mexican capital gains taxes that will be payable upon completion of the planned sale of our 45% equity interest in SI Partners, which we expect to close in the second or third quarter of 2026. In April 2026, Sempra entered into an additional undesignated foreign currency hedge with notional amounts totaling 2.8 billion Mexican pesos ($155 million in U.S. dollar-equivalent) to further mitigate such risk.</w:t>
      </w:r>
    </w:p>
    <w:p>
      <w:pPr>
        <w:spacing w:after="0" w:line="78" w:lineRule="exact"/>
        <w:rPr>
          <w:sz w:val="20"/>
          <w:szCs w:val="20"/>
          <w:color w:val="auto"/>
        </w:rPr>
      </w:pPr>
    </w:p>
    <w:p>
      <w:pPr>
        <w:ind w:right="20"/>
        <w:spacing w:after="0" w:line="274" w:lineRule="auto"/>
        <w:rPr>
          <w:sz w:val="20"/>
          <w:szCs w:val="20"/>
          <w:color w:val="auto"/>
        </w:rPr>
      </w:pPr>
      <w:r>
        <w:rPr>
          <w:rFonts w:ascii="Times New Roman" w:cs="Times New Roman" w:eastAsia="Times New Roman" w:hAnsi="Times New Roman"/>
          <w:sz w:val="18"/>
          <w:szCs w:val="18"/>
          <w:color w:val="auto"/>
        </w:rPr>
        <w:t>In addition, foreign currency derivatives designated as cash flow hedges, excluding those in our equity method investments, have notional amounts totaling $122 million and $172 million at March 31, 2026 and December 31, 2025, respectively, with maturities in 2026 and 2027, which are included within the disposal group that is classified as held for sale.</w:t>
      </w:r>
    </w:p>
    <w:p>
      <w:pPr>
        <w:spacing w:after="0" w:line="200" w:lineRule="exact"/>
        <w:rPr>
          <w:sz w:val="20"/>
          <w:szCs w:val="20"/>
          <w:color w:val="auto"/>
        </w:rPr>
      </w:pPr>
    </w:p>
    <w:p>
      <w:pPr>
        <w:spacing w:after="0" w:line="3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150495</wp:posOffset>
            </wp:positionV>
            <wp:extent cx="715772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STATEMENT PRESENTATION</w:t>
      </w:r>
    </w:p>
    <w:p>
      <w:pPr>
        <w:spacing w:after="0" w:line="118" w:lineRule="exact"/>
        <w:rPr>
          <w:sz w:val="20"/>
          <w:szCs w:val="20"/>
          <w:color w:val="auto"/>
        </w:rPr>
      </w:pPr>
    </w:p>
    <w:p>
      <w:pPr>
        <w:ind w:right="140"/>
        <w:spacing w:after="0" w:line="271" w:lineRule="auto"/>
        <w:rPr>
          <w:sz w:val="20"/>
          <w:szCs w:val="20"/>
          <w:color w:val="auto"/>
        </w:rPr>
      </w:pPr>
      <w:r>
        <w:rPr>
          <w:rFonts w:ascii="Times New Roman" w:cs="Times New Roman" w:eastAsia="Times New Roman" w:hAnsi="Times New Roman"/>
          <w:sz w:val="18"/>
          <w:szCs w:val="18"/>
          <w:color w:val="auto"/>
        </w:rPr>
        <w:t>The Condensed Consolidated Balance Sheets reflect the offsetting of net derivative positions and cash collateral with the same counterparty when a legal right of offset exists. The following tables provide the fair values of derivative instruments on the Condensed Consolidated Balance Sheets, including the amount of cash collateral receivables that are not offset because the cash collateral was in excess of liability positions. We discuss the fair value of derivative assets and liabilities in Note 9.</w:t>
      </w:r>
    </w:p>
    <w:p>
      <w:pPr>
        <w:spacing w:after="0" w:line="122"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FFFFFF"/>
        </w:rPr>
        <w:t>DERIVATIVE INSTRUMENTS ON THE CONDENSED CONSOLIDATED BALANCE SHEETS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-115570</wp:posOffset>
            </wp:positionV>
            <wp:extent cx="7098030" cy="26543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098030" cy="265430"/>
                    </a:xfrm>
                    <a:prstGeom prst="rect">
                      <a:avLst/>
                    </a:prstGeom>
                    <a:noFill/>
                  </pic:spPr>
                </pic:pic>
              </a:graphicData>
            </a:graphic>
          </wp:anchor>
        </w:drawing>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4080" w:type="dxa"/>
            <w:vAlign w:val="bottom"/>
          </w:tcPr>
          <w:p>
            <w:pPr>
              <w:ind w:left="20"/>
              <w:spacing w:after="0"/>
              <w:rPr>
                <w:sz w:val="20"/>
                <w:szCs w:val="20"/>
                <w:color w:val="auto"/>
              </w:rPr>
            </w:pPr>
            <w:r>
              <w:rPr>
                <w:rFonts w:ascii="Arial" w:cs="Arial" w:eastAsia="Arial" w:hAnsi="Arial"/>
                <w:sz w:val="14"/>
                <w:szCs w:val="14"/>
                <w:i w:val="1"/>
                <w:iCs w:val="1"/>
                <w:color w:val="FFFFFF"/>
              </w:rPr>
              <w:t>(Dollars in millions)</w:t>
            </w:r>
          </w:p>
        </w:tc>
        <w:tc>
          <w:tcPr>
            <w:tcW w:w="8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4080" w:type="dxa"/>
            <w:vAlign w:val="bottom"/>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2120" w:type="dxa"/>
            <w:vAlign w:val="bottom"/>
            <w:tcBorders>
              <w:bottom w:val="single" w:sz="8" w:color="auto"/>
            </w:tcBorders>
            <w:gridSpan w:val="3"/>
          </w:tcPr>
          <w:p>
            <w:pPr>
              <w:jc w:val="right"/>
              <w:ind w:right="628"/>
              <w:spacing w:after="0"/>
              <w:rPr>
                <w:sz w:val="20"/>
                <w:szCs w:val="20"/>
                <w:color w:val="auto"/>
              </w:rPr>
            </w:pPr>
            <w:r>
              <w:rPr>
                <w:rFonts w:ascii="Arial" w:cs="Arial" w:eastAsia="Arial" w:hAnsi="Arial"/>
                <w:sz w:val="14"/>
                <w:szCs w:val="14"/>
                <w:color w:val="auto"/>
              </w:rPr>
              <w:t>March 31, 2026</w:t>
            </w:r>
          </w:p>
        </w:tc>
        <w:tc>
          <w:tcPr>
            <w:tcW w:w="1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93"/>
        </w:trPr>
        <w:tc>
          <w:tcPr>
            <w:tcW w:w="4080" w:type="dxa"/>
            <w:vAlign w:val="bottom"/>
          </w:tcPr>
          <w:p>
            <w:pPr>
              <w:spacing w:after="0"/>
              <w:rPr>
                <w:sz w:val="16"/>
                <w:szCs w:val="16"/>
                <w:color w:val="auto"/>
              </w:rPr>
            </w:pPr>
          </w:p>
        </w:tc>
        <w:tc>
          <w:tcPr>
            <w:tcW w:w="2300" w:type="dxa"/>
            <w:vAlign w:val="bottom"/>
            <w:tcBorders>
              <w:bottom w:val="single" w:sz="8" w:color="auto"/>
            </w:tcBorders>
            <w:gridSpan w:val="4"/>
          </w:tcPr>
          <w:p>
            <w:pPr>
              <w:jc w:val="right"/>
              <w:ind w:right="608"/>
              <w:spacing w:after="0"/>
              <w:rPr>
                <w:sz w:val="20"/>
                <w:szCs w:val="20"/>
                <w:color w:val="auto"/>
              </w:rPr>
            </w:pPr>
            <w:r>
              <w:rPr>
                <w:rFonts w:ascii="Arial" w:cs="Arial" w:eastAsia="Arial" w:hAnsi="Arial"/>
                <w:sz w:val="14"/>
                <w:szCs w:val="14"/>
                <w:color w:val="auto"/>
              </w:rPr>
              <w:t>Current assets</w:t>
            </w:r>
          </w:p>
        </w:tc>
        <w:tc>
          <w:tcPr>
            <w:tcW w:w="3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0" w:type="dxa"/>
            <w:vAlign w:val="bottom"/>
            <w:tcBorders>
              <w:bottom w:val="single" w:sz="8" w:color="auto"/>
            </w:tcBorders>
            <w:gridSpan w:val="3"/>
          </w:tcPr>
          <w:p>
            <w:pPr>
              <w:jc w:val="right"/>
              <w:ind w:right="548"/>
              <w:spacing w:after="0"/>
              <w:rPr>
                <w:sz w:val="20"/>
                <w:szCs w:val="20"/>
                <w:color w:val="auto"/>
              </w:rPr>
            </w:pPr>
            <w:r>
              <w:rPr>
                <w:rFonts w:ascii="Arial" w:cs="Arial" w:eastAsia="Arial" w:hAnsi="Arial"/>
                <w:sz w:val="14"/>
                <w:szCs w:val="14"/>
                <w:color w:val="auto"/>
              </w:rPr>
              <w:t>Current liabilities</w:t>
            </w:r>
          </w:p>
        </w:tc>
        <w:tc>
          <w:tcPr>
            <w:tcW w:w="2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4080" w:type="dxa"/>
            <w:vAlign w:val="bottom"/>
          </w:tcPr>
          <w:p>
            <w:pPr>
              <w:spacing w:after="0"/>
              <w:rPr>
                <w:sz w:val="12"/>
                <w:szCs w:val="12"/>
                <w:color w:val="auto"/>
              </w:rPr>
            </w:pPr>
          </w:p>
        </w:tc>
        <w:tc>
          <w:tcPr>
            <w:tcW w:w="1140" w:type="dxa"/>
            <w:vAlign w:val="bottom"/>
            <w:gridSpan w:val="2"/>
          </w:tcPr>
          <w:p>
            <w:pPr>
              <w:jc w:val="right"/>
              <w:ind w:right="108"/>
              <w:spacing w:after="0" w:line="149" w:lineRule="exact"/>
              <w:rPr>
                <w:sz w:val="20"/>
                <w:szCs w:val="20"/>
                <w:color w:val="auto"/>
              </w:rPr>
            </w:pPr>
            <w:r>
              <w:rPr>
                <w:rFonts w:ascii="Arial" w:cs="Arial" w:eastAsia="Arial" w:hAnsi="Arial"/>
                <w:sz w:val="14"/>
                <w:szCs w:val="14"/>
                <w:color w:val="auto"/>
              </w:rPr>
              <w:t>Other current</w:t>
            </w:r>
          </w:p>
        </w:tc>
        <w:tc>
          <w:tcPr>
            <w:tcW w:w="240" w:type="dxa"/>
            <w:vAlign w:val="bottom"/>
          </w:tcPr>
          <w:p>
            <w:pPr>
              <w:spacing w:after="0"/>
              <w:rPr>
                <w:sz w:val="12"/>
                <w:szCs w:val="12"/>
                <w:color w:val="auto"/>
              </w:rPr>
            </w:pPr>
          </w:p>
        </w:tc>
        <w:tc>
          <w:tcPr>
            <w:tcW w:w="920" w:type="dxa"/>
            <w:vAlign w:val="bottom"/>
          </w:tcPr>
          <w:p>
            <w:pPr>
              <w:jc w:val="right"/>
              <w:ind w:right="348"/>
              <w:spacing w:after="0" w:line="149" w:lineRule="exact"/>
              <w:rPr>
                <w:sz w:val="20"/>
                <w:szCs w:val="20"/>
                <w:color w:val="auto"/>
              </w:rPr>
            </w:pPr>
            <w:r>
              <w:rPr>
                <w:rFonts w:ascii="Arial" w:cs="Arial" w:eastAsia="Arial" w:hAnsi="Arial"/>
                <w:sz w:val="14"/>
                <w:szCs w:val="14"/>
                <w:color w:val="auto"/>
              </w:rPr>
              <w:t>Assets</w:t>
            </w:r>
          </w:p>
        </w:tc>
        <w:tc>
          <w:tcPr>
            <w:tcW w:w="1300" w:type="dxa"/>
            <w:vAlign w:val="bottom"/>
            <w:gridSpan w:val="2"/>
          </w:tcPr>
          <w:p>
            <w:pPr>
              <w:jc w:val="right"/>
              <w:ind w:right="68"/>
              <w:spacing w:after="0" w:line="149" w:lineRule="exact"/>
              <w:rPr>
                <w:sz w:val="20"/>
                <w:szCs w:val="20"/>
                <w:color w:val="auto"/>
              </w:rPr>
            </w:pPr>
            <w:r>
              <w:rPr>
                <w:rFonts w:ascii="Arial" w:cs="Arial" w:eastAsia="Arial" w:hAnsi="Arial"/>
                <w:sz w:val="14"/>
                <w:szCs w:val="14"/>
                <w:color w:val="auto"/>
              </w:rPr>
              <w:t>Other long-term</w:t>
            </w:r>
          </w:p>
        </w:tc>
        <w:tc>
          <w:tcPr>
            <w:tcW w:w="100" w:type="dxa"/>
            <w:vAlign w:val="bottom"/>
          </w:tcPr>
          <w:p>
            <w:pPr>
              <w:spacing w:after="0"/>
              <w:rPr>
                <w:sz w:val="12"/>
                <w:szCs w:val="12"/>
                <w:color w:val="auto"/>
              </w:rPr>
            </w:pPr>
          </w:p>
        </w:tc>
        <w:tc>
          <w:tcPr>
            <w:tcW w:w="1040" w:type="dxa"/>
            <w:vAlign w:val="bottom"/>
          </w:tcPr>
          <w:p>
            <w:pPr>
              <w:jc w:val="right"/>
              <w:ind w:right="88"/>
              <w:spacing w:after="0" w:line="149" w:lineRule="exact"/>
              <w:rPr>
                <w:sz w:val="20"/>
                <w:szCs w:val="20"/>
                <w:color w:val="auto"/>
              </w:rPr>
            </w:pPr>
            <w:r>
              <w:rPr>
                <w:rFonts w:ascii="Arial" w:cs="Arial" w:eastAsia="Arial" w:hAnsi="Arial"/>
                <w:sz w:val="14"/>
                <w:szCs w:val="14"/>
                <w:color w:val="auto"/>
              </w:rPr>
              <w:t>Other current</w:t>
            </w:r>
          </w:p>
        </w:tc>
        <w:tc>
          <w:tcPr>
            <w:tcW w:w="160" w:type="dxa"/>
            <w:vAlign w:val="bottom"/>
          </w:tcPr>
          <w:p>
            <w:pPr>
              <w:spacing w:after="0"/>
              <w:rPr>
                <w:sz w:val="12"/>
                <w:szCs w:val="12"/>
                <w:color w:val="auto"/>
              </w:rPr>
            </w:pPr>
          </w:p>
        </w:tc>
        <w:tc>
          <w:tcPr>
            <w:tcW w:w="1000" w:type="dxa"/>
            <w:vAlign w:val="bottom"/>
          </w:tcPr>
          <w:p>
            <w:pPr>
              <w:jc w:val="right"/>
              <w:ind w:right="28"/>
              <w:spacing w:after="0" w:line="149" w:lineRule="exact"/>
              <w:rPr>
                <w:sz w:val="20"/>
                <w:szCs w:val="20"/>
                <w:color w:val="auto"/>
              </w:rPr>
            </w:pPr>
            <w:r>
              <w:rPr>
                <w:rFonts w:ascii="Arial" w:cs="Arial" w:eastAsia="Arial" w:hAnsi="Arial"/>
                <w:sz w:val="14"/>
                <w:szCs w:val="14"/>
                <w:color w:val="auto"/>
              </w:rPr>
              <w:t>Liabilities held</w:t>
            </w:r>
          </w:p>
        </w:tc>
        <w:tc>
          <w:tcPr>
            <w:tcW w:w="12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Deferred credits</w:t>
            </w:r>
          </w:p>
        </w:tc>
        <w:tc>
          <w:tcPr>
            <w:tcW w:w="0" w:type="dxa"/>
            <w:vAlign w:val="bottom"/>
          </w:tcPr>
          <w:p>
            <w:pPr>
              <w:spacing w:after="0"/>
              <w:rPr>
                <w:sz w:val="1"/>
                <w:szCs w:val="1"/>
                <w:color w:val="auto"/>
              </w:rPr>
            </w:pPr>
          </w:p>
        </w:tc>
      </w:tr>
      <w:tr>
        <w:trPr>
          <w:trHeight w:val="189"/>
        </w:trPr>
        <w:tc>
          <w:tcPr>
            <w:tcW w:w="408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assets</w:t>
            </w:r>
          </w:p>
        </w:tc>
        <w:tc>
          <w:tcPr>
            <w:tcW w:w="3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2"/>
          </w:tcPr>
          <w:p>
            <w:pPr>
              <w:jc w:val="right"/>
              <w:ind w:right="168"/>
              <w:spacing w:after="0"/>
              <w:rPr>
                <w:sz w:val="20"/>
                <w:szCs w:val="20"/>
                <w:color w:val="auto"/>
              </w:rPr>
            </w:pPr>
            <w:r>
              <w:rPr>
                <w:rFonts w:ascii="Arial" w:cs="Arial" w:eastAsia="Arial" w:hAnsi="Arial"/>
                <w:sz w:val="14"/>
                <w:szCs w:val="14"/>
                <w:color w:val="auto"/>
              </w:rPr>
              <w:t>held for sale</w:t>
            </w:r>
          </w:p>
        </w:tc>
        <w:tc>
          <w:tcPr>
            <w:tcW w:w="3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color w:val="auto"/>
              </w:rPr>
              <w:t>assets</w:t>
            </w:r>
          </w:p>
        </w:tc>
        <w:tc>
          <w:tcPr>
            <w:tcW w:w="1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color w:val="auto"/>
              </w:rPr>
              <w:t>liabilities</w:t>
            </w:r>
          </w:p>
        </w:tc>
        <w:tc>
          <w:tcPr>
            <w:tcW w:w="1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color w:val="auto"/>
              </w:rPr>
              <w:t>for sale</w:t>
            </w: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and other</w:t>
            </w:r>
          </w:p>
        </w:tc>
        <w:tc>
          <w:tcPr>
            <w:tcW w:w="0" w:type="dxa"/>
            <w:vAlign w:val="bottom"/>
          </w:tcPr>
          <w:p>
            <w:pPr>
              <w:spacing w:after="0"/>
              <w:rPr>
                <w:sz w:val="1"/>
                <w:szCs w:val="1"/>
                <w:color w:val="auto"/>
              </w:rPr>
            </w:pPr>
          </w:p>
        </w:tc>
      </w:tr>
      <w:tr>
        <w:trPr>
          <w:trHeight w:val="196"/>
        </w:trPr>
        <w:tc>
          <w:tcPr>
            <w:tcW w:w="4080" w:type="dxa"/>
            <w:vAlign w:val="bottom"/>
            <w:shd w:val="clear" w:color="auto" w:fill="D4F1F5"/>
          </w:tcPr>
          <w:p>
            <w:pPr>
              <w:ind w:left="20"/>
              <w:spacing w:after="0"/>
              <w:rPr>
                <w:sz w:val="20"/>
                <w:szCs w:val="20"/>
                <w:color w:val="auto"/>
              </w:rPr>
            </w:pPr>
            <w:r>
              <w:rPr>
                <w:rFonts w:ascii="Arial" w:cs="Arial" w:eastAsia="Arial" w:hAnsi="Arial"/>
                <w:sz w:val="14"/>
                <w:szCs w:val="14"/>
                <w:b w:val="1"/>
                <w:bCs w:val="1"/>
                <w:color w:val="auto"/>
              </w:rPr>
              <w:t>Sempra:</w:t>
            </w:r>
          </w:p>
        </w:tc>
        <w:tc>
          <w:tcPr>
            <w:tcW w:w="820" w:type="dxa"/>
            <w:vAlign w:val="bottom"/>
            <w:shd w:val="clear" w:color="auto" w:fill="D4F1F5"/>
          </w:tcPr>
          <w:p>
            <w:pPr>
              <w:spacing w:after="0"/>
              <w:rPr>
                <w:sz w:val="17"/>
                <w:szCs w:val="17"/>
                <w:color w:val="auto"/>
              </w:rPr>
            </w:pPr>
          </w:p>
        </w:tc>
        <w:tc>
          <w:tcPr>
            <w:tcW w:w="320" w:type="dxa"/>
            <w:vAlign w:val="bottom"/>
            <w:shd w:val="clear" w:color="auto" w:fill="D4F1F5"/>
          </w:tcPr>
          <w:p>
            <w:pPr>
              <w:spacing w:after="0"/>
              <w:rPr>
                <w:sz w:val="17"/>
                <w:szCs w:val="17"/>
                <w:color w:val="auto"/>
              </w:rPr>
            </w:pPr>
          </w:p>
        </w:tc>
        <w:tc>
          <w:tcPr>
            <w:tcW w:w="240" w:type="dxa"/>
            <w:vAlign w:val="bottom"/>
            <w:shd w:val="clear" w:color="auto" w:fill="D4F1F5"/>
          </w:tcPr>
          <w:p>
            <w:pPr>
              <w:spacing w:after="0"/>
              <w:rPr>
                <w:sz w:val="17"/>
                <w:szCs w:val="17"/>
                <w:color w:val="auto"/>
              </w:rPr>
            </w:pPr>
          </w:p>
        </w:tc>
        <w:tc>
          <w:tcPr>
            <w:tcW w:w="920" w:type="dxa"/>
            <w:vAlign w:val="bottom"/>
            <w:shd w:val="clear" w:color="auto" w:fill="D4F1F5"/>
          </w:tcPr>
          <w:p>
            <w:pPr>
              <w:spacing w:after="0"/>
              <w:rPr>
                <w:sz w:val="17"/>
                <w:szCs w:val="17"/>
                <w:color w:val="auto"/>
              </w:rPr>
            </w:pPr>
          </w:p>
        </w:tc>
        <w:tc>
          <w:tcPr>
            <w:tcW w:w="320" w:type="dxa"/>
            <w:vAlign w:val="bottom"/>
            <w:shd w:val="clear" w:color="auto" w:fill="D4F1F5"/>
          </w:tcPr>
          <w:p>
            <w:pPr>
              <w:spacing w:after="0"/>
              <w:rPr>
                <w:sz w:val="17"/>
                <w:szCs w:val="17"/>
                <w:color w:val="auto"/>
              </w:rPr>
            </w:pPr>
          </w:p>
        </w:tc>
        <w:tc>
          <w:tcPr>
            <w:tcW w:w="980" w:type="dxa"/>
            <w:vAlign w:val="bottom"/>
            <w:shd w:val="clear" w:color="auto" w:fill="D4F1F5"/>
          </w:tcPr>
          <w:p>
            <w:pPr>
              <w:spacing w:after="0"/>
              <w:rPr>
                <w:sz w:val="17"/>
                <w:szCs w:val="17"/>
                <w:color w:val="auto"/>
              </w:rPr>
            </w:pPr>
          </w:p>
        </w:tc>
        <w:tc>
          <w:tcPr>
            <w:tcW w:w="100" w:type="dxa"/>
            <w:vAlign w:val="bottom"/>
            <w:shd w:val="clear" w:color="auto" w:fill="D4F1F5"/>
          </w:tcPr>
          <w:p>
            <w:pPr>
              <w:spacing w:after="0"/>
              <w:rPr>
                <w:sz w:val="17"/>
                <w:szCs w:val="17"/>
                <w:color w:val="auto"/>
              </w:rPr>
            </w:pPr>
          </w:p>
        </w:tc>
        <w:tc>
          <w:tcPr>
            <w:tcW w:w="1040" w:type="dxa"/>
            <w:vAlign w:val="bottom"/>
            <w:shd w:val="clear" w:color="auto" w:fill="D4F1F5"/>
          </w:tcPr>
          <w:p>
            <w:pPr>
              <w:spacing w:after="0"/>
              <w:rPr>
                <w:sz w:val="17"/>
                <w:szCs w:val="17"/>
                <w:color w:val="auto"/>
              </w:rPr>
            </w:pPr>
          </w:p>
        </w:tc>
        <w:tc>
          <w:tcPr>
            <w:tcW w:w="160" w:type="dxa"/>
            <w:vAlign w:val="bottom"/>
            <w:shd w:val="clear" w:color="auto" w:fill="D4F1F5"/>
          </w:tcPr>
          <w:p>
            <w:pPr>
              <w:spacing w:after="0"/>
              <w:rPr>
                <w:sz w:val="17"/>
                <w:szCs w:val="17"/>
                <w:color w:val="auto"/>
              </w:rPr>
            </w:pPr>
          </w:p>
        </w:tc>
        <w:tc>
          <w:tcPr>
            <w:tcW w:w="1000" w:type="dxa"/>
            <w:vAlign w:val="bottom"/>
            <w:shd w:val="clear" w:color="auto" w:fill="D4F1F5"/>
          </w:tcPr>
          <w:p>
            <w:pPr>
              <w:spacing w:after="0"/>
              <w:rPr>
                <w:sz w:val="17"/>
                <w:szCs w:val="17"/>
                <w:color w:val="auto"/>
              </w:rPr>
            </w:pPr>
          </w:p>
        </w:tc>
        <w:tc>
          <w:tcPr>
            <w:tcW w:w="280" w:type="dxa"/>
            <w:vAlign w:val="bottom"/>
            <w:shd w:val="clear" w:color="auto" w:fill="D4F1F5"/>
          </w:tcPr>
          <w:p>
            <w:pPr>
              <w:spacing w:after="0"/>
              <w:rPr>
                <w:sz w:val="17"/>
                <w:szCs w:val="17"/>
                <w:color w:val="auto"/>
              </w:rPr>
            </w:pPr>
          </w:p>
        </w:tc>
        <w:tc>
          <w:tcPr>
            <w:tcW w:w="920" w:type="dxa"/>
            <w:vAlign w:val="bottom"/>
            <w:shd w:val="clear" w:color="auto" w:fill="D4F1F5"/>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4080" w:type="dxa"/>
            <w:vAlign w:val="bottom"/>
          </w:tcPr>
          <w:p>
            <w:pPr>
              <w:ind w:left="20"/>
              <w:spacing w:after="0"/>
              <w:rPr>
                <w:sz w:val="20"/>
                <w:szCs w:val="20"/>
                <w:color w:val="auto"/>
              </w:rPr>
            </w:pPr>
            <w:r>
              <w:rPr>
                <w:rFonts w:ascii="Arial" w:cs="Arial" w:eastAsia="Arial" w:hAnsi="Arial"/>
                <w:sz w:val="14"/>
                <w:szCs w:val="14"/>
                <w:color w:val="auto"/>
              </w:rPr>
              <w:t>Derivatives designated as hedging instruments:</w:t>
            </w:r>
          </w:p>
        </w:tc>
        <w:tc>
          <w:tcPr>
            <w:tcW w:w="8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4080" w:type="dxa"/>
            <w:vAlign w:val="bottom"/>
            <w:shd w:val="clear" w:color="auto" w:fill="D4F1F5"/>
          </w:tcPr>
          <w:p>
            <w:pPr>
              <w:ind w:left="240"/>
              <w:spacing w:after="0"/>
              <w:rPr>
                <w:sz w:val="20"/>
                <w:szCs w:val="20"/>
                <w:color w:val="auto"/>
              </w:rPr>
            </w:pPr>
            <w:r>
              <w:rPr>
                <w:rFonts w:ascii="Arial" w:cs="Arial" w:eastAsia="Arial" w:hAnsi="Arial"/>
                <w:sz w:val="14"/>
                <w:szCs w:val="14"/>
                <w:color w:val="auto"/>
              </w:rPr>
              <w:t>Interest rate instruments</w:t>
            </w:r>
          </w:p>
        </w:tc>
        <w:tc>
          <w:tcPr>
            <w:tcW w:w="820" w:type="dxa"/>
            <w:vAlign w:val="bottom"/>
            <w:shd w:val="clear" w:color="auto" w:fill="D4F1F5"/>
          </w:tcPr>
          <w:p>
            <w:pPr>
              <w:spacing w:after="0"/>
              <w:rPr>
                <w:sz w:val="17"/>
                <w:szCs w:val="17"/>
                <w:color w:val="auto"/>
              </w:rPr>
            </w:pPr>
          </w:p>
        </w:tc>
        <w:tc>
          <w:tcPr>
            <w:tcW w:w="320" w:type="dxa"/>
            <w:vAlign w:val="bottom"/>
            <w:shd w:val="clear" w:color="auto" w:fill="D4F1F5"/>
          </w:tcPr>
          <w:p>
            <w:pPr>
              <w:spacing w:after="0"/>
              <w:rPr>
                <w:sz w:val="17"/>
                <w:szCs w:val="17"/>
                <w:color w:val="auto"/>
              </w:rPr>
            </w:pPr>
          </w:p>
        </w:tc>
        <w:tc>
          <w:tcPr>
            <w:tcW w:w="240" w:type="dxa"/>
            <w:vAlign w:val="bottom"/>
            <w:shd w:val="clear" w:color="auto" w:fill="D4F1F5"/>
          </w:tcPr>
          <w:p>
            <w:pPr>
              <w:jc w:val="right"/>
              <w:ind w:right="8"/>
              <w:spacing w:after="0"/>
              <w:rPr>
                <w:sz w:val="20"/>
                <w:szCs w:val="20"/>
                <w:color w:val="auto"/>
              </w:rPr>
            </w:pPr>
            <w:r>
              <w:rPr>
                <w:rFonts w:ascii="Arial" w:cs="Arial" w:eastAsia="Arial" w:hAnsi="Arial"/>
                <w:sz w:val="14"/>
                <w:szCs w:val="14"/>
                <w:color w:val="auto"/>
              </w:rPr>
              <w:t>$</w:t>
            </w:r>
          </w:p>
        </w:tc>
        <w:tc>
          <w:tcPr>
            <w:tcW w:w="920" w:type="dxa"/>
            <w:vAlign w:val="bottom"/>
            <w:shd w:val="clear" w:color="auto" w:fill="D4F1F5"/>
          </w:tcPr>
          <w:p>
            <w:pPr>
              <w:jc w:val="right"/>
              <w:spacing w:after="0"/>
              <w:rPr>
                <w:sz w:val="20"/>
                <w:szCs w:val="20"/>
                <w:color w:val="auto"/>
              </w:rPr>
            </w:pPr>
            <w:r>
              <w:rPr>
                <w:rFonts w:ascii="Arial" w:cs="Arial" w:eastAsia="Arial" w:hAnsi="Arial"/>
                <w:sz w:val="14"/>
                <w:szCs w:val="14"/>
                <w:color w:val="auto"/>
              </w:rPr>
              <w:t>25</w:t>
            </w:r>
          </w:p>
        </w:tc>
        <w:tc>
          <w:tcPr>
            <w:tcW w:w="320" w:type="dxa"/>
            <w:vAlign w:val="bottom"/>
            <w:shd w:val="clear" w:color="auto" w:fill="D4F1F5"/>
          </w:tcPr>
          <w:p>
            <w:pPr>
              <w:spacing w:after="0"/>
              <w:rPr>
                <w:sz w:val="17"/>
                <w:szCs w:val="17"/>
                <w:color w:val="auto"/>
              </w:rPr>
            </w:pPr>
          </w:p>
        </w:tc>
        <w:tc>
          <w:tcPr>
            <w:tcW w:w="980" w:type="dxa"/>
            <w:vAlign w:val="bottom"/>
            <w:shd w:val="clear" w:color="auto" w:fill="D4F1F5"/>
          </w:tcPr>
          <w:p>
            <w:pPr>
              <w:spacing w:after="0"/>
              <w:rPr>
                <w:sz w:val="17"/>
                <w:szCs w:val="17"/>
                <w:color w:val="auto"/>
              </w:rPr>
            </w:pPr>
          </w:p>
        </w:tc>
        <w:tc>
          <w:tcPr>
            <w:tcW w:w="100" w:type="dxa"/>
            <w:vAlign w:val="bottom"/>
            <w:shd w:val="clear" w:color="auto" w:fill="D4F1F5"/>
          </w:tcPr>
          <w:p>
            <w:pPr>
              <w:spacing w:after="0"/>
              <w:rPr>
                <w:sz w:val="17"/>
                <w:szCs w:val="17"/>
                <w:color w:val="auto"/>
              </w:rPr>
            </w:pPr>
          </w:p>
        </w:tc>
        <w:tc>
          <w:tcPr>
            <w:tcW w:w="1040" w:type="dxa"/>
            <w:vAlign w:val="bottom"/>
            <w:shd w:val="clear" w:color="auto" w:fill="D4F1F5"/>
          </w:tcPr>
          <w:p>
            <w:pPr>
              <w:spacing w:after="0"/>
              <w:rPr>
                <w:sz w:val="17"/>
                <w:szCs w:val="17"/>
                <w:color w:val="auto"/>
              </w:rPr>
            </w:pPr>
          </w:p>
        </w:tc>
        <w:tc>
          <w:tcPr>
            <w:tcW w:w="160" w:type="dxa"/>
            <w:vAlign w:val="bottom"/>
            <w:shd w:val="clear" w:color="auto" w:fill="D4F1F5"/>
          </w:tcPr>
          <w:p>
            <w:pPr>
              <w:jc w:val="right"/>
              <w:spacing w:after="0"/>
              <w:rPr>
                <w:sz w:val="20"/>
                <w:szCs w:val="20"/>
                <w:color w:val="auto"/>
              </w:rPr>
            </w:pPr>
            <w:r>
              <w:rPr>
                <w:rFonts w:ascii="Arial" w:cs="Arial" w:eastAsia="Arial" w:hAnsi="Arial"/>
                <w:sz w:val="14"/>
                <w:szCs w:val="14"/>
                <w:color w:val="auto"/>
              </w:rPr>
              <w:t>$</w:t>
            </w:r>
          </w:p>
        </w:tc>
        <w:tc>
          <w:tcPr>
            <w:tcW w:w="1000" w:type="dxa"/>
            <w:vAlign w:val="bottom"/>
            <w:shd w:val="clear" w:color="auto" w:fill="D4F1F5"/>
          </w:tcPr>
          <w:p>
            <w:pPr>
              <w:jc w:val="right"/>
              <w:spacing w:after="0"/>
              <w:rPr>
                <w:sz w:val="20"/>
                <w:szCs w:val="20"/>
                <w:color w:val="auto"/>
              </w:rPr>
            </w:pPr>
            <w:r>
              <w:rPr>
                <w:rFonts w:ascii="Arial" w:cs="Arial" w:eastAsia="Arial" w:hAnsi="Arial"/>
                <w:sz w:val="14"/>
                <w:szCs w:val="14"/>
                <w:color w:val="auto"/>
              </w:rPr>
              <w:t>—</w:t>
            </w:r>
          </w:p>
        </w:tc>
        <w:tc>
          <w:tcPr>
            <w:tcW w:w="280" w:type="dxa"/>
            <w:vAlign w:val="bottom"/>
            <w:shd w:val="clear" w:color="auto" w:fill="D4F1F5"/>
          </w:tcPr>
          <w:p>
            <w:pPr>
              <w:spacing w:after="0"/>
              <w:rPr>
                <w:sz w:val="17"/>
                <w:szCs w:val="17"/>
                <w:color w:val="auto"/>
              </w:rPr>
            </w:pPr>
          </w:p>
        </w:tc>
        <w:tc>
          <w:tcPr>
            <w:tcW w:w="920" w:type="dxa"/>
            <w:vAlign w:val="bottom"/>
            <w:shd w:val="clear" w:color="auto" w:fill="D4F1F5"/>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4080" w:type="dxa"/>
            <w:vAlign w:val="bottom"/>
          </w:tcPr>
          <w:p>
            <w:pPr>
              <w:ind w:left="240"/>
              <w:spacing w:after="0"/>
              <w:rPr>
                <w:sz w:val="20"/>
                <w:szCs w:val="20"/>
                <w:color w:val="auto"/>
              </w:rPr>
            </w:pPr>
            <w:r>
              <w:rPr>
                <w:rFonts w:ascii="Arial" w:cs="Arial" w:eastAsia="Arial" w:hAnsi="Arial"/>
                <w:sz w:val="14"/>
                <w:szCs w:val="14"/>
                <w:color w:val="auto"/>
              </w:rPr>
              <w:t>Foreign exchange instruments</w:t>
            </w:r>
          </w:p>
        </w:tc>
        <w:tc>
          <w:tcPr>
            <w:tcW w:w="8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(6)</w:t>
            </w:r>
          </w:p>
        </w:tc>
        <w:tc>
          <w:tcPr>
            <w:tcW w:w="2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4080" w:type="dxa"/>
            <w:vAlign w:val="bottom"/>
            <w:shd w:val="clear" w:color="auto" w:fill="D4F1F5"/>
          </w:tcPr>
          <w:p>
            <w:pPr>
              <w:ind w:left="20"/>
              <w:spacing w:after="0"/>
              <w:rPr>
                <w:sz w:val="20"/>
                <w:szCs w:val="20"/>
                <w:color w:val="auto"/>
              </w:rPr>
            </w:pPr>
            <w:r>
              <w:rPr>
                <w:rFonts w:ascii="Arial" w:cs="Arial" w:eastAsia="Arial" w:hAnsi="Arial"/>
                <w:sz w:val="14"/>
                <w:szCs w:val="14"/>
                <w:color w:val="auto"/>
              </w:rPr>
              <w:t>Derivatives not designated as hedging instruments:</w:t>
            </w:r>
          </w:p>
        </w:tc>
        <w:tc>
          <w:tcPr>
            <w:tcW w:w="820" w:type="dxa"/>
            <w:vAlign w:val="bottom"/>
            <w:shd w:val="clear" w:color="auto" w:fill="D4F1F5"/>
          </w:tcPr>
          <w:p>
            <w:pPr>
              <w:spacing w:after="0"/>
              <w:rPr>
                <w:sz w:val="17"/>
                <w:szCs w:val="17"/>
                <w:color w:val="auto"/>
              </w:rPr>
            </w:pPr>
          </w:p>
        </w:tc>
        <w:tc>
          <w:tcPr>
            <w:tcW w:w="320" w:type="dxa"/>
            <w:vAlign w:val="bottom"/>
            <w:shd w:val="clear" w:color="auto" w:fill="D4F1F5"/>
          </w:tcPr>
          <w:p>
            <w:pPr>
              <w:spacing w:after="0"/>
              <w:rPr>
                <w:sz w:val="17"/>
                <w:szCs w:val="17"/>
                <w:color w:val="auto"/>
              </w:rPr>
            </w:pPr>
          </w:p>
        </w:tc>
        <w:tc>
          <w:tcPr>
            <w:tcW w:w="240" w:type="dxa"/>
            <w:vAlign w:val="bottom"/>
            <w:shd w:val="clear" w:color="auto" w:fill="D4F1F5"/>
          </w:tcPr>
          <w:p>
            <w:pPr>
              <w:spacing w:after="0"/>
              <w:rPr>
                <w:sz w:val="17"/>
                <w:szCs w:val="17"/>
                <w:color w:val="auto"/>
              </w:rPr>
            </w:pPr>
          </w:p>
        </w:tc>
        <w:tc>
          <w:tcPr>
            <w:tcW w:w="920" w:type="dxa"/>
            <w:vAlign w:val="bottom"/>
            <w:shd w:val="clear" w:color="auto" w:fill="D4F1F5"/>
          </w:tcPr>
          <w:p>
            <w:pPr>
              <w:spacing w:after="0"/>
              <w:rPr>
                <w:sz w:val="17"/>
                <w:szCs w:val="17"/>
                <w:color w:val="auto"/>
              </w:rPr>
            </w:pPr>
          </w:p>
        </w:tc>
        <w:tc>
          <w:tcPr>
            <w:tcW w:w="320" w:type="dxa"/>
            <w:vAlign w:val="bottom"/>
            <w:shd w:val="clear" w:color="auto" w:fill="D4F1F5"/>
          </w:tcPr>
          <w:p>
            <w:pPr>
              <w:spacing w:after="0"/>
              <w:rPr>
                <w:sz w:val="17"/>
                <w:szCs w:val="17"/>
                <w:color w:val="auto"/>
              </w:rPr>
            </w:pPr>
          </w:p>
        </w:tc>
        <w:tc>
          <w:tcPr>
            <w:tcW w:w="980" w:type="dxa"/>
            <w:vAlign w:val="bottom"/>
            <w:shd w:val="clear" w:color="auto" w:fill="D4F1F5"/>
          </w:tcPr>
          <w:p>
            <w:pPr>
              <w:spacing w:after="0"/>
              <w:rPr>
                <w:sz w:val="17"/>
                <w:szCs w:val="17"/>
                <w:color w:val="auto"/>
              </w:rPr>
            </w:pPr>
          </w:p>
        </w:tc>
        <w:tc>
          <w:tcPr>
            <w:tcW w:w="100" w:type="dxa"/>
            <w:vAlign w:val="bottom"/>
            <w:shd w:val="clear" w:color="auto" w:fill="D4F1F5"/>
          </w:tcPr>
          <w:p>
            <w:pPr>
              <w:spacing w:after="0"/>
              <w:rPr>
                <w:sz w:val="17"/>
                <w:szCs w:val="17"/>
                <w:color w:val="auto"/>
              </w:rPr>
            </w:pPr>
          </w:p>
        </w:tc>
        <w:tc>
          <w:tcPr>
            <w:tcW w:w="1040" w:type="dxa"/>
            <w:vAlign w:val="bottom"/>
            <w:shd w:val="clear" w:color="auto" w:fill="D4F1F5"/>
          </w:tcPr>
          <w:p>
            <w:pPr>
              <w:spacing w:after="0"/>
              <w:rPr>
                <w:sz w:val="17"/>
                <w:szCs w:val="17"/>
                <w:color w:val="auto"/>
              </w:rPr>
            </w:pPr>
          </w:p>
        </w:tc>
        <w:tc>
          <w:tcPr>
            <w:tcW w:w="160" w:type="dxa"/>
            <w:vAlign w:val="bottom"/>
            <w:shd w:val="clear" w:color="auto" w:fill="D4F1F5"/>
          </w:tcPr>
          <w:p>
            <w:pPr>
              <w:spacing w:after="0"/>
              <w:rPr>
                <w:sz w:val="17"/>
                <w:szCs w:val="17"/>
                <w:color w:val="auto"/>
              </w:rPr>
            </w:pPr>
          </w:p>
        </w:tc>
        <w:tc>
          <w:tcPr>
            <w:tcW w:w="1000" w:type="dxa"/>
            <w:vAlign w:val="bottom"/>
            <w:shd w:val="clear" w:color="auto" w:fill="D4F1F5"/>
          </w:tcPr>
          <w:p>
            <w:pPr>
              <w:spacing w:after="0"/>
              <w:rPr>
                <w:sz w:val="17"/>
                <w:szCs w:val="17"/>
                <w:color w:val="auto"/>
              </w:rPr>
            </w:pPr>
          </w:p>
        </w:tc>
        <w:tc>
          <w:tcPr>
            <w:tcW w:w="280" w:type="dxa"/>
            <w:vAlign w:val="bottom"/>
            <w:shd w:val="clear" w:color="auto" w:fill="D4F1F5"/>
          </w:tcPr>
          <w:p>
            <w:pPr>
              <w:spacing w:after="0"/>
              <w:rPr>
                <w:sz w:val="17"/>
                <w:szCs w:val="17"/>
                <w:color w:val="auto"/>
              </w:rPr>
            </w:pPr>
          </w:p>
        </w:tc>
        <w:tc>
          <w:tcPr>
            <w:tcW w:w="920" w:type="dxa"/>
            <w:vAlign w:val="bottom"/>
            <w:shd w:val="clear" w:color="auto" w:fill="D4F1F5"/>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4080" w:type="dxa"/>
            <w:vAlign w:val="bottom"/>
          </w:tcPr>
          <w:p>
            <w:pPr>
              <w:ind w:left="240"/>
              <w:spacing w:after="0"/>
              <w:rPr>
                <w:sz w:val="20"/>
                <w:szCs w:val="20"/>
                <w:color w:val="auto"/>
              </w:rPr>
            </w:pPr>
            <w:r>
              <w:rPr>
                <w:rFonts w:ascii="Arial" w:cs="Arial" w:eastAsia="Arial" w:hAnsi="Arial"/>
                <w:sz w:val="14"/>
                <w:szCs w:val="14"/>
                <w:color w:val="auto"/>
              </w:rPr>
              <w:t>Interest rate instruments</w:t>
            </w:r>
          </w:p>
        </w:tc>
        <w:tc>
          <w:tcPr>
            <w:tcW w:w="8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153</w:t>
            </w:r>
          </w:p>
        </w:tc>
        <w:tc>
          <w:tcPr>
            <w:tcW w:w="3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4080" w:type="dxa"/>
            <w:vAlign w:val="bottom"/>
            <w:shd w:val="clear" w:color="auto" w:fill="D4F1F5"/>
          </w:tcPr>
          <w:p>
            <w:pPr>
              <w:ind w:left="240"/>
              <w:spacing w:after="0"/>
              <w:rPr>
                <w:sz w:val="20"/>
                <w:szCs w:val="20"/>
                <w:color w:val="auto"/>
              </w:rPr>
            </w:pPr>
            <w:r>
              <w:rPr>
                <w:rFonts w:ascii="Arial" w:cs="Arial" w:eastAsia="Arial" w:hAnsi="Arial"/>
                <w:sz w:val="14"/>
                <w:szCs w:val="14"/>
                <w:color w:val="auto"/>
              </w:rPr>
              <w:t>Foreign exchange instruments</w:t>
            </w:r>
          </w:p>
        </w:tc>
        <w:tc>
          <w:tcPr>
            <w:tcW w:w="820" w:type="dxa"/>
            <w:vAlign w:val="bottom"/>
            <w:shd w:val="clear" w:color="auto" w:fill="D4F1F5"/>
          </w:tcPr>
          <w:p>
            <w:pPr>
              <w:spacing w:after="0"/>
              <w:rPr>
                <w:sz w:val="17"/>
                <w:szCs w:val="17"/>
                <w:color w:val="auto"/>
              </w:rPr>
            </w:pPr>
          </w:p>
        </w:tc>
        <w:tc>
          <w:tcPr>
            <w:tcW w:w="320" w:type="dxa"/>
            <w:vAlign w:val="bottom"/>
            <w:shd w:val="clear" w:color="auto" w:fill="D4F1F5"/>
          </w:tcPr>
          <w:p>
            <w:pPr>
              <w:spacing w:after="0"/>
              <w:rPr>
                <w:sz w:val="17"/>
                <w:szCs w:val="17"/>
                <w:color w:val="auto"/>
              </w:rPr>
            </w:pPr>
          </w:p>
        </w:tc>
        <w:tc>
          <w:tcPr>
            <w:tcW w:w="240" w:type="dxa"/>
            <w:vAlign w:val="bottom"/>
            <w:shd w:val="clear" w:color="auto" w:fill="D4F1F5"/>
          </w:tcPr>
          <w:p>
            <w:pPr>
              <w:spacing w:after="0"/>
              <w:rPr>
                <w:sz w:val="17"/>
                <w:szCs w:val="17"/>
                <w:color w:val="auto"/>
              </w:rPr>
            </w:pPr>
          </w:p>
        </w:tc>
        <w:tc>
          <w:tcPr>
            <w:tcW w:w="920" w:type="dxa"/>
            <w:vAlign w:val="bottom"/>
            <w:shd w:val="clear" w:color="auto" w:fill="D4F1F5"/>
          </w:tcPr>
          <w:p>
            <w:pPr>
              <w:jc w:val="right"/>
              <w:spacing w:after="0"/>
              <w:rPr>
                <w:sz w:val="20"/>
                <w:szCs w:val="20"/>
                <w:color w:val="auto"/>
              </w:rPr>
            </w:pPr>
            <w:r>
              <w:rPr>
                <w:rFonts w:ascii="Arial" w:cs="Arial" w:eastAsia="Arial" w:hAnsi="Arial"/>
                <w:sz w:val="14"/>
                <w:szCs w:val="14"/>
                <w:color w:val="auto"/>
              </w:rPr>
              <w:t>12</w:t>
            </w:r>
          </w:p>
        </w:tc>
        <w:tc>
          <w:tcPr>
            <w:tcW w:w="320" w:type="dxa"/>
            <w:vAlign w:val="bottom"/>
            <w:shd w:val="clear" w:color="auto" w:fill="D4F1F5"/>
          </w:tcPr>
          <w:p>
            <w:pPr>
              <w:spacing w:after="0"/>
              <w:rPr>
                <w:sz w:val="17"/>
                <w:szCs w:val="17"/>
                <w:color w:val="auto"/>
              </w:rPr>
            </w:pPr>
          </w:p>
        </w:tc>
        <w:tc>
          <w:tcPr>
            <w:tcW w:w="980" w:type="dxa"/>
            <w:vAlign w:val="bottom"/>
            <w:shd w:val="clear" w:color="auto" w:fill="D4F1F5"/>
          </w:tcPr>
          <w:p>
            <w:pPr>
              <w:spacing w:after="0"/>
              <w:rPr>
                <w:sz w:val="17"/>
                <w:szCs w:val="17"/>
                <w:color w:val="auto"/>
              </w:rPr>
            </w:pPr>
          </w:p>
        </w:tc>
        <w:tc>
          <w:tcPr>
            <w:tcW w:w="100" w:type="dxa"/>
            <w:vAlign w:val="bottom"/>
            <w:shd w:val="clear" w:color="auto" w:fill="D4F1F5"/>
          </w:tcPr>
          <w:p>
            <w:pPr>
              <w:jc w:val="right"/>
              <w:spacing w:after="0"/>
              <w:rPr>
                <w:sz w:val="20"/>
                <w:szCs w:val="20"/>
                <w:color w:val="auto"/>
              </w:rPr>
            </w:pPr>
            <w:r>
              <w:rPr>
                <w:rFonts w:ascii="Arial" w:cs="Arial" w:eastAsia="Arial" w:hAnsi="Arial"/>
                <w:sz w:val="14"/>
                <w:szCs w:val="14"/>
                <w:color w:val="auto"/>
              </w:rPr>
              <w:t>$</w:t>
            </w:r>
          </w:p>
        </w:tc>
        <w:tc>
          <w:tcPr>
            <w:tcW w:w="1040" w:type="dxa"/>
            <w:vAlign w:val="bottom"/>
            <w:shd w:val="clear" w:color="auto" w:fill="D4F1F5"/>
          </w:tcPr>
          <w:p>
            <w:pPr>
              <w:jc w:val="right"/>
              <w:spacing w:after="0"/>
              <w:rPr>
                <w:sz w:val="20"/>
                <w:szCs w:val="20"/>
                <w:color w:val="auto"/>
              </w:rPr>
            </w:pPr>
            <w:r>
              <w:rPr>
                <w:rFonts w:ascii="Arial" w:cs="Arial" w:eastAsia="Arial" w:hAnsi="Arial"/>
                <w:sz w:val="14"/>
                <w:szCs w:val="14"/>
                <w:color w:val="auto"/>
              </w:rPr>
              <w:t>(3)</w:t>
            </w:r>
          </w:p>
        </w:tc>
        <w:tc>
          <w:tcPr>
            <w:tcW w:w="160" w:type="dxa"/>
            <w:vAlign w:val="bottom"/>
            <w:shd w:val="clear" w:color="auto" w:fill="D4F1F5"/>
          </w:tcPr>
          <w:p>
            <w:pPr>
              <w:spacing w:after="0"/>
              <w:rPr>
                <w:sz w:val="17"/>
                <w:szCs w:val="17"/>
                <w:color w:val="auto"/>
              </w:rPr>
            </w:pPr>
          </w:p>
        </w:tc>
        <w:tc>
          <w:tcPr>
            <w:tcW w:w="1000" w:type="dxa"/>
            <w:vAlign w:val="bottom"/>
            <w:shd w:val="clear" w:color="auto" w:fill="D4F1F5"/>
          </w:tcPr>
          <w:p>
            <w:pPr>
              <w:jc w:val="right"/>
              <w:spacing w:after="0"/>
              <w:rPr>
                <w:sz w:val="20"/>
                <w:szCs w:val="20"/>
                <w:color w:val="auto"/>
              </w:rPr>
            </w:pPr>
            <w:r>
              <w:rPr>
                <w:rFonts w:ascii="Arial" w:cs="Arial" w:eastAsia="Arial" w:hAnsi="Arial"/>
                <w:sz w:val="14"/>
                <w:szCs w:val="14"/>
                <w:color w:val="auto"/>
              </w:rPr>
              <w:t>—</w:t>
            </w:r>
          </w:p>
        </w:tc>
        <w:tc>
          <w:tcPr>
            <w:tcW w:w="280" w:type="dxa"/>
            <w:vAlign w:val="bottom"/>
            <w:shd w:val="clear" w:color="auto" w:fill="D4F1F5"/>
          </w:tcPr>
          <w:p>
            <w:pPr>
              <w:spacing w:after="0"/>
              <w:rPr>
                <w:sz w:val="17"/>
                <w:szCs w:val="17"/>
                <w:color w:val="auto"/>
              </w:rPr>
            </w:pPr>
          </w:p>
        </w:tc>
        <w:tc>
          <w:tcPr>
            <w:tcW w:w="920" w:type="dxa"/>
            <w:vAlign w:val="bottom"/>
            <w:shd w:val="clear" w:color="auto" w:fill="D4F1F5"/>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4080" w:type="dxa"/>
            <w:vAlign w:val="bottom"/>
          </w:tcPr>
          <w:p>
            <w:pPr>
              <w:ind w:left="240"/>
              <w:spacing w:after="0"/>
              <w:rPr>
                <w:sz w:val="20"/>
                <w:szCs w:val="20"/>
                <w:color w:val="auto"/>
              </w:rPr>
            </w:pPr>
            <w:r>
              <w:rPr>
                <w:rFonts w:ascii="Arial" w:cs="Arial" w:eastAsia="Arial" w:hAnsi="Arial"/>
                <w:sz w:val="14"/>
                <w:szCs w:val="14"/>
                <w:color w:val="auto"/>
              </w:rPr>
              <w:t>Commodity contracts not subject to rate recovery</w:t>
            </w:r>
          </w:p>
        </w:tc>
        <w:tc>
          <w:tcPr>
            <w:tcW w:w="8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226</w:t>
            </w:r>
          </w:p>
        </w:tc>
        <w:tc>
          <w:tcPr>
            <w:tcW w:w="3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(231)</w:t>
            </w:r>
          </w:p>
        </w:tc>
        <w:tc>
          <w:tcPr>
            <w:tcW w:w="2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4080" w:type="dxa"/>
            <w:vAlign w:val="bottom"/>
            <w:shd w:val="clear" w:color="auto" w:fill="D4F1F5"/>
          </w:tcPr>
          <w:p>
            <w:pPr>
              <w:ind w:left="460"/>
              <w:spacing w:after="0"/>
              <w:rPr>
                <w:sz w:val="20"/>
                <w:szCs w:val="20"/>
                <w:color w:val="auto"/>
              </w:rPr>
            </w:pPr>
            <w:r>
              <w:rPr>
                <w:rFonts w:ascii="Arial" w:cs="Arial" w:eastAsia="Arial" w:hAnsi="Arial"/>
                <w:sz w:val="14"/>
                <w:szCs w:val="14"/>
                <w:color w:val="auto"/>
              </w:rPr>
              <w:t>Associated offsetting commodity contracts</w:t>
            </w:r>
          </w:p>
        </w:tc>
        <w:tc>
          <w:tcPr>
            <w:tcW w:w="820" w:type="dxa"/>
            <w:vAlign w:val="bottom"/>
            <w:shd w:val="clear" w:color="auto" w:fill="D4F1F5"/>
          </w:tcPr>
          <w:p>
            <w:pPr>
              <w:spacing w:after="0"/>
              <w:rPr>
                <w:sz w:val="17"/>
                <w:szCs w:val="17"/>
                <w:color w:val="auto"/>
              </w:rPr>
            </w:pPr>
          </w:p>
        </w:tc>
        <w:tc>
          <w:tcPr>
            <w:tcW w:w="320" w:type="dxa"/>
            <w:vAlign w:val="bottom"/>
            <w:shd w:val="clear" w:color="auto" w:fill="D4F1F5"/>
          </w:tcPr>
          <w:p>
            <w:pPr>
              <w:spacing w:after="0"/>
              <w:rPr>
                <w:sz w:val="17"/>
                <w:szCs w:val="17"/>
                <w:color w:val="auto"/>
              </w:rPr>
            </w:pPr>
          </w:p>
        </w:tc>
        <w:tc>
          <w:tcPr>
            <w:tcW w:w="240" w:type="dxa"/>
            <w:vAlign w:val="bottom"/>
            <w:shd w:val="clear" w:color="auto" w:fill="D4F1F5"/>
          </w:tcPr>
          <w:p>
            <w:pPr>
              <w:spacing w:after="0"/>
              <w:rPr>
                <w:sz w:val="17"/>
                <w:szCs w:val="17"/>
                <w:color w:val="auto"/>
              </w:rPr>
            </w:pPr>
          </w:p>
        </w:tc>
        <w:tc>
          <w:tcPr>
            <w:tcW w:w="920" w:type="dxa"/>
            <w:vAlign w:val="bottom"/>
            <w:shd w:val="clear" w:color="auto" w:fill="D4F1F5"/>
          </w:tcPr>
          <w:p>
            <w:pPr>
              <w:jc w:val="right"/>
              <w:spacing w:after="0"/>
              <w:rPr>
                <w:sz w:val="20"/>
                <w:szCs w:val="20"/>
                <w:color w:val="auto"/>
              </w:rPr>
            </w:pPr>
            <w:r>
              <w:rPr>
                <w:rFonts w:ascii="Arial" w:cs="Arial" w:eastAsia="Arial" w:hAnsi="Arial"/>
                <w:sz w:val="14"/>
                <w:szCs w:val="14"/>
                <w:color w:val="auto"/>
              </w:rPr>
              <w:t>(9)</w:t>
            </w:r>
          </w:p>
        </w:tc>
        <w:tc>
          <w:tcPr>
            <w:tcW w:w="320" w:type="dxa"/>
            <w:vAlign w:val="bottom"/>
            <w:shd w:val="clear" w:color="auto" w:fill="D4F1F5"/>
          </w:tcPr>
          <w:p>
            <w:pPr>
              <w:spacing w:after="0"/>
              <w:rPr>
                <w:sz w:val="17"/>
                <w:szCs w:val="17"/>
                <w:color w:val="auto"/>
              </w:rPr>
            </w:pPr>
          </w:p>
        </w:tc>
        <w:tc>
          <w:tcPr>
            <w:tcW w:w="980" w:type="dxa"/>
            <w:vAlign w:val="bottom"/>
            <w:shd w:val="clear" w:color="auto" w:fill="D4F1F5"/>
          </w:tcPr>
          <w:p>
            <w:pPr>
              <w:spacing w:after="0"/>
              <w:rPr>
                <w:sz w:val="17"/>
                <w:szCs w:val="17"/>
                <w:color w:val="auto"/>
              </w:rPr>
            </w:pPr>
          </w:p>
        </w:tc>
        <w:tc>
          <w:tcPr>
            <w:tcW w:w="100" w:type="dxa"/>
            <w:vAlign w:val="bottom"/>
            <w:shd w:val="clear" w:color="auto" w:fill="D4F1F5"/>
          </w:tcPr>
          <w:p>
            <w:pPr>
              <w:spacing w:after="0"/>
              <w:rPr>
                <w:sz w:val="17"/>
                <w:szCs w:val="17"/>
                <w:color w:val="auto"/>
              </w:rPr>
            </w:pPr>
          </w:p>
        </w:tc>
        <w:tc>
          <w:tcPr>
            <w:tcW w:w="1040" w:type="dxa"/>
            <w:vAlign w:val="bottom"/>
            <w:shd w:val="clear" w:color="auto" w:fill="D4F1F5"/>
          </w:tcPr>
          <w:p>
            <w:pPr>
              <w:jc w:val="right"/>
              <w:ind w:right="28"/>
              <w:spacing w:after="0"/>
              <w:rPr>
                <w:sz w:val="20"/>
                <w:szCs w:val="20"/>
                <w:color w:val="auto"/>
              </w:rPr>
            </w:pPr>
            <w:r>
              <w:rPr>
                <w:rFonts w:ascii="Arial" w:cs="Arial" w:eastAsia="Arial" w:hAnsi="Arial"/>
                <w:sz w:val="14"/>
                <w:szCs w:val="14"/>
                <w:color w:val="auto"/>
              </w:rPr>
              <w:t>—</w:t>
            </w:r>
          </w:p>
        </w:tc>
        <w:tc>
          <w:tcPr>
            <w:tcW w:w="160" w:type="dxa"/>
            <w:vAlign w:val="bottom"/>
            <w:shd w:val="clear" w:color="auto" w:fill="D4F1F5"/>
          </w:tcPr>
          <w:p>
            <w:pPr>
              <w:spacing w:after="0"/>
              <w:rPr>
                <w:sz w:val="17"/>
                <w:szCs w:val="17"/>
                <w:color w:val="auto"/>
              </w:rPr>
            </w:pPr>
          </w:p>
        </w:tc>
        <w:tc>
          <w:tcPr>
            <w:tcW w:w="1000" w:type="dxa"/>
            <w:vAlign w:val="bottom"/>
            <w:shd w:val="clear" w:color="auto" w:fill="D4F1F5"/>
          </w:tcPr>
          <w:p>
            <w:pPr>
              <w:jc w:val="right"/>
              <w:spacing w:after="0"/>
              <w:rPr>
                <w:sz w:val="20"/>
                <w:szCs w:val="20"/>
                <w:color w:val="auto"/>
              </w:rPr>
            </w:pPr>
            <w:r>
              <w:rPr>
                <w:rFonts w:ascii="Arial" w:cs="Arial" w:eastAsia="Arial" w:hAnsi="Arial"/>
                <w:sz w:val="14"/>
                <w:szCs w:val="14"/>
                <w:color w:val="auto"/>
              </w:rPr>
              <w:t>9</w:t>
            </w:r>
          </w:p>
        </w:tc>
        <w:tc>
          <w:tcPr>
            <w:tcW w:w="280" w:type="dxa"/>
            <w:vAlign w:val="bottom"/>
            <w:shd w:val="clear" w:color="auto" w:fill="D4F1F5"/>
          </w:tcPr>
          <w:p>
            <w:pPr>
              <w:spacing w:after="0"/>
              <w:rPr>
                <w:sz w:val="17"/>
                <w:szCs w:val="17"/>
                <w:color w:val="auto"/>
              </w:rPr>
            </w:pPr>
          </w:p>
        </w:tc>
        <w:tc>
          <w:tcPr>
            <w:tcW w:w="920" w:type="dxa"/>
            <w:vAlign w:val="bottom"/>
            <w:shd w:val="clear" w:color="auto" w:fill="D4F1F5"/>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4080" w:type="dxa"/>
            <w:vAlign w:val="bottom"/>
          </w:tcPr>
          <w:p>
            <w:pPr>
              <w:ind w:left="240"/>
              <w:spacing w:after="0"/>
              <w:rPr>
                <w:sz w:val="20"/>
                <w:szCs w:val="20"/>
                <w:color w:val="auto"/>
              </w:rPr>
            </w:pPr>
            <w:r>
              <w:rPr>
                <w:rFonts w:ascii="Arial" w:cs="Arial" w:eastAsia="Arial" w:hAnsi="Arial"/>
                <w:sz w:val="14"/>
                <w:szCs w:val="14"/>
                <w:color w:val="auto"/>
              </w:rPr>
              <w:t>Commodity contracts subject to rate recovery</w:t>
            </w:r>
          </w:p>
        </w:tc>
        <w:tc>
          <w:tcPr>
            <w:tcW w:w="820" w:type="dxa"/>
            <w:vAlign w:val="bottom"/>
          </w:tcPr>
          <w:p>
            <w:pPr>
              <w:jc w:val="right"/>
              <w:ind w:right="668"/>
              <w:spacing w:after="0"/>
              <w:rPr>
                <w:sz w:val="20"/>
                <w:szCs w:val="20"/>
                <w:color w:val="auto"/>
              </w:rPr>
            </w:pPr>
            <w:r>
              <w:rPr>
                <w:rFonts w:ascii="Arial" w:cs="Arial" w:eastAsia="Arial" w:hAnsi="Arial"/>
                <w:sz w:val="14"/>
                <w:szCs w:val="14"/>
                <w:color w:val="auto"/>
                <w:w w:val="76"/>
              </w:rPr>
              <w:t>$</w:t>
            </w:r>
          </w:p>
        </w:tc>
        <w:tc>
          <w:tcPr>
            <w:tcW w:w="320" w:type="dxa"/>
            <w:vAlign w:val="bottom"/>
          </w:tcPr>
          <w:p>
            <w:pPr>
              <w:jc w:val="right"/>
              <w:ind w:right="28"/>
              <w:spacing w:after="0"/>
              <w:rPr>
                <w:sz w:val="20"/>
                <w:szCs w:val="20"/>
                <w:color w:val="auto"/>
              </w:rPr>
            </w:pPr>
            <w:r>
              <w:rPr>
                <w:rFonts w:ascii="Arial" w:cs="Arial" w:eastAsia="Arial" w:hAnsi="Arial"/>
                <w:sz w:val="14"/>
                <w:szCs w:val="14"/>
                <w:color w:val="auto"/>
              </w:rPr>
              <w:t>7</w:t>
            </w: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88"/>
              <w:spacing w:after="0"/>
              <w:rPr>
                <w:sz w:val="20"/>
                <w:szCs w:val="20"/>
                <w:color w:val="auto"/>
              </w:rPr>
            </w:pPr>
            <w:r>
              <w:rPr>
                <w:rFonts w:ascii="Arial" w:cs="Arial" w:eastAsia="Arial" w:hAnsi="Arial"/>
                <w:sz w:val="14"/>
                <w:szCs w:val="14"/>
                <w:color w:val="auto"/>
              </w:rPr>
              <w:t>14</w:t>
            </w:r>
          </w:p>
        </w:tc>
        <w:tc>
          <w:tcPr>
            <w:tcW w:w="1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(24)</w:t>
            </w: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(17)</w:t>
            </w:r>
          </w:p>
        </w:tc>
        <w:tc>
          <w:tcPr>
            <w:tcW w:w="0" w:type="dxa"/>
            <w:vAlign w:val="bottom"/>
          </w:tcPr>
          <w:p>
            <w:pPr>
              <w:spacing w:after="0"/>
              <w:rPr>
                <w:sz w:val="1"/>
                <w:szCs w:val="1"/>
                <w:color w:val="auto"/>
              </w:rPr>
            </w:pPr>
          </w:p>
        </w:tc>
      </w:tr>
      <w:tr>
        <w:trPr>
          <w:trHeight w:val="207"/>
        </w:trPr>
        <w:tc>
          <w:tcPr>
            <w:tcW w:w="4080" w:type="dxa"/>
            <w:vAlign w:val="bottom"/>
            <w:shd w:val="clear" w:color="auto" w:fill="D4F1F5"/>
          </w:tcPr>
          <w:p>
            <w:pPr>
              <w:ind w:left="460"/>
              <w:spacing w:after="0"/>
              <w:rPr>
                <w:sz w:val="20"/>
                <w:szCs w:val="20"/>
                <w:color w:val="auto"/>
              </w:rPr>
            </w:pPr>
            <w:r>
              <w:rPr>
                <w:rFonts w:ascii="Arial" w:cs="Arial" w:eastAsia="Arial" w:hAnsi="Arial"/>
                <w:sz w:val="14"/>
                <w:szCs w:val="14"/>
                <w:color w:val="auto"/>
              </w:rPr>
              <w:t>Associated offsetting commodity contracts</w:t>
            </w:r>
          </w:p>
        </w:tc>
        <w:tc>
          <w:tcPr>
            <w:tcW w:w="820" w:type="dxa"/>
            <w:vAlign w:val="bottom"/>
            <w:shd w:val="clear" w:color="auto" w:fill="D4F1F5"/>
          </w:tcPr>
          <w:p>
            <w:pPr>
              <w:spacing w:after="0"/>
              <w:rPr>
                <w:sz w:val="17"/>
                <w:szCs w:val="17"/>
                <w:color w:val="auto"/>
              </w:rPr>
            </w:pPr>
          </w:p>
        </w:tc>
        <w:tc>
          <w:tcPr>
            <w:tcW w:w="320" w:type="dxa"/>
            <w:vAlign w:val="bottom"/>
            <w:shd w:val="clear" w:color="auto" w:fill="D4F1F5"/>
          </w:tcPr>
          <w:p>
            <w:pPr>
              <w:jc w:val="right"/>
              <w:spacing w:after="0"/>
              <w:rPr>
                <w:sz w:val="20"/>
                <w:szCs w:val="20"/>
                <w:color w:val="auto"/>
              </w:rPr>
            </w:pPr>
            <w:r>
              <w:rPr>
                <w:rFonts w:ascii="Arial" w:cs="Arial" w:eastAsia="Arial" w:hAnsi="Arial"/>
                <w:sz w:val="14"/>
                <w:szCs w:val="14"/>
                <w:color w:val="auto"/>
              </w:rPr>
              <w:t>(2)</w:t>
            </w:r>
          </w:p>
        </w:tc>
        <w:tc>
          <w:tcPr>
            <w:tcW w:w="240" w:type="dxa"/>
            <w:vAlign w:val="bottom"/>
            <w:shd w:val="clear" w:color="auto" w:fill="D4F1F5"/>
          </w:tcPr>
          <w:p>
            <w:pPr>
              <w:spacing w:after="0"/>
              <w:rPr>
                <w:sz w:val="17"/>
                <w:szCs w:val="17"/>
                <w:color w:val="auto"/>
              </w:rPr>
            </w:pPr>
          </w:p>
        </w:tc>
        <w:tc>
          <w:tcPr>
            <w:tcW w:w="920" w:type="dxa"/>
            <w:vAlign w:val="bottom"/>
            <w:shd w:val="clear" w:color="auto" w:fill="D4F1F5"/>
          </w:tcPr>
          <w:p>
            <w:pPr>
              <w:spacing w:after="0"/>
              <w:rPr>
                <w:sz w:val="17"/>
                <w:szCs w:val="17"/>
                <w:color w:val="auto"/>
              </w:rPr>
            </w:pPr>
          </w:p>
        </w:tc>
        <w:tc>
          <w:tcPr>
            <w:tcW w:w="320" w:type="dxa"/>
            <w:vAlign w:val="bottom"/>
            <w:shd w:val="clear" w:color="auto" w:fill="D4F1F5"/>
          </w:tcPr>
          <w:p>
            <w:pPr>
              <w:spacing w:after="0"/>
              <w:rPr>
                <w:sz w:val="17"/>
                <w:szCs w:val="17"/>
                <w:color w:val="auto"/>
              </w:rPr>
            </w:pPr>
          </w:p>
        </w:tc>
        <w:tc>
          <w:tcPr>
            <w:tcW w:w="980" w:type="dxa"/>
            <w:vAlign w:val="bottom"/>
            <w:shd w:val="clear" w:color="auto" w:fill="D4F1F5"/>
          </w:tcPr>
          <w:p>
            <w:pPr>
              <w:jc w:val="right"/>
              <w:ind w:right="48"/>
              <w:spacing w:after="0"/>
              <w:rPr>
                <w:sz w:val="20"/>
                <w:szCs w:val="20"/>
                <w:color w:val="auto"/>
              </w:rPr>
            </w:pPr>
            <w:r>
              <w:rPr>
                <w:rFonts w:ascii="Arial" w:cs="Arial" w:eastAsia="Arial" w:hAnsi="Arial"/>
                <w:sz w:val="14"/>
                <w:szCs w:val="14"/>
                <w:color w:val="auto"/>
              </w:rPr>
              <w:t>(5)</w:t>
            </w:r>
          </w:p>
        </w:tc>
        <w:tc>
          <w:tcPr>
            <w:tcW w:w="100" w:type="dxa"/>
            <w:vAlign w:val="bottom"/>
            <w:shd w:val="clear" w:color="auto" w:fill="D4F1F5"/>
          </w:tcPr>
          <w:p>
            <w:pPr>
              <w:spacing w:after="0"/>
              <w:rPr>
                <w:sz w:val="17"/>
                <w:szCs w:val="17"/>
                <w:color w:val="auto"/>
              </w:rPr>
            </w:pPr>
          </w:p>
        </w:tc>
        <w:tc>
          <w:tcPr>
            <w:tcW w:w="1040" w:type="dxa"/>
            <w:vAlign w:val="bottom"/>
            <w:shd w:val="clear" w:color="auto" w:fill="D4F1F5"/>
          </w:tcPr>
          <w:p>
            <w:pPr>
              <w:jc w:val="right"/>
              <w:ind w:right="28"/>
              <w:spacing w:after="0"/>
              <w:rPr>
                <w:sz w:val="20"/>
                <w:szCs w:val="20"/>
                <w:color w:val="auto"/>
              </w:rPr>
            </w:pPr>
            <w:r>
              <w:rPr>
                <w:rFonts w:ascii="Arial" w:cs="Arial" w:eastAsia="Arial" w:hAnsi="Arial"/>
                <w:sz w:val="14"/>
                <w:szCs w:val="14"/>
                <w:color w:val="auto"/>
              </w:rPr>
              <w:t>2</w:t>
            </w:r>
          </w:p>
        </w:tc>
        <w:tc>
          <w:tcPr>
            <w:tcW w:w="160" w:type="dxa"/>
            <w:vAlign w:val="bottom"/>
            <w:shd w:val="clear" w:color="auto" w:fill="D4F1F5"/>
          </w:tcPr>
          <w:p>
            <w:pPr>
              <w:spacing w:after="0"/>
              <w:rPr>
                <w:sz w:val="17"/>
                <w:szCs w:val="17"/>
                <w:color w:val="auto"/>
              </w:rPr>
            </w:pPr>
          </w:p>
        </w:tc>
        <w:tc>
          <w:tcPr>
            <w:tcW w:w="1000" w:type="dxa"/>
            <w:vAlign w:val="bottom"/>
            <w:shd w:val="clear" w:color="auto" w:fill="D4F1F5"/>
          </w:tcPr>
          <w:p>
            <w:pPr>
              <w:spacing w:after="0"/>
              <w:rPr>
                <w:sz w:val="17"/>
                <w:szCs w:val="17"/>
                <w:color w:val="auto"/>
              </w:rPr>
            </w:pPr>
          </w:p>
        </w:tc>
        <w:tc>
          <w:tcPr>
            <w:tcW w:w="280" w:type="dxa"/>
            <w:vAlign w:val="bottom"/>
            <w:shd w:val="clear" w:color="auto" w:fill="D4F1F5"/>
          </w:tcPr>
          <w:p>
            <w:pPr>
              <w:spacing w:after="0"/>
              <w:rPr>
                <w:sz w:val="17"/>
                <w:szCs w:val="17"/>
                <w:color w:val="auto"/>
              </w:rPr>
            </w:pPr>
          </w:p>
        </w:tc>
        <w:tc>
          <w:tcPr>
            <w:tcW w:w="920" w:type="dxa"/>
            <w:vAlign w:val="bottom"/>
            <w:shd w:val="clear" w:color="auto" w:fill="D4F1F5"/>
          </w:tcPr>
          <w:p>
            <w:pPr>
              <w:jc w:val="right"/>
              <w:spacing w:after="0"/>
              <w:rPr>
                <w:sz w:val="20"/>
                <w:szCs w:val="20"/>
                <w:color w:val="auto"/>
              </w:rPr>
            </w:pPr>
            <w:r>
              <w:rPr>
                <w:rFonts w:ascii="Arial" w:cs="Arial" w:eastAsia="Arial" w:hAnsi="Arial"/>
                <w:sz w:val="14"/>
                <w:szCs w:val="14"/>
                <w:color w:val="auto"/>
              </w:rPr>
              <w:t>5</w:t>
            </w:r>
          </w:p>
        </w:tc>
        <w:tc>
          <w:tcPr>
            <w:tcW w:w="0" w:type="dxa"/>
            <w:vAlign w:val="bottom"/>
          </w:tcPr>
          <w:p>
            <w:pPr>
              <w:spacing w:after="0"/>
              <w:rPr>
                <w:sz w:val="1"/>
                <w:szCs w:val="1"/>
                <w:color w:val="auto"/>
              </w:rPr>
            </w:pPr>
          </w:p>
        </w:tc>
      </w:tr>
      <w:tr>
        <w:trPr>
          <w:trHeight w:val="198"/>
        </w:trPr>
        <w:tc>
          <w:tcPr>
            <w:tcW w:w="4080" w:type="dxa"/>
            <w:vAlign w:val="bottom"/>
            <w:tcBorders>
              <w:bottom w:val="single" w:sz="8" w:color="D4F1F5"/>
            </w:tcBorders>
          </w:tcPr>
          <w:p>
            <w:pPr>
              <w:ind w:left="460"/>
              <w:spacing w:after="0"/>
              <w:rPr>
                <w:sz w:val="20"/>
                <w:szCs w:val="20"/>
                <w:color w:val="auto"/>
              </w:rPr>
            </w:pPr>
            <w:r>
              <w:rPr>
                <w:rFonts w:ascii="Arial" w:cs="Arial" w:eastAsia="Arial" w:hAnsi="Arial"/>
                <w:sz w:val="14"/>
                <w:szCs w:val="14"/>
                <w:color w:val="auto"/>
              </w:rPr>
              <w:t>Associated offsetting cash collateral</w:t>
            </w:r>
          </w:p>
        </w:tc>
        <w:tc>
          <w:tcPr>
            <w:tcW w:w="82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12</w:t>
            </w:r>
          </w:p>
        </w:tc>
        <w:tc>
          <w:tcPr>
            <w:tcW w:w="16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200"/>
        </w:trPr>
        <w:tc>
          <w:tcPr>
            <w:tcW w:w="4080" w:type="dxa"/>
            <w:vAlign w:val="bottom"/>
            <w:shd w:val="clear" w:color="auto" w:fill="D4F1F5"/>
          </w:tcPr>
          <w:p>
            <w:pPr>
              <w:ind w:left="20"/>
              <w:spacing w:after="0"/>
              <w:rPr>
                <w:sz w:val="20"/>
                <w:szCs w:val="20"/>
                <w:color w:val="auto"/>
              </w:rPr>
            </w:pPr>
            <w:r>
              <w:rPr>
                <w:rFonts w:ascii="Arial" w:cs="Arial" w:eastAsia="Arial" w:hAnsi="Arial"/>
                <w:sz w:val="14"/>
                <w:szCs w:val="14"/>
                <w:color w:val="auto"/>
              </w:rPr>
              <w:t>Net amounts presented on the balance sheet</w:t>
            </w:r>
          </w:p>
        </w:tc>
        <w:tc>
          <w:tcPr>
            <w:tcW w:w="820" w:type="dxa"/>
            <w:vAlign w:val="bottom"/>
            <w:shd w:val="clear" w:color="auto" w:fill="D4F1F5"/>
          </w:tcPr>
          <w:p>
            <w:pPr>
              <w:spacing w:after="0"/>
              <w:rPr>
                <w:sz w:val="17"/>
                <w:szCs w:val="17"/>
                <w:color w:val="auto"/>
              </w:rPr>
            </w:pPr>
          </w:p>
        </w:tc>
        <w:tc>
          <w:tcPr>
            <w:tcW w:w="320" w:type="dxa"/>
            <w:vAlign w:val="bottom"/>
            <w:shd w:val="clear" w:color="auto" w:fill="D4F1F5"/>
          </w:tcPr>
          <w:p>
            <w:pPr>
              <w:jc w:val="right"/>
              <w:ind w:right="28"/>
              <w:spacing w:after="0"/>
              <w:rPr>
                <w:sz w:val="20"/>
                <w:szCs w:val="20"/>
                <w:color w:val="auto"/>
              </w:rPr>
            </w:pPr>
            <w:r>
              <w:rPr>
                <w:rFonts w:ascii="Arial" w:cs="Arial" w:eastAsia="Arial" w:hAnsi="Arial"/>
                <w:sz w:val="14"/>
                <w:szCs w:val="14"/>
                <w:color w:val="auto"/>
              </w:rPr>
              <w:t>5</w:t>
            </w:r>
          </w:p>
        </w:tc>
        <w:tc>
          <w:tcPr>
            <w:tcW w:w="240" w:type="dxa"/>
            <w:vAlign w:val="bottom"/>
            <w:shd w:val="clear" w:color="auto" w:fill="D4F1F5"/>
          </w:tcPr>
          <w:p>
            <w:pPr>
              <w:spacing w:after="0"/>
              <w:rPr>
                <w:sz w:val="17"/>
                <w:szCs w:val="17"/>
                <w:color w:val="auto"/>
              </w:rPr>
            </w:pPr>
          </w:p>
        </w:tc>
        <w:tc>
          <w:tcPr>
            <w:tcW w:w="920" w:type="dxa"/>
            <w:vAlign w:val="bottom"/>
            <w:shd w:val="clear" w:color="auto" w:fill="D4F1F5"/>
          </w:tcPr>
          <w:p>
            <w:pPr>
              <w:jc w:val="right"/>
              <w:spacing w:after="0"/>
              <w:rPr>
                <w:sz w:val="20"/>
                <w:szCs w:val="20"/>
                <w:color w:val="auto"/>
              </w:rPr>
            </w:pPr>
            <w:r>
              <w:rPr>
                <w:rFonts w:ascii="Arial" w:cs="Arial" w:eastAsia="Arial" w:hAnsi="Arial"/>
                <w:sz w:val="14"/>
                <w:szCs w:val="14"/>
                <w:color w:val="auto"/>
              </w:rPr>
              <w:t>407</w:t>
            </w:r>
          </w:p>
        </w:tc>
        <w:tc>
          <w:tcPr>
            <w:tcW w:w="320" w:type="dxa"/>
            <w:vAlign w:val="bottom"/>
            <w:shd w:val="clear" w:color="auto" w:fill="D4F1F5"/>
          </w:tcPr>
          <w:p>
            <w:pPr>
              <w:spacing w:after="0"/>
              <w:rPr>
                <w:sz w:val="17"/>
                <w:szCs w:val="17"/>
                <w:color w:val="auto"/>
              </w:rPr>
            </w:pPr>
          </w:p>
        </w:tc>
        <w:tc>
          <w:tcPr>
            <w:tcW w:w="980" w:type="dxa"/>
            <w:vAlign w:val="bottom"/>
            <w:shd w:val="clear" w:color="auto" w:fill="D4F1F5"/>
          </w:tcPr>
          <w:p>
            <w:pPr>
              <w:jc w:val="right"/>
              <w:ind w:right="88"/>
              <w:spacing w:after="0"/>
              <w:rPr>
                <w:sz w:val="20"/>
                <w:szCs w:val="20"/>
                <w:color w:val="auto"/>
              </w:rPr>
            </w:pPr>
            <w:r>
              <w:rPr>
                <w:rFonts w:ascii="Arial" w:cs="Arial" w:eastAsia="Arial" w:hAnsi="Arial"/>
                <w:sz w:val="14"/>
                <w:szCs w:val="14"/>
                <w:color w:val="auto"/>
              </w:rPr>
              <w:t>9</w:t>
            </w:r>
          </w:p>
        </w:tc>
        <w:tc>
          <w:tcPr>
            <w:tcW w:w="100" w:type="dxa"/>
            <w:vAlign w:val="bottom"/>
            <w:shd w:val="clear" w:color="auto" w:fill="D4F1F5"/>
          </w:tcPr>
          <w:p>
            <w:pPr>
              <w:spacing w:after="0"/>
              <w:rPr>
                <w:sz w:val="17"/>
                <w:szCs w:val="17"/>
                <w:color w:val="auto"/>
              </w:rPr>
            </w:pPr>
          </w:p>
        </w:tc>
        <w:tc>
          <w:tcPr>
            <w:tcW w:w="1040" w:type="dxa"/>
            <w:vAlign w:val="bottom"/>
            <w:shd w:val="clear" w:color="auto" w:fill="D4F1F5"/>
          </w:tcPr>
          <w:p>
            <w:pPr>
              <w:jc w:val="right"/>
              <w:spacing w:after="0"/>
              <w:rPr>
                <w:sz w:val="20"/>
                <w:szCs w:val="20"/>
                <w:color w:val="auto"/>
              </w:rPr>
            </w:pPr>
            <w:r>
              <w:rPr>
                <w:rFonts w:ascii="Arial" w:cs="Arial" w:eastAsia="Arial" w:hAnsi="Arial"/>
                <w:sz w:val="14"/>
                <w:szCs w:val="14"/>
                <w:color w:val="auto"/>
              </w:rPr>
              <w:t>(13)</w:t>
            </w:r>
          </w:p>
        </w:tc>
        <w:tc>
          <w:tcPr>
            <w:tcW w:w="160" w:type="dxa"/>
            <w:vAlign w:val="bottom"/>
            <w:shd w:val="clear" w:color="auto" w:fill="D4F1F5"/>
          </w:tcPr>
          <w:p>
            <w:pPr>
              <w:spacing w:after="0"/>
              <w:rPr>
                <w:sz w:val="17"/>
                <w:szCs w:val="17"/>
                <w:color w:val="auto"/>
              </w:rPr>
            </w:pPr>
          </w:p>
        </w:tc>
        <w:tc>
          <w:tcPr>
            <w:tcW w:w="1000" w:type="dxa"/>
            <w:vAlign w:val="bottom"/>
            <w:shd w:val="clear" w:color="auto" w:fill="D4F1F5"/>
          </w:tcPr>
          <w:p>
            <w:pPr>
              <w:jc w:val="right"/>
              <w:spacing w:after="0"/>
              <w:rPr>
                <w:sz w:val="20"/>
                <w:szCs w:val="20"/>
                <w:color w:val="auto"/>
              </w:rPr>
            </w:pPr>
            <w:r>
              <w:rPr>
                <w:rFonts w:ascii="Arial" w:cs="Arial" w:eastAsia="Arial" w:hAnsi="Arial"/>
                <w:sz w:val="14"/>
                <w:szCs w:val="14"/>
                <w:color w:val="auto"/>
              </w:rPr>
              <w:t>(228)</w:t>
            </w:r>
          </w:p>
        </w:tc>
        <w:tc>
          <w:tcPr>
            <w:tcW w:w="280" w:type="dxa"/>
            <w:vAlign w:val="bottom"/>
            <w:shd w:val="clear" w:color="auto" w:fill="D4F1F5"/>
          </w:tcPr>
          <w:p>
            <w:pPr>
              <w:spacing w:after="0"/>
              <w:rPr>
                <w:sz w:val="17"/>
                <w:szCs w:val="17"/>
                <w:color w:val="auto"/>
              </w:rPr>
            </w:pPr>
          </w:p>
        </w:tc>
        <w:tc>
          <w:tcPr>
            <w:tcW w:w="920" w:type="dxa"/>
            <w:vAlign w:val="bottom"/>
            <w:shd w:val="clear" w:color="auto" w:fill="D4F1F5"/>
          </w:tcPr>
          <w:p>
            <w:pPr>
              <w:jc w:val="right"/>
              <w:spacing w:after="0"/>
              <w:rPr>
                <w:sz w:val="20"/>
                <w:szCs w:val="20"/>
                <w:color w:val="auto"/>
              </w:rPr>
            </w:pPr>
            <w:r>
              <w:rPr>
                <w:rFonts w:ascii="Arial" w:cs="Arial" w:eastAsia="Arial" w:hAnsi="Arial"/>
                <w:sz w:val="14"/>
                <w:szCs w:val="14"/>
                <w:color w:val="auto"/>
              </w:rPr>
              <w:t>(8)</w:t>
            </w:r>
          </w:p>
        </w:tc>
        <w:tc>
          <w:tcPr>
            <w:tcW w:w="0" w:type="dxa"/>
            <w:vAlign w:val="bottom"/>
          </w:tcPr>
          <w:p>
            <w:pPr>
              <w:spacing w:after="0"/>
              <w:rPr>
                <w:sz w:val="1"/>
                <w:szCs w:val="1"/>
                <w:color w:val="auto"/>
              </w:rPr>
            </w:pPr>
          </w:p>
        </w:tc>
      </w:tr>
      <w:tr>
        <w:trPr>
          <w:trHeight w:val="149"/>
        </w:trPr>
        <w:tc>
          <w:tcPr>
            <w:tcW w:w="4080" w:type="dxa"/>
            <w:vAlign w:val="bottom"/>
          </w:tcPr>
          <w:p>
            <w:pPr>
              <w:ind w:left="220"/>
              <w:spacing w:after="0" w:line="149" w:lineRule="exact"/>
              <w:rPr>
                <w:sz w:val="20"/>
                <w:szCs w:val="20"/>
                <w:color w:val="auto"/>
              </w:rPr>
            </w:pPr>
            <w:r>
              <w:rPr>
                <w:rFonts w:ascii="Arial" w:cs="Arial" w:eastAsia="Arial" w:hAnsi="Arial"/>
                <w:sz w:val="14"/>
                <w:szCs w:val="14"/>
                <w:color w:val="auto"/>
              </w:rPr>
              <w:t>Additional cash collateral for commodity contracts</w:t>
            </w:r>
          </w:p>
        </w:tc>
        <w:tc>
          <w:tcPr>
            <w:tcW w:w="8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vMerge w:val="restart"/>
          </w:tcPr>
          <w:p>
            <w:pPr>
              <w:jc w:val="right"/>
              <w:spacing w:after="0"/>
              <w:rPr>
                <w:sz w:val="20"/>
                <w:szCs w:val="20"/>
                <w:color w:val="auto"/>
              </w:rPr>
            </w:pPr>
            <w:r>
              <w:rPr>
                <w:rFonts w:ascii="Arial" w:cs="Arial" w:eastAsia="Arial" w:hAnsi="Arial"/>
                <w:sz w:val="14"/>
                <w:szCs w:val="14"/>
                <w:color w:val="auto"/>
              </w:rPr>
              <w:t>60</w:t>
            </w:r>
          </w:p>
        </w:tc>
        <w:tc>
          <w:tcPr>
            <w:tcW w:w="3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4080" w:type="dxa"/>
            <w:vAlign w:val="bottom"/>
          </w:tcPr>
          <w:p>
            <w:pPr>
              <w:ind w:left="480"/>
              <w:spacing w:after="0"/>
              <w:rPr>
                <w:sz w:val="20"/>
                <w:szCs w:val="20"/>
                <w:color w:val="auto"/>
              </w:rPr>
            </w:pPr>
            <w:r>
              <w:rPr>
                <w:rFonts w:ascii="Arial" w:cs="Arial" w:eastAsia="Arial" w:hAnsi="Arial"/>
                <w:sz w:val="14"/>
                <w:szCs w:val="14"/>
                <w:color w:val="auto"/>
              </w:rPr>
              <w:t>not subject to rate recovery</w:t>
            </w:r>
          </w:p>
        </w:tc>
        <w:tc>
          <w:tcPr>
            <w:tcW w:w="8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3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4080" w:type="dxa"/>
            <w:vAlign w:val="bottom"/>
            <w:shd w:val="clear" w:color="auto" w:fill="D4F1F5"/>
          </w:tcPr>
          <w:p>
            <w:pPr>
              <w:ind w:left="220"/>
              <w:spacing w:after="0" w:line="149" w:lineRule="exact"/>
              <w:rPr>
                <w:sz w:val="20"/>
                <w:szCs w:val="20"/>
                <w:color w:val="auto"/>
              </w:rPr>
            </w:pPr>
            <w:r>
              <w:rPr>
                <w:rFonts w:ascii="Arial" w:cs="Arial" w:eastAsia="Arial" w:hAnsi="Arial"/>
                <w:sz w:val="14"/>
                <w:szCs w:val="14"/>
                <w:color w:val="auto"/>
              </w:rPr>
              <w:t>Additional cash collateral for commodity contracts</w:t>
            </w:r>
          </w:p>
        </w:tc>
        <w:tc>
          <w:tcPr>
            <w:tcW w:w="820" w:type="dxa"/>
            <w:vAlign w:val="bottom"/>
            <w:shd w:val="clear" w:color="auto" w:fill="D4F1F5"/>
          </w:tcPr>
          <w:p>
            <w:pPr>
              <w:spacing w:after="0"/>
              <w:rPr>
                <w:sz w:val="12"/>
                <w:szCs w:val="12"/>
                <w:color w:val="auto"/>
              </w:rPr>
            </w:pPr>
          </w:p>
        </w:tc>
        <w:tc>
          <w:tcPr>
            <w:tcW w:w="320" w:type="dxa"/>
            <w:vAlign w:val="bottom"/>
            <w:vMerge w:val="restart"/>
            <w:shd w:val="clear" w:color="auto" w:fill="D4F1F5"/>
          </w:tcPr>
          <w:p>
            <w:pPr>
              <w:jc w:val="right"/>
              <w:ind w:right="28"/>
              <w:spacing w:after="0"/>
              <w:rPr>
                <w:sz w:val="20"/>
                <w:szCs w:val="20"/>
                <w:color w:val="auto"/>
              </w:rPr>
            </w:pPr>
            <w:r>
              <w:rPr>
                <w:rFonts w:ascii="Arial" w:cs="Arial" w:eastAsia="Arial" w:hAnsi="Arial"/>
                <w:sz w:val="14"/>
                <w:szCs w:val="14"/>
                <w:color w:val="auto"/>
              </w:rPr>
              <w:t>25</w:t>
            </w:r>
          </w:p>
        </w:tc>
        <w:tc>
          <w:tcPr>
            <w:tcW w:w="240" w:type="dxa"/>
            <w:vAlign w:val="bottom"/>
            <w:shd w:val="clear" w:color="auto" w:fill="D4F1F5"/>
          </w:tcPr>
          <w:p>
            <w:pPr>
              <w:spacing w:after="0"/>
              <w:rPr>
                <w:sz w:val="12"/>
                <w:szCs w:val="12"/>
                <w:color w:val="auto"/>
              </w:rPr>
            </w:pPr>
          </w:p>
        </w:tc>
        <w:tc>
          <w:tcPr>
            <w:tcW w:w="920" w:type="dxa"/>
            <w:vAlign w:val="bottom"/>
            <w:shd w:val="clear" w:color="auto" w:fill="D4F1F5"/>
          </w:tcPr>
          <w:p>
            <w:pPr>
              <w:spacing w:after="0"/>
              <w:rPr>
                <w:sz w:val="12"/>
                <w:szCs w:val="12"/>
                <w:color w:val="auto"/>
              </w:rPr>
            </w:pPr>
          </w:p>
        </w:tc>
        <w:tc>
          <w:tcPr>
            <w:tcW w:w="320" w:type="dxa"/>
            <w:vAlign w:val="bottom"/>
            <w:shd w:val="clear" w:color="auto" w:fill="D4F1F5"/>
          </w:tcPr>
          <w:p>
            <w:pPr>
              <w:spacing w:after="0"/>
              <w:rPr>
                <w:sz w:val="12"/>
                <w:szCs w:val="12"/>
                <w:color w:val="auto"/>
              </w:rPr>
            </w:pPr>
          </w:p>
        </w:tc>
        <w:tc>
          <w:tcPr>
            <w:tcW w:w="980" w:type="dxa"/>
            <w:vAlign w:val="bottom"/>
            <w:vMerge w:val="restart"/>
            <w:shd w:val="clear" w:color="auto" w:fill="D4F1F5"/>
          </w:tcPr>
          <w:p>
            <w:pPr>
              <w:jc w:val="right"/>
              <w:ind w:right="88"/>
              <w:spacing w:after="0"/>
              <w:rPr>
                <w:sz w:val="20"/>
                <w:szCs w:val="20"/>
                <w:color w:val="auto"/>
              </w:rPr>
            </w:pPr>
            <w:r>
              <w:rPr>
                <w:rFonts w:ascii="Arial" w:cs="Arial" w:eastAsia="Arial" w:hAnsi="Arial"/>
                <w:sz w:val="14"/>
                <w:szCs w:val="14"/>
                <w:color w:val="auto"/>
              </w:rPr>
              <w:t>—</w:t>
            </w:r>
          </w:p>
        </w:tc>
        <w:tc>
          <w:tcPr>
            <w:tcW w:w="100" w:type="dxa"/>
            <w:vAlign w:val="bottom"/>
            <w:shd w:val="clear" w:color="auto" w:fill="D4F1F5"/>
          </w:tcPr>
          <w:p>
            <w:pPr>
              <w:spacing w:after="0"/>
              <w:rPr>
                <w:sz w:val="12"/>
                <w:szCs w:val="12"/>
                <w:color w:val="auto"/>
              </w:rPr>
            </w:pPr>
          </w:p>
        </w:tc>
        <w:tc>
          <w:tcPr>
            <w:tcW w:w="1040" w:type="dxa"/>
            <w:vAlign w:val="bottom"/>
            <w:vMerge w:val="restart"/>
            <w:shd w:val="clear" w:color="auto" w:fill="D4F1F5"/>
          </w:tcPr>
          <w:p>
            <w:pPr>
              <w:jc w:val="right"/>
              <w:ind w:right="28"/>
              <w:spacing w:after="0"/>
              <w:rPr>
                <w:sz w:val="20"/>
                <w:szCs w:val="20"/>
                <w:color w:val="auto"/>
              </w:rPr>
            </w:pPr>
            <w:r>
              <w:rPr>
                <w:rFonts w:ascii="Arial" w:cs="Arial" w:eastAsia="Arial" w:hAnsi="Arial"/>
                <w:sz w:val="14"/>
                <w:szCs w:val="14"/>
                <w:color w:val="auto"/>
              </w:rPr>
              <w:t>—</w:t>
            </w:r>
          </w:p>
        </w:tc>
        <w:tc>
          <w:tcPr>
            <w:tcW w:w="160" w:type="dxa"/>
            <w:vAlign w:val="bottom"/>
            <w:shd w:val="clear" w:color="auto" w:fill="D4F1F5"/>
          </w:tcPr>
          <w:p>
            <w:pPr>
              <w:spacing w:after="0"/>
              <w:rPr>
                <w:sz w:val="12"/>
                <w:szCs w:val="12"/>
                <w:color w:val="auto"/>
              </w:rPr>
            </w:pPr>
          </w:p>
        </w:tc>
        <w:tc>
          <w:tcPr>
            <w:tcW w:w="1000" w:type="dxa"/>
            <w:vAlign w:val="bottom"/>
            <w:shd w:val="clear" w:color="auto" w:fill="D4F1F5"/>
          </w:tcPr>
          <w:p>
            <w:pPr>
              <w:spacing w:after="0"/>
              <w:rPr>
                <w:sz w:val="12"/>
                <w:szCs w:val="12"/>
                <w:color w:val="auto"/>
              </w:rPr>
            </w:pPr>
          </w:p>
        </w:tc>
        <w:tc>
          <w:tcPr>
            <w:tcW w:w="280" w:type="dxa"/>
            <w:vAlign w:val="bottom"/>
            <w:shd w:val="clear" w:color="auto" w:fill="D4F1F5"/>
          </w:tcPr>
          <w:p>
            <w:pPr>
              <w:spacing w:after="0"/>
              <w:rPr>
                <w:sz w:val="12"/>
                <w:szCs w:val="12"/>
                <w:color w:val="auto"/>
              </w:rPr>
            </w:pPr>
          </w:p>
        </w:tc>
        <w:tc>
          <w:tcPr>
            <w:tcW w:w="920" w:type="dxa"/>
            <w:vAlign w:val="bottom"/>
            <w:vMerge w:val="restart"/>
            <w:shd w:val="clear" w:color="auto" w:fill="D4F1F5"/>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4080" w:type="dxa"/>
            <w:vAlign w:val="bottom"/>
            <w:shd w:val="clear" w:color="auto" w:fill="D4F1F5"/>
          </w:tcPr>
          <w:p>
            <w:pPr>
              <w:ind w:left="480"/>
              <w:spacing w:after="0"/>
              <w:rPr>
                <w:sz w:val="20"/>
                <w:szCs w:val="20"/>
                <w:color w:val="auto"/>
              </w:rPr>
            </w:pPr>
            <w:r>
              <w:rPr>
                <w:rFonts w:ascii="Arial" w:cs="Arial" w:eastAsia="Arial" w:hAnsi="Arial"/>
                <w:sz w:val="14"/>
                <w:szCs w:val="14"/>
                <w:color w:val="auto"/>
              </w:rPr>
              <w:t>subject to rate recovery</w:t>
            </w:r>
          </w:p>
        </w:tc>
        <w:tc>
          <w:tcPr>
            <w:tcW w:w="820" w:type="dxa"/>
            <w:vAlign w:val="bottom"/>
            <w:tcBorders>
              <w:bottom w:val="single" w:sz="8" w:color="auto"/>
            </w:tcBorders>
            <w:shd w:val="clear" w:color="auto" w:fill="D4F1F5"/>
          </w:tcPr>
          <w:p>
            <w:pPr>
              <w:spacing w:after="0"/>
              <w:rPr>
                <w:sz w:val="16"/>
                <w:szCs w:val="16"/>
                <w:color w:val="auto"/>
              </w:rPr>
            </w:pPr>
          </w:p>
        </w:tc>
        <w:tc>
          <w:tcPr>
            <w:tcW w:w="320" w:type="dxa"/>
            <w:vAlign w:val="bottom"/>
            <w:tcBorders>
              <w:bottom w:val="single" w:sz="8" w:color="auto"/>
            </w:tcBorders>
            <w:vMerge w:val="continue"/>
            <w:shd w:val="clear" w:color="auto" w:fill="D4F1F5"/>
          </w:tcPr>
          <w:p>
            <w:pPr>
              <w:spacing w:after="0"/>
              <w:rPr>
                <w:sz w:val="16"/>
                <w:szCs w:val="16"/>
                <w:color w:val="auto"/>
              </w:rPr>
            </w:pPr>
          </w:p>
        </w:tc>
        <w:tc>
          <w:tcPr>
            <w:tcW w:w="240" w:type="dxa"/>
            <w:vAlign w:val="bottom"/>
            <w:tcBorders>
              <w:bottom w:val="single" w:sz="8" w:color="auto"/>
            </w:tcBorders>
            <w:shd w:val="clear" w:color="auto" w:fill="D4F1F5"/>
          </w:tcPr>
          <w:p>
            <w:pPr>
              <w:spacing w:after="0"/>
              <w:rPr>
                <w:sz w:val="16"/>
                <w:szCs w:val="16"/>
                <w:color w:val="auto"/>
              </w:rPr>
            </w:pPr>
          </w:p>
        </w:tc>
        <w:tc>
          <w:tcPr>
            <w:tcW w:w="920" w:type="dxa"/>
            <w:vAlign w:val="bottom"/>
            <w:tcBorders>
              <w:bottom w:val="single" w:sz="8" w:color="auto"/>
            </w:tcBorders>
            <w:shd w:val="clear" w:color="auto" w:fill="D4F1F5"/>
          </w:tcPr>
          <w:p>
            <w:pPr>
              <w:spacing w:after="0"/>
              <w:rPr>
                <w:sz w:val="16"/>
                <w:szCs w:val="16"/>
                <w:color w:val="auto"/>
              </w:rPr>
            </w:pPr>
          </w:p>
        </w:tc>
        <w:tc>
          <w:tcPr>
            <w:tcW w:w="320" w:type="dxa"/>
            <w:vAlign w:val="bottom"/>
            <w:tcBorders>
              <w:bottom w:val="single" w:sz="8" w:color="auto"/>
            </w:tcBorders>
            <w:shd w:val="clear" w:color="auto" w:fill="D4F1F5"/>
          </w:tcPr>
          <w:p>
            <w:pPr>
              <w:spacing w:after="0"/>
              <w:rPr>
                <w:sz w:val="16"/>
                <w:szCs w:val="16"/>
                <w:color w:val="auto"/>
              </w:rPr>
            </w:pPr>
          </w:p>
        </w:tc>
        <w:tc>
          <w:tcPr>
            <w:tcW w:w="980" w:type="dxa"/>
            <w:vAlign w:val="bottom"/>
            <w:tcBorders>
              <w:bottom w:val="single" w:sz="8" w:color="auto"/>
            </w:tcBorders>
            <w:vMerge w:val="continue"/>
            <w:shd w:val="clear" w:color="auto" w:fill="D4F1F5"/>
          </w:tcPr>
          <w:p>
            <w:pPr>
              <w:spacing w:after="0"/>
              <w:rPr>
                <w:sz w:val="16"/>
                <w:szCs w:val="16"/>
                <w:color w:val="auto"/>
              </w:rPr>
            </w:pPr>
          </w:p>
        </w:tc>
        <w:tc>
          <w:tcPr>
            <w:tcW w:w="100" w:type="dxa"/>
            <w:vAlign w:val="bottom"/>
            <w:tcBorders>
              <w:bottom w:val="single" w:sz="8" w:color="auto"/>
            </w:tcBorders>
            <w:shd w:val="clear" w:color="auto" w:fill="D4F1F5"/>
          </w:tcPr>
          <w:p>
            <w:pPr>
              <w:spacing w:after="0"/>
              <w:rPr>
                <w:sz w:val="16"/>
                <w:szCs w:val="16"/>
                <w:color w:val="auto"/>
              </w:rPr>
            </w:pPr>
          </w:p>
        </w:tc>
        <w:tc>
          <w:tcPr>
            <w:tcW w:w="1040" w:type="dxa"/>
            <w:vAlign w:val="bottom"/>
            <w:tcBorders>
              <w:bottom w:val="single" w:sz="8" w:color="auto"/>
            </w:tcBorders>
            <w:vMerge w:val="continue"/>
            <w:shd w:val="clear" w:color="auto" w:fill="D4F1F5"/>
          </w:tcPr>
          <w:p>
            <w:pPr>
              <w:spacing w:after="0"/>
              <w:rPr>
                <w:sz w:val="16"/>
                <w:szCs w:val="16"/>
                <w:color w:val="auto"/>
              </w:rPr>
            </w:pPr>
          </w:p>
        </w:tc>
        <w:tc>
          <w:tcPr>
            <w:tcW w:w="160" w:type="dxa"/>
            <w:vAlign w:val="bottom"/>
            <w:tcBorders>
              <w:bottom w:val="single" w:sz="8" w:color="auto"/>
            </w:tcBorders>
            <w:shd w:val="clear" w:color="auto" w:fill="D4F1F5"/>
          </w:tcPr>
          <w:p>
            <w:pPr>
              <w:spacing w:after="0"/>
              <w:rPr>
                <w:sz w:val="16"/>
                <w:szCs w:val="16"/>
                <w:color w:val="auto"/>
              </w:rPr>
            </w:pPr>
          </w:p>
        </w:tc>
        <w:tc>
          <w:tcPr>
            <w:tcW w:w="1000" w:type="dxa"/>
            <w:vAlign w:val="bottom"/>
            <w:tcBorders>
              <w:bottom w:val="single" w:sz="8" w:color="auto"/>
            </w:tcBorders>
            <w:shd w:val="clear" w:color="auto" w:fill="D4F1F5"/>
          </w:tcPr>
          <w:p>
            <w:pPr>
              <w:spacing w:after="0"/>
              <w:rPr>
                <w:sz w:val="16"/>
                <w:szCs w:val="16"/>
                <w:color w:val="auto"/>
              </w:rPr>
            </w:pPr>
          </w:p>
        </w:tc>
        <w:tc>
          <w:tcPr>
            <w:tcW w:w="280" w:type="dxa"/>
            <w:vAlign w:val="bottom"/>
            <w:tcBorders>
              <w:bottom w:val="single" w:sz="8" w:color="auto"/>
            </w:tcBorders>
            <w:shd w:val="clear" w:color="auto" w:fill="D4F1F5"/>
          </w:tcPr>
          <w:p>
            <w:pPr>
              <w:spacing w:after="0"/>
              <w:rPr>
                <w:sz w:val="16"/>
                <w:szCs w:val="16"/>
                <w:color w:val="auto"/>
              </w:rPr>
            </w:pPr>
          </w:p>
        </w:tc>
        <w:tc>
          <w:tcPr>
            <w:tcW w:w="920" w:type="dxa"/>
            <w:vAlign w:val="bottom"/>
            <w:tcBorders>
              <w:bottom w:val="single" w:sz="8" w:color="auto"/>
            </w:tcBorders>
            <w:vMerge w:val="continue"/>
            <w:shd w:val="clear" w:color="auto" w:fill="D4F1F5"/>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40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Total</w:t>
            </w:r>
          </w:p>
        </w:tc>
        <w:tc>
          <w:tcPr>
            <w:tcW w:w="820" w:type="dxa"/>
            <w:vAlign w:val="bottom"/>
            <w:tcBorders>
              <w:bottom w:val="single" w:sz="8" w:color="auto"/>
            </w:tcBorders>
          </w:tcPr>
          <w:p>
            <w:pPr>
              <w:jc w:val="right"/>
              <w:ind w:right="668"/>
              <w:spacing w:after="0"/>
              <w:rPr>
                <w:sz w:val="20"/>
                <w:szCs w:val="20"/>
                <w:color w:val="auto"/>
              </w:rPr>
            </w:pPr>
            <w:r>
              <w:rPr>
                <w:rFonts w:ascii="Arial" w:cs="Arial" w:eastAsia="Arial" w:hAnsi="Arial"/>
                <w:sz w:val="14"/>
                <w:szCs w:val="14"/>
                <w:color w:val="auto"/>
                <w:w w:val="76"/>
              </w:rPr>
              <w:t>$</w:t>
            </w:r>
          </w:p>
        </w:tc>
        <w:tc>
          <w:tcPr>
            <w:tcW w:w="3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30</w:t>
            </w:r>
          </w:p>
        </w:tc>
        <w:tc>
          <w:tcPr>
            <w:tcW w:w="2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467</w:t>
            </w:r>
          </w:p>
        </w:tc>
        <w:tc>
          <w:tcPr>
            <w:tcW w:w="3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9</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(228)</w:t>
            </w:r>
          </w:p>
        </w:tc>
        <w:tc>
          <w:tcPr>
            <w:tcW w:w="2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w:t>
            </w:r>
          </w:p>
        </w:tc>
        <w:tc>
          <w:tcPr>
            <w:tcW w:w="0" w:type="dxa"/>
            <w:vAlign w:val="bottom"/>
          </w:tcPr>
          <w:p>
            <w:pPr>
              <w:spacing w:after="0"/>
              <w:rPr>
                <w:sz w:val="1"/>
                <w:szCs w:val="1"/>
                <w:color w:val="auto"/>
              </w:rPr>
            </w:pPr>
          </w:p>
        </w:tc>
      </w:tr>
      <w:tr>
        <w:trPr>
          <w:trHeight w:val="203"/>
        </w:trPr>
        <w:tc>
          <w:tcPr>
            <w:tcW w:w="4080" w:type="dxa"/>
            <w:vAlign w:val="bottom"/>
            <w:shd w:val="clear" w:color="auto" w:fill="D4F1F5"/>
          </w:tcPr>
          <w:p>
            <w:pPr>
              <w:ind w:left="20"/>
              <w:spacing w:after="0"/>
              <w:rPr>
                <w:sz w:val="20"/>
                <w:szCs w:val="20"/>
                <w:color w:val="auto"/>
              </w:rPr>
            </w:pPr>
            <w:r>
              <w:rPr>
                <w:rFonts w:ascii="Arial" w:cs="Arial" w:eastAsia="Arial" w:hAnsi="Arial"/>
                <w:sz w:val="14"/>
                <w:szCs w:val="14"/>
                <w:b w:val="1"/>
                <w:bCs w:val="1"/>
                <w:color w:val="auto"/>
              </w:rPr>
              <w:t>SDG&amp;E:</w:t>
            </w:r>
          </w:p>
        </w:tc>
        <w:tc>
          <w:tcPr>
            <w:tcW w:w="820" w:type="dxa"/>
            <w:vAlign w:val="bottom"/>
            <w:shd w:val="clear" w:color="auto" w:fill="D4F1F5"/>
          </w:tcPr>
          <w:p>
            <w:pPr>
              <w:spacing w:after="0"/>
              <w:rPr>
                <w:sz w:val="17"/>
                <w:szCs w:val="17"/>
                <w:color w:val="auto"/>
              </w:rPr>
            </w:pPr>
          </w:p>
        </w:tc>
        <w:tc>
          <w:tcPr>
            <w:tcW w:w="320" w:type="dxa"/>
            <w:vAlign w:val="bottom"/>
            <w:shd w:val="clear" w:color="auto" w:fill="D4F1F5"/>
          </w:tcPr>
          <w:p>
            <w:pPr>
              <w:spacing w:after="0"/>
              <w:rPr>
                <w:sz w:val="17"/>
                <w:szCs w:val="17"/>
                <w:color w:val="auto"/>
              </w:rPr>
            </w:pPr>
          </w:p>
        </w:tc>
        <w:tc>
          <w:tcPr>
            <w:tcW w:w="240" w:type="dxa"/>
            <w:vAlign w:val="bottom"/>
            <w:shd w:val="clear" w:color="auto" w:fill="D4F1F5"/>
          </w:tcPr>
          <w:p>
            <w:pPr>
              <w:spacing w:after="0"/>
              <w:rPr>
                <w:sz w:val="17"/>
                <w:szCs w:val="17"/>
                <w:color w:val="auto"/>
              </w:rPr>
            </w:pPr>
          </w:p>
        </w:tc>
        <w:tc>
          <w:tcPr>
            <w:tcW w:w="920" w:type="dxa"/>
            <w:vAlign w:val="bottom"/>
            <w:shd w:val="clear" w:color="auto" w:fill="D4F1F5"/>
          </w:tcPr>
          <w:p>
            <w:pPr>
              <w:spacing w:after="0"/>
              <w:rPr>
                <w:sz w:val="17"/>
                <w:szCs w:val="17"/>
                <w:color w:val="auto"/>
              </w:rPr>
            </w:pPr>
          </w:p>
        </w:tc>
        <w:tc>
          <w:tcPr>
            <w:tcW w:w="320" w:type="dxa"/>
            <w:vAlign w:val="bottom"/>
            <w:shd w:val="clear" w:color="auto" w:fill="D4F1F5"/>
          </w:tcPr>
          <w:p>
            <w:pPr>
              <w:spacing w:after="0"/>
              <w:rPr>
                <w:sz w:val="17"/>
                <w:szCs w:val="17"/>
                <w:color w:val="auto"/>
              </w:rPr>
            </w:pPr>
          </w:p>
        </w:tc>
        <w:tc>
          <w:tcPr>
            <w:tcW w:w="980" w:type="dxa"/>
            <w:vAlign w:val="bottom"/>
            <w:shd w:val="clear" w:color="auto" w:fill="D4F1F5"/>
          </w:tcPr>
          <w:p>
            <w:pPr>
              <w:spacing w:after="0"/>
              <w:rPr>
                <w:sz w:val="17"/>
                <w:szCs w:val="17"/>
                <w:color w:val="auto"/>
              </w:rPr>
            </w:pPr>
          </w:p>
        </w:tc>
        <w:tc>
          <w:tcPr>
            <w:tcW w:w="100" w:type="dxa"/>
            <w:vAlign w:val="bottom"/>
            <w:shd w:val="clear" w:color="auto" w:fill="D4F1F5"/>
          </w:tcPr>
          <w:p>
            <w:pPr>
              <w:spacing w:after="0"/>
              <w:rPr>
                <w:sz w:val="17"/>
                <w:szCs w:val="17"/>
                <w:color w:val="auto"/>
              </w:rPr>
            </w:pPr>
          </w:p>
        </w:tc>
        <w:tc>
          <w:tcPr>
            <w:tcW w:w="1040" w:type="dxa"/>
            <w:vAlign w:val="bottom"/>
            <w:shd w:val="clear" w:color="auto" w:fill="D4F1F5"/>
          </w:tcPr>
          <w:p>
            <w:pPr>
              <w:spacing w:after="0"/>
              <w:rPr>
                <w:sz w:val="17"/>
                <w:szCs w:val="17"/>
                <w:color w:val="auto"/>
              </w:rPr>
            </w:pPr>
          </w:p>
        </w:tc>
        <w:tc>
          <w:tcPr>
            <w:tcW w:w="160" w:type="dxa"/>
            <w:vAlign w:val="bottom"/>
            <w:shd w:val="clear" w:color="auto" w:fill="D4F1F5"/>
          </w:tcPr>
          <w:p>
            <w:pPr>
              <w:spacing w:after="0"/>
              <w:rPr>
                <w:sz w:val="17"/>
                <w:szCs w:val="17"/>
                <w:color w:val="auto"/>
              </w:rPr>
            </w:pPr>
          </w:p>
        </w:tc>
        <w:tc>
          <w:tcPr>
            <w:tcW w:w="1000" w:type="dxa"/>
            <w:vAlign w:val="bottom"/>
            <w:shd w:val="clear" w:color="auto" w:fill="D4F1F5"/>
          </w:tcPr>
          <w:p>
            <w:pPr>
              <w:spacing w:after="0"/>
              <w:rPr>
                <w:sz w:val="17"/>
                <w:szCs w:val="17"/>
                <w:color w:val="auto"/>
              </w:rPr>
            </w:pPr>
          </w:p>
        </w:tc>
        <w:tc>
          <w:tcPr>
            <w:tcW w:w="280" w:type="dxa"/>
            <w:vAlign w:val="bottom"/>
            <w:shd w:val="clear" w:color="auto" w:fill="D4F1F5"/>
          </w:tcPr>
          <w:p>
            <w:pPr>
              <w:spacing w:after="0"/>
              <w:rPr>
                <w:sz w:val="17"/>
                <w:szCs w:val="17"/>
                <w:color w:val="auto"/>
              </w:rPr>
            </w:pPr>
          </w:p>
        </w:tc>
        <w:tc>
          <w:tcPr>
            <w:tcW w:w="920" w:type="dxa"/>
            <w:vAlign w:val="bottom"/>
            <w:shd w:val="clear" w:color="auto" w:fill="D4F1F5"/>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4080" w:type="dxa"/>
            <w:vAlign w:val="bottom"/>
          </w:tcPr>
          <w:p>
            <w:pPr>
              <w:ind w:left="20"/>
              <w:spacing w:after="0"/>
              <w:rPr>
                <w:sz w:val="20"/>
                <w:szCs w:val="20"/>
                <w:color w:val="auto"/>
              </w:rPr>
            </w:pPr>
            <w:r>
              <w:rPr>
                <w:rFonts w:ascii="Arial" w:cs="Arial" w:eastAsia="Arial" w:hAnsi="Arial"/>
                <w:sz w:val="14"/>
                <w:szCs w:val="14"/>
                <w:color w:val="auto"/>
              </w:rPr>
              <w:t>Derivatives not designated as hedging instruments:</w:t>
            </w:r>
          </w:p>
        </w:tc>
        <w:tc>
          <w:tcPr>
            <w:tcW w:w="8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4080" w:type="dxa"/>
            <w:vAlign w:val="bottom"/>
            <w:shd w:val="clear" w:color="auto" w:fill="D4F1F5"/>
          </w:tcPr>
          <w:p>
            <w:pPr>
              <w:ind w:left="240"/>
              <w:spacing w:after="0"/>
              <w:rPr>
                <w:sz w:val="20"/>
                <w:szCs w:val="20"/>
                <w:color w:val="auto"/>
              </w:rPr>
            </w:pPr>
            <w:r>
              <w:rPr>
                <w:rFonts w:ascii="Arial" w:cs="Arial" w:eastAsia="Arial" w:hAnsi="Arial"/>
                <w:sz w:val="14"/>
                <w:szCs w:val="14"/>
                <w:color w:val="auto"/>
              </w:rPr>
              <w:t>Commodity contracts subject to rate recovery</w:t>
            </w:r>
          </w:p>
        </w:tc>
        <w:tc>
          <w:tcPr>
            <w:tcW w:w="820" w:type="dxa"/>
            <w:vAlign w:val="bottom"/>
            <w:shd w:val="clear" w:color="auto" w:fill="D4F1F5"/>
          </w:tcPr>
          <w:p>
            <w:pPr>
              <w:jc w:val="right"/>
              <w:ind w:right="668"/>
              <w:spacing w:after="0"/>
              <w:rPr>
                <w:sz w:val="20"/>
                <w:szCs w:val="20"/>
                <w:color w:val="auto"/>
              </w:rPr>
            </w:pPr>
            <w:r>
              <w:rPr>
                <w:rFonts w:ascii="Arial" w:cs="Arial" w:eastAsia="Arial" w:hAnsi="Arial"/>
                <w:sz w:val="14"/>
                <w:szCs w:val="14"/>
                <w:color w:val="auto"/>
                <w:w w:val="76"/>
              </w:rPr>
              <w:t>$</w:t>
            </w:r>
          </w:p>
        </w:tc>
        <w:tc>
          <w:tcPr>
            <w:tcW w:w="320" w:type="dxa"/>
            <w:vAlign w:val="bottom"/>
            <w:shd w:val="clear" w:color="auto" w:fill="D4F1F5"/>
          </w:tcPr>
          <w:p>
            <w:pPr>
              <w:jc w:val="right"/>
              <w:ind w:right="28"/>
              <w:spacing w:after="0"/>
              <w:rPr>
                <w:sz w:val="20"/>
                <w:szCs w:val="20"/>
                <w:color w:val="auto"/>
              </w:rPr>
            </w:pPr>
            <w:r>
              <w:rPr>
                <w:rFonts w:ascii="Arial" w:cs="Arial" w:eastAsia="Arial" w:hAnsi="Arial"/>
                <w:sz w:val="14"/>
                <w:szCs w:val="14"/>
                <w:color w:val="auto"/>
              </w:rPr>
              <w:t>4</w:t>
            </w:r>
          </w:p>
        </w:tc>
        <w:tc>
          <w:tcPr>
            <w:tcW w:w="240" w:type="dxa"/>
            <w:vAlign w:val="bottom"/>
            <w:shd w:val="clear" w:color="auto" w:fill="D4F1F5"/>
          </w:tcPr>
          <w:p>
            <w:pPr>
              <w:spacing w:after="0"/>
              <w:rPr>
                <w:sz w:val="17"/>
                <w:szCs w:val="17"/>
                <w:color w:val="auto"/>
              </w:rPr>
            </w:pPr>
          </w:p>
        </w:tc>
        <w:tc>
          <w:tcPr>
            <w:tcW w:w="920" w:type="dxa"/>
            <w:vAlign w:val="bottom"/>
            <w:shd w:val="clear" w:color="auto" w:fill="D4F1F5"/>
          </w:tcPr>
          <w:p>
            <w:pPr>
              <w:spacing w:after="0"/>
              <w:rPr>
                <w:sz w:val="17"/>
                <w:szCs w:val="17"/>
                <w:color w:val="auto"/>
              </w:rPr>
            </w:pPr>
          </w:p>
        </w:tc>
        <w:tc>
          <w:tcPr>
            <w:tcW w:w="320" w:type="dxa"/>
            <w:vAlign w:val="bottom"/>
            <w:shd w:val="clear" w:color="auto" w:fill="D4F1F5"/>
          </w:tcPr>
          <w:p>
            <w:pPr>
              <w:jc w:val="right"/>
              <w:ind w:right="48"/>
              <w:spacing w:after="0"/>
              <w:rPr>
                <w:sz w:val="20"/>
                <w:szCs w:val="20"/>
                <w:color w:val="auto"/>
              </w:rPr>
            </w:pPr>
            <w:r>
              <w:rPr>
                <w:rFonts w:ascii="Arial" w:cs="Arial" w:eastAsia="Arial" w:hAnsi="Arial"/>
                <w:sz w:val="14"/>
                <w:szCs w:val="14"/>
                <w:color w:val="auto"/>
              </w:rPr>
              <w:t>$</w:t>
            </w:r>
          </w:p>
        </w:tc>
        <w:tc>
          <w:tcPr>
            <w:tcW w:w="980" w:type="dxa"/>
            <w:vAlign w:val="bottom"/>
            <w:shd w:val="clear" w:color="auto" w:fill="D4F1F5"/>
          </w:tcPr>
          <w:p>
            <w:pPr>
              <w:jc w:val="right"/>
              <w:ind w:right="88"/>
              <w:spacing w:after="0"/>
              <w:rPr>
                <w:sz w:val="20"/>
                <w:szCs w:val="20"/>
                <w:color w:val="auto"/>
              </w:rPr>
            </w:pPr>
            <w:r>
              <w:rPr>
                <w:rFonts w:ascii="Arial" w:cs="Arial" w:eastAsia="Arial" w:hAnsi="Arial"/>
                <w:sz w:val="14"/>
                <w:szCs w:val="14"/>
                <w:color w:val="auto"/>
              </w:rPr>
              <w:t>8</w:t>
            </w:r>
          </w:p>
        </w:tc>
        <w:tc>
          <w:tcPr>
            <w:tcW w:w="100" w:type="dxa"/>
            <w:vAlign w:val="bottom"/>
            <w:shd w:val="clear" w:color="auto" w:fill="D4F1F5"/>
          </w:tcPr>
          <w:p>
            <w:pPr>
              <w:jc w:val="right"/>
              <w:spacing w:after="0"/>
              <w:rPr>
                <w:sz w:val="20"/>
                <w:szCs w:val="20"/>
                <w:color w:val="auto"/>
              </w:rPr>
            </w:pPr>
            <w:r>
              <w:rPr>
                <w:rFonts w:ascii="Arial" w:cs="Arial" w:eastAsia="Arial" w:hAnsi="Arial"/>
                <w:sz w:val="14"/>
                <w:szCs w:val="14"/>
                <w:color w:val="auto"/>
              </w:rPr>
              <w:t>$</w:t>
            </w:r>
          </w:p>
        </w:tc>
        <w:tc>
          <w:tcPr>
            <w:tcW w:w="1040" w:type="dxa"/>
            <w:vAlign w:val="bottom"/>
            <w:shd w:val="clear" w:color="auto" w:fill="D4F1F5"/>
          </w:tcPr>
          <w:p>
            <w:pPr>
              <w:jc w:val="right"/>
              <w:spacing w:after="0"/>
              <w:rPr>
                <w:sz w:val="20"/>
                <w:szCs w:val="20"/>
                <w:color w:val="auto"/>
              </w:rPr>
            </w:pPr>
            <w:r>
              <w:rPr>
                <w:rFonts w:ascii="Arial" w:cs="Arial" w:eastAsia="Arial" w:hAnsi="Arial"/>
                <w:sz w:val="14"/>
                <w:szCs w:val="14"/>
                <w:color w:val="auto"/>
              </w:rPr>
              <w:t>(12)</w:t>
            </w:r>
          </w:p>
        </w:tc>
        <w:tc>
          <w:tcPr>
            <w:tcW w:w="160" w:type="dxa"/>
            <w:vAlign w:val="bottom"/>
            <w:shd w:val="clear" w:color="auto" w:fill="D4F1F5"/>
          </w:tcPr>
          <w:p>
            <w:pPr>
              <w:spacing w:after="0"/>
              <w:rPr>
                <w:sz w:val="17"/>
                <w:szCs w:val="17"/>
                <w:color w:val="auto"/>
              </w:rPr>
            </w:pPr>
          </w:p>
        </w:tc>
        <w:tc>
          <w:tcPr>
            <w:tcW w:w="1000" w:type="dxa"/>
            <w:vAlign w:val="bottom"/>
            <w:shd w:val="clear" w:color="auto" w:fill="D4F1F5"/>
          </w:tcPr>
          <w:p>
            <w:pPr>
              <w:spacing w:after="0"/>
              <w:rPr>
                <w:sz w:val="17"/>
                <w:szCs w:val="17"/>
                <w:color w:val="auto"/>
              </w:rPr>
            </w:pPr>
          </w:p>
        </w:tc>
        <w:tc>
          <w:tcPr>
            <w:tcW w:w="280" w:type="dxa"/>
            <w:vAlign w:val="bottom"/>
            <w:shd w:val="clear" w:color="auto" w:fill="D4F1F5"/>
          </w:tcPr>
          <w:p>
            <w:pPr>
              <w:jc w:val="right"/>
              <w:ind w:right="8"/>
              <w:spacing w:after="0"/>
              <w:rPr>
                <w:sz w:val="20"/>
                <w:szCs w:val="20"/>
                <w:color w:val="auto"/>
              </w:rPr>
            </w:pPr>
            <w:r>
              <w:rPr>
                <w:rFonts w:ascii="Arial" w:cs="Arial" w:eastAsia="Arial" w:hAnsi="Arial"/>
                <w:sz w:val="14"/>
                <w:szCs w:val="14"/>
                <w:color w:val="auto"/>
              </w:rPr>
              <w:t>$</w:t>
            </w:r>
          </w:p>
        </w:tc>
        <w:tc>
          <w:tcPr>
            <w:tcW w:w="920" w:type="dxa"/>
            <w:vAlign w:val="bottom"/>
            <w:shd w:val="clear" w:color="auto" w:fill="D4F1F5"/>
          </w:tcPr>
          <w:p>
            <w:pPr>
              <w:jc w:val="right"/>
              <w:spacing w:after="0"/>
              <w:rPr>
                <w:sz w:val="20"/>
                <w:szCs w:val="20"/>
                <w:color w:val="auto"/>
              </w:rPr>
            </w:pPr>
            <w:r>
              <w:rPr>
                <w:rFonts w:ascii="Arial" w:cs="Arial" w:eastAsia="Arial" w:hAnsi="Arial"/>
                <w:sz w:val="14"/>
                <w:szCs w:val="14"/>
                <w:color w:val="auto"/>
              </w:rPr>
              <w:t>(5)</w:t>
            </w:r>
          </w:p>
        </w:tc>
        <w:tc>
          <w:tcPr>
            <w:tcW w:w="0" w:type="dxa"/>
            <w:vAlign w:val="bottom"/>
          </w:tcPr>
          <w:p>
            <w:pPr>
              <w:spacing w:after="0"/>
              <w:rPr>
                <w:sz w:val="1"/>
                <w:szCs w:val="1"/>
                <w:color w:val="auto"/>
              </w:rPr>
            </w:pPr>
          </w:p>
        </w:tc>
      </w:tr>
      <w:tr>
        <w:trPr>
          <w:trHeight w:val="199"/>
        </w:trPr>
        <w:tc>
          <w:tcPr>
            <w:tcW w:w="4080" w:type="dxa"/>
            <w:vAlign w:val="bottom"/>
          </w:tcPr>
          <w:p>
            <w:pPr>
              <w:ind w:left="460"/>
              <w:spacing w:after="0"/>
              <w:rPr>
                <w:sz w:val="20"/>
                <w:szCs w:val="20"/>
                <w:color w:val="auto"/>
              </w:rPr>
            </w:pPr>
            <w:r>
              <w:rPr>
                <w:rFonts w:ascii="Arial" w:cs="Arial" w:eastAsia="Arial" w:hAnsi="Arial"/>
                <w:sz w:val="14"/>
                <w:szCs w:val="14"/>
                <w:color w:val="auto"/>
              </w:rPr>
              <w:t>Associated offsetting commodity contracts</w:t>
            </w:r>
          </w:p>
        </w:tc>
        <w:tc>
          <w:tcPr>
            <w:tcW w:w="820" w:type="dxa"/>
            <w:vAlign w:val="bottom"/>
          </w:tcPr>
          <w:p>
            <w:pPr>
              <w:spacing w:after="0"/>
              <w:rPr>
                <w:sz w:val="17"/>
                <w:szCs w:val="17"/>
                <w:color w:val="auto"/>
              </w:rPr>
            </w:pPr>
          </w:p>
        </w:tc>
        <w:tc>
          <w:tcPr>
            <w:tcW w:w="3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7"/>
                <w:szCs w:val="17"/>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206"/>
        </w:trPr>
        <w:tc>
          <w:tcPr>
            <w:tcW w:w="4080" w:type="dxa"/>
            <w:vAlign w:val="bottom"/>
            <w:shd w:val="clear" w:color="auto" w:fill="D4F1F5"/>
          </w:tcPr>
          <w:p>
            <w:pPr>
              <w:ind w:left="460"/>
              <w:spacing w:after="0"/>
              <w:rPr>
                <w:sz w:val="20"/>
                <w:szCs w:val="20"/>
                <w:color w:val="auto"/>
              </w:rPr>
            </w:pPr>
            <w:r>
              <w:rPr>
                <w:rFonts w:ascii="Arial" w:cs="Arial" w:eastAsia="Arial" w:hAnsi="Arial"/>
                <w:sz w:val="14"/>
                <w:szCs w:val="14"/>
                <w:color w:val="auto"/>
              </w:rPr>
              <w:t>Associated offsetting cash collateral</w:t>
            </w:r>
          </w:p>
        </w:tc>
        <w:tc>
          <w:tcPr>
            <w:tcW w:w="820" w:type="dxa"/>
            <w:vAlign w:val="bottom"/>
            <w:tcBorders>
              <w:bottom w:val="single" w:sz="8" w:color="auto"/>
            </w:tcBorders>
            <w:shd w:val="clear" w:color="auto" w:fill="D4F1F5"/>
          </w:tcPr>
          <w:p>
            <w:pPr>
              <w:spacing w:after="0"/>
              <w:rPr>
                <w:sz w:val="17"/>
                <w:szCs w:val="17"/>
                <w:color w:val="auto"/>
              </w:rPr>
            </w:pPr>
          </w:p>
        </w:tc>
        <w:tc>
          <w:tcPr>
            <w:tcW w:w="320" w:type="dxa"/>
            <w:vAlign w:val="bottom"/>
            <w:tcBorders>
              <w:bottom w:val="single" w:sz="8" w:color="auto"/>
            </w:tcBorders>
            <w:shd w:val="clear" w:color="auto" w:fill="D4F1F5"/>
          </w:tcPr>
          <w:p>
            <w:pPr>
              <w:jc w:val="right"/>
              <w:ind w:right="28"/>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auto"/>
            </w:tcBorders>
            <w:shd w:val="clear" w:color="auto" w:fill="D4F1F5"/>
          </w:tcPr>
          <w:p>
            <w:pPr>
              <w:spacing w:after="0"/>
              <w:rPr>
                <w:sz w:val="17"/>
                <w:szCs w:val="17"/>
                <w:color w:val="auto"/>
              </w:rPr>
            </w:pPr>
          </w:p>
        </w:tc>
        <w:tc>
          <w:tcPr>
            <w:tcW w:w="920" w:type="dxa"/>
            <w:vAlign w:val="bottom"/>
            <w:tcBorders>
              <w:bottom w:val="single" w:sz="8" w:color="auto"/>
            </w:tcBorders>
            <w:shd w:val="clear" w:color="auto" w:fill="D4F1F5"/>
          </w:tcPr>
          <w:p>
            <w:pPr>
              <w:spacing w:after="0"/>
              <w:rPr>
                <w:sz w:val="17"/>
                <w:szCs w:val="17"/>
                <w:color w:val="auto"/>
              </w:rPr>
            </w:pPr>
          </w:p>
        </w:tc>
        <w:tc>
          <w:tcPr>
            <w:tcW w:w="320" w:type="dxa"/>
            <w:vAlign w:val="bottom"/>
            <w:tcBorders>
              <w:bottom w:val="single" w:sz="8" w:color="auto"/>
            </w:tcBorders>
            <w:shd w:val="clear" w:color="auto" w:fill="D4F1F5"/>
          </w:tcPr>
          <w:p>
            <w:pPr>
              <w:spacing w:after="0"/>
              <w:rPr>
                <w:sz w:val="17"/>
                <w:szCs w:val="17"/>
                <w:color w:val="auto"/>
              </w:rPr>
            </w:pPr>
          </w:p>
        </w:tc>
        <w:tc>
          <w:tcPr>
            <w:tcW w:w="980" w:type="dxa"/>
            <w:vAlign w:val="bottom"/>
            <w:tcBorders>
              <w:bottom w:val="single" w:sz="8" w:color="auto"/>
            </w:tcBorders>
            <w:shd w:val="clear" w:color="auto" w:fill="D4F1F5"/>
          </w:tcPr>
          <w:p>
            <w:pPr>
              <w:jc w:val="right"/>
              <w:ind w:right="88"/>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auto"/>
            </w:tcBorders>
            <w:shd w:val="clear" w:color="auto" w:fill="D4F1F5"/>
          </w:tcPr>
          <w:p>
            <w:pPr>
              <w:spacing w:after="0"/>
              <w:rPr>
                <w:sz w:val="17"/>
                <w:szCs w:val="17"/>
                <w:color w:val="auto"/>
              </w:rPr>
            </w:pPr>
          </w:p>
        </w:tc>
        <w:tc>
          <w:tcPr>
            <w:tcW w:w="1040" w:type="dxa"/>
            <w:vAlign w:val="bottom"/>
            <w:tcBorders>
              <w:bottom w:val="single" w:sz="8" w:color="auto"/>
            </w:tcBorders>
            <w:shd w:val="clear" w:color="auto" w:fill="D4F1F5"/>
          </w:tcPr>
          <w:p>
            <w:pPr>
              <w:jc w:val="right"/>
              <w:ind w:right="28"/>
              <w:spacing w:after="0"/>
              <w:rPr>
                <w:sz w:val="20"/>
                <w:szCs w:val="20"/>
                <w:color w:val="auto"/>
              </w:rPr>
            </w:pPr>
            <w:r>
              <w:rPr>
                <w:rFonts w:ascii="Arial" w:cs="Arial" w:eastAsia="Arial" w:hAnsi="Arial"/>
                <w:sz w:val="14"/>
                <w:szCs w:val="14"/>
                <w:color w:val="auto"/>
              </w:rPr>
              <w:t>12</w:t>
            </w:r>
          </w:p>
        </w:tc>
        <w:tc>
          <w:tcPr>
            <w:tcW w:w="160" w:type="dxa"/>
            <w:vAlign w:val="bottom"/>
            <w:tcBorders>
              <w:bottom w:val="single" w:sz="8" w:color="auto"/>
            </w:tcBorders>
            <w:shd w:val="clear" w:color="auto" w:fill="D4F1F5"/>
          </w:tcPr>
          <w:p>
            <w:pPr>
              <w:spacing w:after="0"/>
              <w:rPr>
                <w:sz w:val="17"/>
                <w:szCs w:val="17"/>
                <w:color w:val="auto"/>
              </w:rPr>
            </w:pPr>
          </w:p>
        </w:tc>
        <w:tc>
          <w:tcPr>
            <w:tcW w:w="1000" w:type="dxa"/>
            <w:vAlign w:val="bottom"/>
            <w:tcBorders>
              <w:bottom w:val="single" w:sz="8" w:color="auto"/>
            </w:tcBorders>
            <w:shd w:val="clear" w:color="auto" w:fill="D4F1F5"/>
          </w:tcPr>
          <w:p>
            <w:pPr>
              <w:spacing w:after="0"/>
              <w:rPr>
                <w:sz w:val="17"/>
                <w:szCs w:val="17"/>
                <w:color w:val="auto"/>
              </w:rPr>
            </w:pPr>
          </w:p>
        </w:tc>
        <w:tc>
          <w:tcPr>
            <w:tcW w:w="280" w:type="dxa"/>
            <w:vAlign w:val="bottom"/>
            <w:tcBorders>
              <w:bottom w:val="single" w:sz="8" w:color="auto"/>
            </w:tcBorders>
            <w:shd w:val="clear" w:color="auto" w:fill="D4F1F5"/>
          </w:tcPr>
          <w:p>
            <w:pPr>
              <w:spacing w:after="0"/>
              <w:rPr>
                <w:sz w:val="17"/>
                <w:szCs w:val="17"/>
                <w:color w:val="auto"/>
              </w:rPr>
            </w:pPr>
          </w:p>
        </w:tc>
        <w:tc>
          <w:tcPr>
            <w:tcW w:w="920" w:type="dxa"/>
            <w:vAlign w:val="bottom"/>
            <w:tcBorders>
              <w:bottom w:val="single" w:sz="8" w:color="auto"/>
            </w:tcBorders>
            <w:shd w:val="clear" w:color="auto" w:fill="D4F1F5"/>
          </w:tcPr>
          <w:p>
            <w:pPr>
              <w:jc w:val="right"/>
              <w:spacing w:after="0"/>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192"/>
        </w:trPr>
        <w:tc>
          <w:tcPr>
            <w:tcW w:w="4080" w:type="dxa"/>
            <w:vAlign w:val="bottom"/>
          </w:tcPr>
          <w:p>
            <w:pPr>
              <w:ind w:left="20"/>
              <w:spacing w:after="0"/>
              <w:rPr>
                <w:sz w:val="20"/>
                <w:szCs w:val="20"/>
                <w:color w:val="auto"/>
              </w:rPr>
            </w:pPr>
            <w:r>
              <w:rPr>
                <w:rFonts w:ascii="Arial" w:cs="Arial" w:eastAsia="Arial" w:hAnsi="Arial"/>
                <w:sz w:val="14"/>
                <w:szCs w:val="14"/>
                <w:color w:val="auto"/>
              </w:rPr>
              <w:t>Net amounts presented on the balance sheet</w:t>
            </w:r>
          </w:p>
        </w:tc>
        <w:tc>
          <w:tcPr>
            <w:tcW w:w="820" w:type="dxa"/>
            <w:vAlign w:val="bottom"/>
          </w:tcPr>
          <w:p>
            <w:pPr>
              <w:spacing w:after="0"/>
              <w:rPr>
                <w:sz w:val="16"/>
                <w:szCs w:val="16"/>
                <w:color w:val="auto"/>
              </w:rPr>
            </w:pPr>
          </w:p>
        </w:tc>
        <w:tc>
          <w:tcPr>
            <w:tcW w:w="320" w:type="dxa"/>
            <w:vAlign w:val="bottom"/>
          </w:tcPr>
          <w:p>
            <w:pPr>
              <w:jc w:val="right"/>
              <w:ind w:right="28"/>
              <w:spacing w:after="0"/>
              <w:rPr>
                <w:sz w:val="20"/>
                <w:szCs w:val="20"/>
                <w:color w:val="auto"/>
              </w:rPr>
            </w:pPr>
            <w:r>
              <w:rPr>
                <w:rFonts w:ascii="Arial" w:cs="Arial" w:eastAsia="Arial" w:hAnsi="Arial"/>
                <w:sz w:val="14"/>
                <w:szCs w:val="14"/>
                <w:color w:val="auto"/>
              </w:rPr>
              <w:t>4</w:t>
            </w:r>
          </w:p>
        </w:tc>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80" w:type="dxa"/>
            <w:vAlign w:val="bottom"/>
          </w:tcPr>
          <w:p>
            <w:pPr>
              <w:jc w:val="right"/>
              <w:ind w:right="88"/>
              <w:spacing w:after="0"/>
              <w:rPr>
                <w:sz w:val="20"/>
                <w:szCs w:val="20"/>
                <w:color w:val="auto"/>
              </w:rPr>
            </w:pPr>
            <w:r>
              <w:rPr>
                <w:rFonts w:ascii="Arial" w:cs="Arial" w:eastAsia="Arial" w:hAnsi="Arial"/>
                <w:sz w:val="14"/>
                <w:szCs w:val="14"/>
                <w:color w:val="auto"/>
              </w:rPr>
              <w:t>7</w:t>
            </w:r>
          </w:p>
        </w:tc>
        <w:tc>
          <w:tcPr>
            <w:tcW w:w="100" w:type="dxa"/>
            <w:vAlign w:val="bottom"/>
          </w:tcPr>
          <w:p>
            <w:pPr>
              <w:spacing w:after="0"/>
              <w:rPr>
                <w:sz w:val="16"/>
                <w:szCs w:val="16"/>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3"/>
        </w:trPr>
        <w:tc>
          <w:tcPr>
            <w:tcW w:w="4080" w:type="dxa"/>
            <w:vAlign w:val="bottom"/>
            <w:shd w:val="clear" w:color="auto" w:fill="D4F1F5"/>
          </w:tcPr>
          <w:p>
            <w:pPr>
              <w:ind w:left="220"/>
              <w:spacing w:after="0" w:line="153" w:lineRule="exact"/>
              <w:rPr>
                <w:sz w:val="20"/>
                <w:szCs w:val="20"/>
                <w:color w:val="auto"/>
              </w:rPr>
            </w:pPr>
            <w:r>
              <w:rPr>
                <w:rFonts w:ascii="Arial" w:cs="Arial" w:eastAsia="Arial" w:hAnsi="Arial"/>
                <w:sz w:val="14"/>
                <w:szCs w:val="14"/>
                <w:color w:val="auto"/>
              </w:rPr>
              <w:t>Additional cash collateral for commodity contracts</w:t>
            </w:r>
          </w:p>
        </w:tc>
        <w:tc>
          <w:tcPr>
            <w:tcW w:w="820" w:type="dxa"/>
            <w:vAlign w:val="bottom"/>
            <w:shd w:val="clear" w:color="auto" w:fill="D4F1F5"/>
          </w:tcPr>
          <w:p>
            <w:pPr>
              <w:spacing w:after="0"/>
              <w:rPr>
                <w:sz w:val="13"/>
                <w:szCs w:val="13"/>
                <w:color w:val="auto"/>
              </w:rPr>
            </w:pPr>
          </w:p>
        </w:tc>
        <w:tc>
          <w:tcPr>
            <w:tcW w:w="320" w:type="dxa"/>
            <w:vAlign w:val="bottom"/>
            <w:vMerge w:val="restart"/>
            <w:shd w:val="clear" w:color="auto" w:fill="D4F1F5"/>
          </w:tcPr>
          <w:p>
            <w:pPr>
              <w:jc w:val="right"/>
              <w:ind w:right="28"/>
              <w:spacing w:after="0"/>
              <w:rPr>
                <w:sz w:val="20"/>
                <w:szCs w:val="20"/>
                <w:color w:val="auto"/>
              </w:rPr>
            </w:pPr>
            <w:r>
              <w:rPr>
                <w:rFonts w:ascii="Arial" w:cs="Arial" w:eastAsia="Arial" w:hAnsi="Arial"/>
                <w:sz w:val="14"/>
                <w:szCs w:val="14"/>
                <w:color w:val="auto"/>
              </w:rPr>
              <w:t>20</w:t>
            </w:r>
          </w:p>
        </w:tc>
        <w:tc>
          <w:tcPr>
            <w:tcW w:w="240" w:type="dxa"/>
            <w:vAlign w:val="bottom"/>
            <w:shd w:val="clear" w:color="auto" w:fill="D4F1F5"/>
          </w:tcPr>
          <w:p>
            <w:pPr>
              <w:spacing w:after="0"/>
              <w:rPr>
                <w:sz w:val="13"/>
                <w:szCs w:val="13"/>
                <w:color w:val="auto"/>
              </w:rPr>
            </w:pPr>
          </w:p>
        </w:tc>
        <w:tc>
          <w:tcPr>
            <w:tcW w:w="920" w:type="dxa"/>
            <w:vAlign w:val="bottom"/>
            <w:shd w:val="clear" w:color="auto" w:fill="D4F1F5"/>
          </w:tcPr>
          <w:p>
            <w:pPr>
              <w:spacing w:after="0"/>
              <w:rPr>
                <w:sz w:val="13"/>
                <w:szCs w:val="13"/>
                <w:color w:val="auto"/>
              </w:rPr>
            </w:pPr>
          </w:p>
        </w:tc>
        <w:tc>
          <w:tcPr>
            <w:tcW w:w="320" w:type="dxa"/>
            <w:vAlign w:val="bottom"/>
            <w:shd w:val="clear" w:color="auto" w:fill="D4F1F5"/>
          </w:tcPr>
          <w:p>
            <w:pPr>
              <w:spacing w:after="0"/>
              <w:rPr>
                <w:sz w:val="13"/>
                <w:szCs w:val="13"/>
                <w:color w:val="auto"/>
              </w:rPr>
            </w:pPr>
          </w:p>
        </w:tc>
        <w:tc>
          <w:tcPr>
            <w:tcW w:w="980" w:type="dxa"/>
            <w:vAlign w:val="bottom"/>
            <w:vMerge w:val="restart"/>
            <w:shd w:val="clear" w:color="auto" w:fill="D4F1F5"/>
          </w:tcPr>
          <w:p>
            <w:pPr>
              <w:jc w:val="right"/>
              <w:ind w:right="88"/>
              <w:spacing w:after="0"/>
              <w:rPr>
                <w:sz w:val="20"/>
                <w:szCs w:val="20"/>
                <w:color w:val="auto"/>
              </w:rPr>
            </w:pPr>
            <w:r>
              <w:rPr>
                <w:rFonts w:ascii="Arial" w:cs="Arial" w:eastAsia="Arial" w:hAnsi="Arial"/>
                <w:sz w:val="14"/>
                <w:szCs w:val="14"/>
                <w:color w:val="auto"/>
              </w:rPr>
              <w:t>—</w:t>
            </w:r>
          </w:p>
        </w:tc>
        <w:tc>
          <w:tcPr>
            <w:tcW w:w="100" w:type="dxa"/>
            <w:vAlign w:val="bottom"/>
            <w:shd w:val="clear" w:color="auto" w:fill="D4F1F5"/>
          </w:tcPr>
          <w:p>
            <w:pPr>
              <w:spacing w:after="0"/>
              <w:rPr>
                <w:sz w:val="13"/>
                <w:szCs w:val="13"/>
                <w:color w:val="auto"/>
              </w:rPr>
            </w:pPr>
          </w:p>
        </w:tc>
        <w:tc>
          <w:tcPr>
            <w:tcW w:w="1040" w:type="dxa"/>
            <w:vAlign w:val="bottom"/>
            <w:vMerge w:val="restart"/>
            <w:shd w:val="clear" w:color="auto" w:fill="D4F1F5"/>
          </w:tcPr>
          <w:p>
            <w:pPr>
              <w:jc w:val="right"/>
              <w:ind w:right="28"/>
              <w:spacing w:after="0"/>
              <w:rPr>
                <w:sz w:val="20"/>
                <w:szCs w:val="20"/>
                <w:color w:val="auto"/>
              </w:rPr>
            </w:pPr>
            <w:r>
              <w:rPr>
                <w:rFonts w:ascii="Arial" w:cs="Arial" w:eastAsia="Arial" w:hAnsi="Arial"/>
                <w:sz w:val="14"/>
                <w:szCs w:val="14"/>
                <w:color w:val="auto"/>
              </w:rPr>
              <w:t>—</w:t>
            </w:r>
          </w:p>
        </w:tc>
        <w:tc>
          <w:tcPr>
            <w:tcW w:w="160" w:type="dxa"/>
            <w:vAlign w:val="bottom"/>
            <w:shd w:val="clear" w:color="auto" w:fill="D4F1F5"/>
          </w:tcPr>
          <w:p>
            <w:pPr>
              <w:spacing w:after="0"/>
              <w:rPr>
                <w:sz w:val="13"/>
                <w:szCs w:val="13"/>
                <w:color w:val="auto"/>
              </w:rPr>
            </w:pPr>
          </w:p>
        </w:tc>
        <w:tc>
          <w:tcPr>
            <w:tcW w:w="1000" w:type="dxa"/>
            <w:vAlign w:val="bottom"/>
            <w:shd w:val="clear" w:color="auto" w:fill="D4F1F5"/>
          </w:tcPr>
          <w:p>
            <w:pPr>
              <w:spacing w:after="0"/>
              <w:rPr>
                <w:sz w:val="13"/>
                <w:szCs w:val="13"/>
                <w:color w:val="auto"/>
              </w:rPr>
            </w:pPr>
          </w:p>
        </w:tc>
        <w:tc>
          <w:tcPr>
            <w:tcW w:w="280" w:type="dxa"/>
            <w:vAlign w:val="bottom"/>
            <w:shd w:val="clear" w:color="auto" w:fill="D4F1F5"/>
          </w:tcPr>
          <w:p>
            <w:pPr>
              <w:spacing w:after="0"/>
              <w:rPr>
                <w:sz w:val="13"/>
                <w:szCs w:val="13"/>
                <w:color w:val="auto"/>
              </w:rPr>
            </w:pPr>
          </w:p>
        </w:tc>
        <w:tc>
          <w:tcPr>
            <w:tcW w:w="920" w:type="dxa"/>
            <w:vAlign w:val="bottom"/>
            <w:vMerge w:val="restart"/>
            <w:shd w:val="clear" w:color="auto" w:fill="D4F1F5"/>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4080" w:type="dxa"/>
            <w:vAlign w:val="bottom"/>
            <w:shd w:val="clear" w:color="auto" w:fill="D4F1F5"/>
          </w:tcPr>
          <w:p>
            <w:pPr>
              <w:ind w:left="480"/>
              <w:spacing w:after="0"/>
              <w:rPr>
                <w:sz w:val="20"/>
                <w:szCs w:val="20"/>
                <w:color w:val="auto"/>
              </w:rPr>
            </w:pPr>
            <w:r>
              <w:rPr>
                <w:rFonts w:ascii="Arial" w:cs="Arial" w:eastAsia="Arial" w:hAnsi="Arial"/>
                <w:sz w:val="14"/>
                <w:szCs w:val="14"/>
                <w:color w:val="auto"/>
              </w:rPr>
              <w:t>subject to rate recovery</w:t>
            </w:r>
          </w:p>
        </w:tc>
        <w:tc>
          <w:tcPr>
            <w:tcW w:w="820" w:type="dxa"/>
            <w:vAlign w:val="bottom"/>
            <w:tcBorders>
              <w:bottom w:val="single" w:sz="8" w:color="auto"/>
            </w:tcBorders>
            <w:shd w:val="clear" w:color="auto" w:fill="D4F1F5"/>
          </w:tcPr>
          <w:p>
            <w:pPr>
              <w:spacing w:after="0"/>
              <w:rPr>
                <w:sz w:val="16"/>
                <w:szCs w:val="16"/>
                <w:color w:val="auto"/>
              </w:rPr>
            </w:pPr>
          </w:p>
        </w:tc>
        <w:tc>
          <w:tcPr>
            <w:tcW w:w="320" w:type="dxa"/>
            <w:vAlign w:val="bottom"/>
            <w:tcBorders>
              <w:bottom w:val="single" w:sz="8" w:color="auto"/>
            </w:tcBorders>
            <w:vMerge w:val="continue"/>
            <w:shd w:val="clear" w:color="auto" w:fill="D4F1F5"/>
          </w:tcPr>
          <w:p>
            <w:pPr>
              <w:spacing w:after="0"/>
              <w:rPr>
                <w:sz w:val="16"/>
                <w:szCs w:val="16"/>
                <w:color w:val="auto"/>
              </w:rPr>
            </w:pPr>
          </w:p>
        </w:tc>
        <w:tc>
          <w:tcPr>
            <w:tcW w:w="240" w:type="dxa"/>
            <w:vAlign w:val="bottom"/>
            <w:tcBorders>
              <w:bottom w:val="single" w:sz="8" w:color="auto"/>
            </w:tcBorders>
            <w:shd w:val="clear" w:color="auto" w:fill="D4F1F5"/>
          </w:tcPr>
          <w:p>
            <w:pPr>
              <w:spacing w:after="0"/>
              <w:rPr>
                <w:sz w:val="16"/>
                <w:szCs w:val="16"/>
                <w:color w:val="auto"/>
              </w:rPr>
            </w:pPr>
          </w:p>
        </w:tc>
        <w:tc>
          <w:tcPr>
            <w:tcW w:w="920" w:type="dxa"/>
            <w:vAlign w:val="bottom"/>
            <w:tcBorders>
              <w:bottom w:val="single" w:sz="8" w:color="auto"/>
            </w:tcBorders>
            <w:shd w:val="clear" w:color="auto" w:fill="D4F1F5"/>
          </w:tcPr>
          <w:p>
            <w:pPr>
              <w:spacing w:after="0"/>
              <w:rPr>
                <w:sz w:val="16"/>
                <w:szCs w:val="16"/>
                <w:color w:val="auto"/>
              </w:rPr>
            </w:pPr>
          </w:p>
        </w:tc>
        <w:tc>
          <w:tcPr>
            <w:tcW w:w="320" w:type="dxa"/>
            <w:vAlign w:val="bottom"/>
            <w:tcBorders>
              <w:bottom w:val="single" w:sz="8" w:color="auto"/>
            </w:tcBorders>
            <w:shd w:val="clear" w:color="auto" w:fill="D4F1F5"/>
          </w:tcPr>
          <w:p>
            <w:pPr>
              <w:spacing w:after="0"/>
              <w:rPr>
                <w:sz w:val="16"/>
                <w:szCs w:val="16"/>
                <w:color w:val="auto"/>
              </w:rPr>
            </w:pPr>
          </w:p>
        </w:tc>
        <w:tc>
          <w:tcPr>
            <w:tcW w:w="980" w:type="dxa"/>
            <w:vAlign w:val="bottom"/>
            <w:tcBorders>
              <w:bottom w:val="single" w:sz="8" w:color="auto"/>
            </w:tcBorders>
            <w:vMerge w:val="continue"/>
            <w:shd w:val="clear" w:color="auto" w:fill="D4F1F5"/>
          </w:tcPr>
          <w:p>
            <w:pPr>
              <w:spacing w:after="0"/>
              <w:rPr>
                <w:sz w:val="16"/>
                <w:szCs w:val="16"/>
                <w:color w:val="auto"/>
              </w:rPr>
            </w:pPr>
          </w:p>
        </w:tc>
        <w:tc>
          <w:tcPr>
            <w:tcW w:w="100" w:type="dxa"/>
            <w:vAlign w:val="bottom"/>
            <w:tcBorders>
              <w:bottom w:val="single" w:sz="8" w:color="auto"/>
            </w:tcBorders>
            <w:shd w:val="clear" w:color="auto" w:fill="D4F1F5"/>
          </w:tcPr>
          <w:p>
            <w:pPr>
              <w:spacing w:after="0"/>
              <w:rPr>
                <w:sz w:val="16"/>
                <w:szCs w:val="16"/>
                <w:color w:val="auto"/>
              </w:rPr>
            </w:pPr>
          </w:p>
        </w:tc>
        <w:tc>
          <w:tcPr>
            <w:tcW w:w="1040" w:type="dxa"/>
            <w:vAlign w:val="bottom"/>
            <w:tcBorders>
              <w:bottom w:val="single" w:sz="8" w:color="auto"/>
            </w:tcBorders>
            <w:vMerge w:val="continue"/>
            <w:shd w:val="clear" w:color="auto" w:fill="D4F1F5"/>
          </w:tcPr>
          <w:p>
            <w:pPr>
              <w:spacing w:after="0"/>
              <w:rPr>
                <w:sz w:val="16"/>
                <w:szCs w:val="16"/>
                <w:color w:val="auto"/>
              </w:rPr>
            </w:pPr>
          </w:p>
        </w:tc>
        <w:tc>
          <w:tcPr>
            <w:tcW w:w="160" w:type="dxa"/>
            <w:vAlign w:val="bottom"/>
            <w:tcBorders>
              <w:bottom w:val="single" w:sz="8" w:color="auto"/>
            </w:tcBorders>
            <w:shd w:val="clear" w:color="auto" w:fill="D4F1F5"/>
          </w:tcPr>
          <w:p>
            <w:pPr>
              <w:spacing w:after="0"/>
              <w:rPr>
                <w:sz w:val="16"/>
                <w:szCs w:val="16"/>
                <w:color w:val="auto"/>
              </w:rPr>
            </w:pPr>
          </w:p>
        </w:tc>
        <w:tc>
          <w:tcPr>
            <w:tcW w:w="1000" w:type="dxa"/>
            <w:vAlign w:val="bottom"/>
            <w:tcBorders>
              <w:bottom w:val="single" w:sz="8" w:color="auto"/>
            </w:tcBorders>
            <w:shd w:val="clear" w:color="auto" w:fill="D4F1F5"/>
          </w:tcPr>
          <w:p>
            <w:pPr>
              <w:spacing w:after="0"/>
              <w:rPr>
                <w:sz w:val="16"/>
                <w:szCs w:val="16"/>
                <w:color w:val="auto"/>
              </w:rPr>
            </w:pPr>
          </w:p>
        </w:tc>
        <w:tc>
          <w:tcPr>
            <w:tcW w:w="280" w:type="dxa"/>
            <w:vAlign w:val="bottom"/>
            <w:tcBorders>
              <w:bottom w:val="single" w:sz="8" w:color="auto"/>
            </w:tcBorders>
            <w:shd w:val="clear" w:color="auto" w:fill="D4F1F5"/>
          </w:tcPr>
          <w:p>
            <w:pPr>
              <w:spacing w:after="0"/>
              <w:rPr>
                <w:sz w:val="16"/>
                <w:szCs w:val="16"/>
                <w:color w:val="auto"/>
              </w:rPr>
            </w:pPr>
          </w:p>
        </w:tc>
        <w:tc>
          <w:tcPr>
            <w:tcW w:w="920" w:type="dxa"/>
            <w:vAlign w:val="bottom"/>
            <w:tcBorders>
              <w:bottom w:val="single" w:sz="8" w:color="auto"/>
            </w:tcBorders>
            <w:vMerge w:val="continue"/>
            <w:shd w:val="clear" w:color="auto" w:fill="D4F1F5"/>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40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Total</w:t>
            </w:r>
          </w:p>
        </w:tc>
        <w:tc>
          <w:tcPr>
            <w:tcW w:w="820" w:type="dxa"/>
            <w:vAlign w:val="bottom"/>
            <w:tcBorders>
              <w:bottom w:val="single" w:sz="8" w:color="auto"/>
            </w:tcBorders>
          </w:tcPr>
          <w:p>
            <w:pPr>
              <w:jc w:val="right"/>
              <w:ind w:right="668"/>
              <w:spacing w:after="0"/>
              <w:rPr>
                <w:sz w:val="20"/>
                <w:szCs w:val="20"/>
                <w:color w:val="auto"/>
              </w:rPr>
            </w:pPr>
            <w:r>
              <w:rPr>
                <w:rFonts w:ascii="Arial" w:cs="Arial" w:eastAsia="Arial" w:hAnsi="Arial"/>
                <w:sz w:val="14"/>
                <w:szCs w:val="14"/>
                <w:color w:val="auto"/>
                <w:w w:val="76"/>
              </w:rPr>
              <w:t>$</w:t>
            </w:r>
          </w:p>
        </w:tc>
        <w:tc>
          <w:tcPr>
            <w:tcW w:w="3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24</w:t>
            </w:r>
          </w:p>
        </w:tc>
        <w:tc>
          <w:tcPr>
            <w:tcW w:w="2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7</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3"/>
        </w:trPr>
        <w:tc>
          <w:tcPr>
            <w:tcW w:w="4080" w:type="dxa"/>
            <w:vAlign w:val="bottom"/>
            <w:shd w:val="clear" w:color="auto" w:fill="D4F1F5"/>
          </w:tcPr>
          <w:p>
            <w:pPr>
              <w:ind w:left="20"/>
              <w:spacing w:after="0"/>
              <w:rPr>
                <w:sz w:val="20"/>
                <w:szCs w:val="20"/>
                <w:color w:val="auto"/>
              </w:rPr>
            </w:pPr>
            <w:r>
              <w:rPr>
                <w:rFonts w:ascii="Arial" w:cs="Arial" w:eastAsia="Arial" w:hAnsi="Arial"/>
                <w:sz w:val="14"/>
                <w:szCs w:val="14"/>
                <w:b w:val="1"/>
                <w:bCs w:val="1"/>
                <w:color w:val="auto"/>
              </w:rPr>
              <w:t>SoCalGas:</w:t>
            </w:r>
          </w:p>
        </w:tc>
        <w:tc>
          <w:tcPr>
            <w:tcW w:w="820" w:type="dxa"/>
            <w:vAlign w:val="bottom"/>
            <w:shd w:val="clear" w:color="auto" w:fill="D4F1F5"/>
          </w:tcPr>
          <w:p>
            <w:pPr>
              <w:spacing w:after="0"/>
              <w:rPr>
                <w:sz w:val="17"/>
                <w:szCs w:val="17"/>
                <w:color w:val="auto"/>
              </w:rPr>
            </w:pPr>
          </w:p>
        </w:tc>
        <w:tc>
          <w:tcPr>
            <w:tcW w:w="320" w:type="dxa"/>
            <w:vAlign w:val="bottom"/>
            <w:shd w:val="clear" w:color="auto" w:fill="D4F1F5"/>
          </w:tcPr>
          <w:p>
            <w:pPr>
              <w:spacing w:after="0"/>
              <w:rPr>
                <w:sz w:val="17"/>
                <w:szCs w:val="17"/>
                <w:color w:val="auto"/>
              </w:rPr>
            </w:pPr>
          </w:p>
        </w:tc>
        <w:tc>
          <w:tcPr>
            <w:tcW w:w="240" w:type="dxa"/>
            <w:vAlign w:val="bottom"/>
            <w:shd w:val="clear" w:color="auto" w:fill="D4F1F5"/>
          </w:tcPr>
          <w:p>
            <w:pPr>
              <w:spacing w:after="0"/>
              <w:rPr>
                <w:sz w:val="17"/>
                <w:szCs w:val="17"/>
                <w:color w:val="auto"/>
              </w:rPr>
            </w:pPr>
          </w:p>
        </w:tc>
        <w:tc>
          <w:tcPr>
            <w:tcW w:w="920" w:type="dxa"/>
            <w:vAlign w:val="bottom"/>
            <w:shd w:val="clear" w:color="auto" w:fill="D4F1F5"/>
          </w:tcPr>
          <w:p>
            <w:pPr>
              <w:spacing w:after="0"/>
              <w:rPr>
                <w:sz w:val="17"/>
                <w:szCs w:val="17"/>
                <w:color w:val="auto"/>
              </w:rPr>
            </w:pPr>
          </w:p>
        </w:tc>
        <w:tc>
          <w:tcPr>
            <w:tcW w:w="320" w:type="dxa"/>
            <w:vAlign w:val="bottom"/>
            <w:shd w:val="clear" w:color="auto" w:fill="D4F1F5"/>
          </w:tcPr>
          <w:p>
            <w:pPr>
              <w:spacing w:after="0"/>
              <w:rPr>
                <w:sz w:val="17"/>
                <w:szCs w:val="17"/>
                <w:color w:val="auto"/>
              </w:rPr>
            </w:pPr>
          </w:p>
        </w:tc>
        <w:tc>
          <w:tcPr>
            <w:tcW w:w="980" w:type="dxa"/>
            <w:vAlign w:val="bottom"/>
            <w:shd w:val="clear" w:color="auto" w:fill="D4F1F5"/>
          </w:tcPr>
          <w:p>
            <w:pPr>
              <w:spacing w:after="0"/>
              <w:rPr>
                <w:sz w:val="17"/>
                <w:szCs w:val="17"/>
                <w:color w:val="auto"/>
              </w:rPr>
            </w:pPr>
          </w:p>
        </w:tc>
        <w:tc>
          <w:tcPr>
            <w:tcW w:w="100" w:type="dxa"/>
            <w:vAlign w:val="bottom"/>
            <w:shd w:val="clear" w:color="auto" w:fill="D4F1F5"/>
          </w:tcPr>
          <w:p>
            <w:pPr>
              <w:spacing w:after="0"/>
              <w:rPr>
                <w:sz w:val="17"/>
                <w:szCs w:val="17"/>
                <w:color w:val="auto"/>
              </w:rPr>
            </w:pPr>
          </w:p>
        </w:tc>
        <w:tc>
          <w:tcPr>
            <w:tcW w:w="1040" w:type="dxa"/>
            <w:vAlign w:val="bottom"/>
            <w:shd w:val="clear" w:color="auto" w:fill="D4F1F5"/>
          </w:tcPr>
          <w:p>
            <w:pPr>
              <w:spacing w:after="0"/>
              <w:rPr>
                <w:sz w:val="17"/>
                <w:szCs w:val="17"/>
                <w:color w:val="auto"/>
              </w:rPr>
            </w:pPr>
          </w:p>
        </w:tc>
        <w:tc>
          <w:tcPr>
            <w:tcW w:w="160" w:type="dxa"/>
            <w:vAlign w:val="bottom"/>
            <w:shd w:val="clear" w:color="auto" w:fill="D4F1F5"/>
          </w:tcPr>
          <w:p>
            <w:pPr>
              <w:spacing w:after="0"/>
              <w:rPr>
                <w:sz w:val="17"/>
                <w:szCs w:val="17"/>
                <w:color w:val="auto"/>
              </w:rPr>
            </w:pPr>
          </w:p>
        </w:tc>
        <w:tc>
          <w:tcPr>
            <w:tcW w:w="1000" w:type="dxa"/>
            <w:vAlign w:val="bottom"/>
            <w:shd w:val="clear" w:color="auto" w:fill="D4F1F5"/>
          </w:tcPr>
          <w:p>
            <w:pPr>
              <w:spacing w:after="0"/>
              <w:rPr>
                <w:sz w:val="17"/>
                <w:szCs w:val="17"/>
                <w:color w:val="auto"/>
              </w:rPr>
            </w:pPr>
          </w:p>
        </w:tc>
        <w:tc>
          <w:tcPr>
            <w:tcW w:w="280" w:type="dxa"/>
            <w:vAlign w:val="bottom"/>
            <w:shd w:val="clear" w:color="auto" w:fill="D4F1F5"/>
          </w:tcPr>
          <w:p>
            <w:pPr>
              <w:spacing w:after="0"/>
              <w:rPr>
                <w:sz w:val="17"/>
                <w:szCs w:val="17"/>
                <w:color w:val="auto"/>
              </w:rPr>
            </w:pPr>
          </w:p>
        </w:tc>
        <w:tc>
          <w:tcPr>
            <w:tcW w:w="920" w:type="dxa"/>
            <w:vAlign w:val="bottom"/>
            <w:shd w:val="clear" w:color="auto" w:fill="D4F1F5"/>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4080" w:type="dxa"/>
            <w:vAlign w:val="bottom"/>
          </w:tcPr>
          <w:p>
            <w:pPr>
              <w:ind w:left="20"/>
              <w:spacing w:after="0"/>
              <w:rPr>
                <w:sz w:val="20"/>
                <w:szCs w:val="20"/>
                <w:color w:val="auto"/>
              </w:rPr>
            </w:pPr>
            <w:r>
              <w:rPr>
                <w:rFonts w:ascii="Arial" w:cs="Arial" w:eastAsia="Arial" w:hAnsi="Arial"/>
                <w:sz w:val="14"/>
                <w:szCs w:val="14"/>
                <w:color w:val="auto"/>
              </w:rPr>
              <w:t>Derivatives not designated as hedging instruments:</w:t>
            </w:r>
          </w:p>
        </w:tc>
        <w:tc>
          <w:tcPr>
            <w:tcW w:w="8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4080" w:type="dxa"/>
            <w:vAlign w:val="bottom"/>
            <w:shd w:val="clear" w:color="auto" w:fill="D4F1F5"/>
          </w:tcPr>
          <w:p>
            <w:pPr>
              <w:ind w:left="240"/>
              <w:spacing w:after="0"/>
              <w:rPr>
                <w:sz w:val="20"/>
                <w:szCs w:val="20"/>
                <w:color w:val="auto"/>
              </w:rPr>
            </w:pPr>
            <w:r>
              <w:rPr>
                <w:rFonts w:ascii="Arial" w:cs="Arial" w:eastAsia="Arial" w:hAnsi="Arial"/>
                <w:sz w:val="14"/>
                <w:szCs w:val="14"/>
                <w:color w:val="auto"/>
              </w:rPr>
              <w:t>Commodity contracts subject to rate recovery</w:t>
            </w:r>
          </w:p>
        </w:tc>
        <w:tc>
          <w:tcPr>
            <w:tcW w:w="820" w:type="dxa"/>
            <w:vAlign w:val="bottom"/>
            <w:shd w:val="clear" w:color="auto" w:fill="D4F1F5"/>
          </w:tcPr>
          <w:p>
            <w:pPr>
              <w:jc w:val="right"/>
              <w:ind w:right="668"/>
              <w:spacing w:after="0"/>
              <w:rPr>
                <w:sz w:val="20"/>
                <w:szCs w:val="20"/>
                <w:color w:val="auto"/>
              </w:rPr>
            </w:pPr>
            <w:r>
              <w:rPr>
                <w:rFonts w:ascii="Arial" w:cs="Arial" w:eastAsia="Arial" w:hAnsi="Arial"/>
                <w:sz w:val="14"/>
                <w:szCs w:val="14"/>
                <w:color w:val="auto"/>
                <w:w w:val="76"/>
              </w:rPr>
              <w:t>$</w:t>
            </w:r>
          </w:p>
        </w:tc>
        <w:tc>
          <w:tcPr>
            <w:tcW w:w="320" w:type="dxa"/>
            <w:vAlign w:val="bottom"/>
            <w:shd w:val="clear" w:color="auto" w:fill="D4F1F5"/>
          </w:tcPr>
          <w:p>
            <w:pPr>
              <w:jc w:val="right"/>
              <w:ind w:right="28"/>
              <w:spacing w:after="0"/>
              <w:rPr>
                <w:sz w:val="20"/>
                <w:szCs w:val="20"/>
                <w:color w:val="auto"/>
              </w:rPr>
            </w:pPr>
            <w:r>
              <w:rPr>
                <w:rFonts w:ascii="Arial" w:cs="Arial" w:eastAsia="Arial" w:hAnsi="Arial"/>
                <w:sz w:val="14"/>
                <w:szCs w:val="14"/>
                <w:color w:val="auto"/>
              </w:rPr>
              <w:t>3</w:t>
            </w:r>
          </w:p>
        </w:tc>
        <w:tc>
          <w:tcPr>
            <w:tcW w:w="240" w:type="dxa"/>
            <w:vAlign w:val="bottom"/>
            <w:shd w:val="clear" w:color="auto" w:fill="D4F1F5"/>
          </w:tcPr>
          <w:p>
            <w:pPr>
              <w:spacing w:after="0"/>
              <w:rPr>
                <w:sz w:val="17"/>
                <w:szCs w:val="17"/>
                <w:color w:val="auto"/>
              </w:rPr>
            </w:pPr>
          </w:p>
        </w:tc>
        <w:tc>
          <w:tcPr>
            <w:tcW w:w="920" w:type="dxa"/>
            <w:vAlign w:val="bottom"/>
            <w:shd w:val="clear" w:color="auto" w:fill="D4F1F5"/>
          </w:tcPr>
          <w:p>
            <w:pPr>
              <w:spacing w:after="0"/>
              <w:rPr>
                <w:sz w:val="17"/>
                <w:szCs w:val="17"/>
                <w:color w:val="auto"/>
              </w:rPr>
            </w:pPr>
          </w:p>
        </w:tc>
        <w:tc>
          <w:tcPr>
            <w:tcW w:w="320" w:type="dxa"/>
            <w:vAlign w:val="bottom"/>
            <w:shd w:val="clear" w:color="auto" w:fill="D4F1F5"/>
          </w:tcPr>
          <w:p>
            <w:pPr>
              <w:jc w:val="right"/>
              <w:ind w:right="48"/>
              <w:spacing w:after="0"/>
              <w:rPr>
                <w:sz w:val="20"/>
                <w:szCs w:val="20"/>
                <w:color w:val="auto"/>
              </w:rPr>
            </w:pPr>
            <w:r>
              <w:rPr>
                <w:rFonts w:ascii="Arial" w:cs="Arial" w:eastAsia="Arial" w:hAnsi="Arial"/>
                <w:sz w:val="14"/>
                <w:szCs w:val="14"/>
                <w:color w:val="auto"/>
              </w:rPr>
              <w:t>$</w:t>
            </w:r>
          </w:p>
        </w:tc>
        <w:tc>
          <w:tcPr>
            <w:tcW w:w="980" w:type="dxa"/>
            <w:vAlign w:val="bottom"/>
            <w:shd w:val="clear" w:color="auto" w:fill="D4F1F5"/>
          </w:tcPr>
          <w:p>
            <w:pPr>
              <w:jc w:val="right"/>
              <w:ind w:right="88"/>
              <w:spacing w:after="0"/>
              <w:rPr>
                <w:sz w:val="20"/>
                <w:szCs w:val="20"/>
                <w:color w:val="auto"/>
              </w:rPr>
            </w:pPr>
            <w:r>
              <w:rPr>
                <w:rFonts w:ascii="Arial" w:cs="Arial" w:eastAsia="Arial" w:hAnsi="Arial"/>
                <w:sz w:val="14"/>
                <w:szCs w:val="14"/>
                <w:color w:val="auto"/>
              </w:rPr>
              <w:t>6</w:t>
            </w:r>
          </w:p>
        </w:tc>
        <w:tc>
          <w:tcPr>
            <w:tcW w:w="100" w:type="dxa"/>
            <w:vAlign w:val="bottom"/>
            <w:shd w:val="clear" w:color="auto" w:fill="D4F1F5"/>
          </w:tcPr>
          <w:p>
            <w:pPr>
              <w:jc w:val="right"/>
              <w:spacing w:after="0"/>
              <w:rPr>
                <w:sz w:val="20"/>
                <w:szCs w:val="20"/>
                <w:color w:val="auto"/>
              </w:rPr>
            </w:pPr>
            <w:r>
              <w:rPr>
                <w:rFonts w:ascii="Arial" w:cs="Arial" w:eastAsia="Arial" w:hAnsi="Arial"/>
                <w:sz w:val="14"/>
                <w:szCs w:val="14"/>
                <w:color w:val="auto"/>
              </w:rPr>
              <w:t>$</w:t>
            </w:r>
          </w:p>
        </w:tc>
        <w:tc>
          <w:tcPr>
            <w:tcW w:w="1040" w:type="dxa"/>
            <w:vAlign w:val="bottom"/>
            <w:shd w:val="clear" w:color="auto" w:fill="D4F1F5"/>
          </w:tcPr>
          <w:p>
            <w:pPr>
              <w:jc w:val="right"/>
              <w:spacing w:after="0"/>
              <w:rPr>
                <w:sz w:val="20"/>
                <w:szCs w:val="20"/>
                <w:color w:val="auto"/>
              </w:rPr>
            </w:pPr>
            <w:r>
              <w:rPr>
                <w:rFonts w:ascii="Arial" w:cs="Arial" w:eastAsia="Arial" w:hAnsi="Arial"/>
                <w:sz w:val="14"/>
                <w:szCs w:val="14"/>
                <w:color w:val="auto"/>
              </w:rPr>
              <w:t>(12)</w:t>
            </w:r>
          </w:p>
        </w:tc>
        <w:tc>
          <w:tcPr>
            <w:tcW w:w="160" w:type="dxa"/>
            <w:vAlign w:val="bottom"/>
            <w:shd w:val="clear" w:color="auto" w:fill="D4F1F5"/>
          </w:tcPr>
          <w:p>
            <w:pPr>
              <w:spacing w:after="0"/>
              <w:rPr>
                <w:sz w:val="17"/>
                <w:szCs w:val="17"/>
                <w:color w:val="auto"/>
              </w:rPr>
            </w:pPr>
          </w:p>
        </w:tc>
        <w:tc>
          <w:tcPr>
            <w:tcW w:w="1000" w:type="dxa"/>
            <w:vAlign w:val="bottom"/>
            <w:shd w:val="clear" w:color="auto" w:fill="D4F1F5"/>
          </w:tcPr>
          <w:p>
            <w:pPr>
              <w:spacing w:after="0"/>
              <w:rPr>
                <w:sz w:val="17"/>
                <w:szCs w:val="17"/>
                <w:color w:val="auto"/>
              </w:rPr>
            </w:pPr>
          </w:p>
        </w:tc>
        <w:tc>
          <w:tcPr>
            <w:tcW w:w="280" w:type="dxa"/>
            <w:vAlign w:val="bottom"/>
            <w:shd w:val="clear" w:color="auto" w:fill="D4F1F5"/>
          </w:tcPr>
          <w:p>
            <w:pPr>
              <w:jc w:val="right"/>
              <w:ind w:right="8"/>
              <w:spacing w:after="0"/>
              <w:rPr>
                <w:sz w:val="20"/>
                <w:szCs w:val="20"/>
                <w:color w:val="auto"/>
              </w:rPr>
            </w:pPr>
            <w:r>
              <w:rPr>
                <w:rFonts w:ascii="Arial" w:cs="Arial" w:eastAsia="Arial" w:hAnsi="Arial"/>
                <w:sz w:val="14"/>
                <w:szCs w:val="14"/>
                <w:color w:val="auto"/>
              </w:rPr>
              <w:t>$</w:t>
            </w:r>
          </w:p>
        </w:tc>
        <w:tc>
          <w:tcPr>
            <w:tcW w:w="920" w:type="dxa"/>
            <w:vAlign w:val="bottom"/>
            <w:shd w:val="clear" w:color="auto" w:fill="D4F1F5"/>
          </w:tcPr>
          <w:p>
            <w:pPr>
              <w:jc w:val="right"/>
              <w:spacing w:after="0"/>
              <w:rPr>
                <w:sz w:val="20"/>
                <w:szCs w:val="20"/>
                <w:color w:val="auto"/>
              </w:rPr>
            </w:pPr>
            <w:r>
              <w:rPr>
                <w:rFonts w:ascii="Arial" w:cs="Arial" w:eastAsia="Arial" w:hAnsi="Arial"/>
                <w:sz w:val="14"/>
                <w:szCs w:val="14"/>
                <w:color w:val="auto"/>
              </w:rPr>
              <w:t>(12)</w:t>
            </w:r>
          </w:p>
        </w:tc>
        <w:tc>
          <w:tcPr>
            <w:tcW w:w="0" w:type="dxa"/>
            <w:vAlign w:val="bottom"/>
          </w:tcPr>
          <w:p>
            <w:pPr>
              <w:spacing w:after="0"/>
              <w:rPr>
                <w:sz w:val="1"/>
                <w:szCs w:val="1"/>
                <w:color w:val="auto"/>
              </w:rPr>
            </w:pPr>
          </w:p>
        </w:tc>
      </w:tr>
      <w:tr>
        <w:trPr>
          <w:trHeight w:val="198"/>
        </w:trPr>
        <w:tc>
          <w:tcPr>
            <w:tcW w:w="4080" w:type="dxa"/>
            <w:vAlign w:val="bottom"/>
            <w:tcBorders>
              <w:bottom w:val="single" w:sz="8" w:color="D4F1F5"/>
            </w:tcBorders>
          </w:tcPr>
          <w:p>
            <w:pPr>
              <w:ind w:left="460"/>
              <w:spacing w:after="0"/>
              <w:rPr>
                <w:sz w:val="20"/>
                <w:szCs w:val="20"/>
                <w:color w:val="auto"/>
              </w:rPr>
            </w:pPr>
            <w:r>
              <w:rPr>
                <w:rFonts w:ascii="Arial" w:cs="Arial" w:eastAsia="Arial" w:hAnsi="Arial"/>
                <w:sz w:val="14"/>
                <w:szCs w:val="14"/>
                <w:color w:val="auto"/>
              </w:rPr>
              <w:t>Associated offsetting commodity contracts</w:t>
            </w:r>
          </w:p>
        </w:tc>
        <w:tc>
          <w:tcPr>
            <w:tcW w:w="82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w:t>
            </w:r>
          </w:p>
        </w:tc>
        <w:tc>
          <w:tcPr>
            <w:tcW w:w="2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w:t>
            </w:r>
          </w:p>
        </w:tc>
        <w:tc>
          <w:tcPr>
            <w:tcW w:w="1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w:t>
            </w:r>
          </w:p>
        </w:tc>
        <w:tc>
          <w:tcPr>
            <w:tcW w:w="16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200"/>
        </w:trPr>
        <w:tc>
          <w:tcPr>
            <w:tcW w:w="4080" w:type="dxa"/>
            <w:vAlign w:val="bottom"/>
            <w:shd w:val="clear" w:color="auto" w:fill="D4F1F5"/>
          </w:tcPr>
          <w:p>
            <w:pPr>
              <w:ind w:left="20"/>
              <w:spacing w:after="0"/>
              <w:rPr>
                <w:sz w:val="20"/>
                <w:szCs w:val="20"/>
                <w:color w:val="auto"/>
              </w:rPr>
            </w:pPr>
            <w:r>
              <w:rPr>
                <w:rFonts w:ascii="Arial" w:cs="Arial" w:eastAsia="Arial" w:hAnsi="Arial"/>
                <w:sz w:val="14"/>
                <w:szCs w:val="14"/>
                <w:color w:val="auto"/>
              </w:rPr>
              <w:t>Net amounts presented on the balance sheet</w:t>
            </w:r>
          </w:p>
        </w:tc>
        <w:tc>
          <w:tcPr>
            <w:tcW w:w="820" w:type="dxa"/>
            <w:vAlign w:val="bottom"/>
            <w:shd w:val="clear" w:color="auto" w:fill="D4F1F5"/>
          </w:tcPr>
          <w:p>
            <w:pPr>
              <w:spacing w:after="0"/>
              <w:rPr>
                <w:sz w:val="17"/>
                <w:szCs w:val="17"/>
                <w:color w:val="auto"/>
              </w:rPr>
            </w:pPr>
          </w:p>
        </w:tc>
        <w:tc>
          <w:tcPr>
            <w:tcW w:w="320" w:type="dxa"/>
            <w:vAlign w:val="bottom"/>
            <w:shd w:val="clear" w:color="auto" w:fill="D4F1F5"/>
          </w:tcPr>
          <w:p>
            <w:pPr>
              <w:jc w:val="right"/>
              <w:ind w:right="28"/>
              <w:spacing w:after="0"/>
              <w:rPr>
                <w:sz w:val="20"/>
                <w:szCs w:val="20"/>
                <w:color w:val="auto"/>
              </w:rPr>
            </w:pPr>
            <w:r>
              <w:rPr>
                <w:rFonts w:ascii="Arial" w:cs="Arial" w:eastAsia="Arial" w:hAnsi="Arial"/>
                <w:sz w:val="14"/>
                <w:szCs w:val="14"/>
                <w:color w:val="auto"/>
              </w:rPr>
              <w:t>1</w:t>
            </w:r>
          </w:p>
        </w:tc>
        <w:tc>
          <w:tcPr>
            <w:tcW w:w="240" w:type="dxa"/>
            <w:vAlign w:val="bottom"/>
            <w:shd w:val="clear" w:color="auto" w:fill="D4F1F5"/>
          </w:tcPr>
          <w:p>
            <w:pPr>
              <w:spacing w:after="0"/>
              <w:rPr>
                <w:sz w:val="17"/>
                <w:szCs w:val="17"/>
                <w:color w:val="auto"/>
              </w:rPr>
            </w:pPr>
          </w:p>
        </w:tc>
        <w:tc>
          <w:tcPr>
            <w:tcW w:w="920" w:type="dxa"/>
            <w:vAlign w:val="bottom"/>
            <w:shd w:val="clear" w:color="auto" w:fill="D4F1F5"/>
          </w:tcPr>
          <w:p>
            <w:pPr>
              <w:spacing w:after="0"/>
              <w:rPr>
                <w:sz w:val="17"/>
                <w:szCs w:val="17"/>
                <w:color w:val="auto"/>
              </w:rPr>
            </w:pPr>
          </w:p>
        </w:tc>
        <w:tc>
          <w:tcPr>
            <w:tcW w:w="320" w:type="dxa"/>
            <w:vAlign w:val="bottom"/>
            <w:shd w:val="clear" w:color="auto" w:fill="D4F1F5"/>
          </w:tcPr>
          <w:p>
            <w:pPr>
              <w:spacing w:after="0"/>
              <w:rPr>
                <w:sz w:val="17"/>
                <w:szCs w:val="17"/>
                <w:color w:val="auto"/>
              </w:rPr>
            </w:pPr>
          </w:p>
        </w:tc>
        <w:tc>
          <w:tcPr>
            <w:tcW w:w="980" w:type="dxa"/>
            <w:vAlign w:val="bottom"/>
            <w:shd w:val="clear" w:color="auto" w:fill="D4F1F5"/>
          </w:tcPr>
          <w:p>
            <w:pPr>
              <w:jc w:val="right"/>
              <w:ind w:right="88"/>
              <w:spacing w:after="0"/>
              <w:rPr>
                <w:sz w:val="20"/>
                <w:szCs w:val="20"/>
                <w:color w:val="auto"/>
              </w:rPr>
            </w:pPr>
            <w:r>
              <w:rPr>
                <w:rFonts w:ascii="Arial" w:cs="Arial" w:eastAsia="Arial" w:hAnsi="Arial"/>
                <w:sz w:val="14"/>
                <w:szCs w:val="14"/>
                <w:color w:val="auto"/>
              </w:rPr>
              <w:t>2</w:t>
            </w:r>
          </w:p>
        </w:tc>
        <w:tc>
          <w:tcPr>
            <w:tcW w:w="100" w:type="dxa"/>
            <w:vAlign w:val="bottom"/>
            <w:shd w:val="clear" w:color="auto" w:fill="D4F1F5"/>
          </w:tcPr>
          <w:p>
            <w:pPr>
              <w:spacing w:after="0"/>
              <w:rPr>
                <w:sz w:val="17"/>
                <w:szCs w:val="17"/>
                <w:color w:val="auto"/>
              </w:rPr>
            </w:pPr>
          </w:p>
        </w:tc>
        <w:tc>
          <w:tcPr>
            <w:tcW w:w="1040" w:type="dxa"/>
            <w:vAlign w:val="bottom"/>
            <w:shd w:val="clear" w:color="auto" w:fill="D4F1F5"/>
          </w:tcPr>
          <w:p>
            <w:pPr>
              <w:jc w:val="right"/>
              <w:spacing w:after="0"/>
              <w:rPr>
                <w:sz w:val="20"/>
                <w:szCs w:val="20"/>
                <w:color w:val="auto"/>
              </w:rPr>
            </w:pPr>
            <w:r>
              <w:rPr>
                <w:rFonts w:ascii="Arial" w:cs="Arial" w:eastAsia="Arial" w:hAnsi="Arial"/>
                <w:sz w:val="14"/>
                <w:szCs w:val="14"/>
                <w:color w:val="auto"/>
              </w:rPr>
              <w:t>(10)</w:t>
            </w:r>
          </w:p>
        </w:tc>
        <w:tc>
          <w:tcPr>
            <w:tcW w:w="160" w:type="dxa"/>
            <w:vAlign w:val="bottom"/>
            <w:shd w:val="clear" w:color="auto" w:fill="D4F1F5"/>
          </w:tcPr>
          <w:p>
            <w:pPr>
              <w:spacing w:after="0"/>
              <w:rPr>
                <w:sz w:val="17"/>
                <w:szCs w:val="17"/>
                <w:color w:val="auto"/>
              </w:rPr>
            </w:pPr>
          </w:p>
        </w:tc>
        <w:tc>
          <w:tcPr>
            <w:tcW w:w="1000" w:type="dxa"/>
            <w:vAlign w:val="bottom"/>
            <w:shd w:val="clear" w:color="auto" w:fill="D4F1F5"/>
          </w:tcPr>
          <w:p>
            <w:pPr>
              <w:spacing w:after="0"/>
              <w:rPr>
                <w:sz w:val="17"/>
                <w:szCs w:val="17"/>
                <w:color w:val="auto"/>
              </w:rPr>
            </w:pPr>
          </w:p>
        </w:tc>
        <w:tc>
          <w:tcPr>
            <w:tcW w:w="280" w:type="dxa"/>
            <w:vAlign w:val="bottom"/>
            <w:shd w:val="clear" w:color="auto" w:fill="D4F1F5"/>
          </w:tcPr>
          <w:p>
            <w:pPr>
              <w:spacing w:after="0"/>
              <w:rPr>
                <w:sz w:val="17"/>
                <w:szCs w:val="17"/>
                <w:color w:val="auto"/>
              </w:rPr>
            </w:pPr>
          </w:p>
        </w:tc>
        <w:tc>
          <w:tcPr>
            <w:tcW w:w="920" w:type="dxa"/>
            <w:vAlign w:val="bottom"/>
            <w:shd w:val="clear" w:color="auto" w:fill="D4F1F5"/>
          </w:tcPr>
          <w:p>
            <w:pPr>
              <w:jc w:val="right"/>
              <w:spacing w:after="0"/>
              <w:rPr>
                <w:sz w:val="20"/>
                <w:szCs w:val="20"/>
                <w:color w:val="auto"/>
              </w:rPr>
            </w:pPr>
            <w:r>
              <w:rPr>
                <w:rFonts w:ascii="Arial" w:cs="Arial" w:eastAsia="Arial" w:hAnsi="Arial"/>
                <w:sz w:val="14"/>
                <w:szCs w:val="14"/>
                <w:color w:val="auto"/>
              </w:rPr>
              <w:t>(8)</w:t>
            </w:r>
          </w:p>
        </w:tc>
        <w:tc>
          <w:tcPr>
            <w:tcW w:w="0" w:type="dxa"/>
            <w:vAlign w:val="bottom"/>
          </w:tcPr>
          <w:p>
            <w:pPr>
              <w:spacing w:after="0"/>
              <w:rPr>
                <w:sz w:val="1"/>
                <w:szCs w:val="1"/>
                <w:color w:val="auto"/>
              </w:rPr>
            </w:pPr>
          </w:p>
        </w:tc>
      </w:tr>
      <w:tr>
        <w:trPr>
          <w:trHeight w:val="148"/>
        </w:trPr>
        <w:tc>
          <w:tcPr>
            <w:tcW w:w="4080" w:type="dxa"/>
            <w:vAlign w:val="bottom"/>
          </w:tcPr>
          <w:p>
            <w:pPr>
              <w:ind w:left="220"/>
              <w:spacing w:after="0" w:line="149" w:lineRule="exact"/>
              <w:rPr>
                <w:sz w:val="20"/>
                <w:szCs w:val="20"/>
                <w:color w:val="auto"/>
              </w:rPr>
            </w:pPr>
            <w:r>
              <w:rPr>
                <w:rFonts w:ascii="Arial" w:cs="Arial" w:eastAsia="Arial" w:hAnsi="Arial"/>
                <w:sz w:val="14"/>
                <w:szCs w:val="14"/>
                <w:color w:val="auto"/>
              </w:rPr>
              <w:t>Additional cash collateral for commodity contracts</w:t>
            </w:r>
          </w:p>
        </w:tc>
        <w:tc>
          <w:tcPr>
            <w:tcW w:w="820" w:type="dxa"/>
            <w:vAlign w:val="bottom"/>
          </w:tcPr>
          <w:p>
            <w:pPr>
              <w:spacing w:after="0"/>
              <w:rPr>
                <w:sz w:val="12"/>
                <w:szCs w:val="12"/>
                <w:color w:val="auto"/>
              </w:rPr>
            </w:pPr>
          </w:p>
        </w:tc>
        <w:tc>
          <w:tcPr>
            <w:tcW w:w="320" w:type="dxa"/>
            <w:vAlign w:val="bottom"/>
            <w:vMerge w:val="restart"/>
          </w:tcPr>
          <w:p>
            <w:pPr>
              <w:jc w:val="right"/>
              <w:ind w:right="28"/>
              <w:spacing w:after="0"/>
              <w:rPr>
                <w:sz w:val="20"/>
                <w:szCs w:val="20"/>
                <w:color w:val="auto"/>
              </w:rPr>
            </w:pPr>
            <w:r>
              <w:rPr>
                <w:rFonts w:ascii="Arial" w:cs="Arial" w:eastAsia="Arial" w:hAnsi="Arial"/>
                <w:sz w:val="14"/>
                <w:szCs w:val="14"/>
                <w:color w:val="auto"/>
              </w:rPr>
              <w:t>5</w:t>
            </w:r>
          </w:p>
        </w:tc>
        <w:tc>
          <w:tcPr>
            <w:tcW w:w="2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80" w:type="dxa"/>
            <w:vAlign w:val="bottom"/>
            <w:vMerge w:val="restart"/>
          </w:tcPr>
          <w:p>
            <w:pPr>
              <w:jc w:val="right"/>
              <w:ind w:right="8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04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4080" w:type="dxa"/>
            <w:vAlign w:val="bottom"/>
            <w:tcBorders>
              <w:bottom w:val="single" w:sz="8" w:color="D4F1F5"/>
            </w:tcBorders>
          </w:tcPr>
          <w:p>
            <w:pPr>
              <w:ind w:left="480"/>
              <w:spacing w:after="0"/>
              <w:rPr>
                <w:sz w:val="20"/>
                <w:szCs w:val="20"/>
                <w:color w:val="auto"/>
              </w:rPr>
            </w:pPr>
            <w:r>
              <w:rPr>
                <w:rFonts w:ascii="Arial" w:cs="Arial" w:eastAsia="Arial" w:hAnsi="Arial"/>
                <w:sz w:val="14"/>
                <w:szCs w:val="14"/>
                <w:color w:val="auto"/>
              </w:rPr>
              <w:t>subject to rate recovery</w:t>
            </w:r>
          </w:p>
        </w:tc>
        <w:tc>
          <w:tcPr>
            <w:tcW w:w="82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4080" w:type="dxa"/>
            <w:vAlign w:val="bottom"/>
            <w:tcBorders>
              <w:bottom w:val="single" w:sz="8" w:color="auto"/>
            </w:tcBorders>
            <w:shd w:val="clear" w:color="auto" w:fill="D4F1F5"/>
          </w:tcPr>
          <w:p>
            <w:pPr>
              <w:ind w:left="20"/>
              <w:spacing w:after="0"/>
              <w:rPr>
                <w:sz w:val="20"/>
                <w:szCs w:val="20"/>
                <w:color w:val="auto"/>
              </w:rPr>
            </w:pPr>
            <w:r>
              <w:rPr>
                <w:rFonts w:ascii="Arial" w:cs="Arial" w:eastAsia="Arial" w:hAnsi="Arial"/>
                <w:sz w:val="14"/>
                <w:szCs w:val="14"/>
                <w:color w:val="auto"/>
              </w:rPr>
              <w:t>Total</w:t>
            </w:r>
          </w:p>
        </w:tc>
        <w:tc>
          <w:tcPr>
            <w:tcW w:w="820" w:type="dxa"/>
            <w:vAlign w:val="bottom"/>
            <w:tcBorders>
              <w:bottom w:val="single" w:sz="8" w:color="auto"/>
            </w:tcBorders>
            <w:shd w:val="clear" w:color="auto" w:fill="D4F1F5"/>
          </w:tcPr>
          <w:p>
            <w:pPr>
              <w:jc w:val="right"/>
              <w:ind w:right="668"/>
              <w:spacing w:after="0"/>
              <w:rPr>
                <w:sz w:val="20"/>
                <w:szCs w:val="20"/>
                <w:color w:val="auto"/>
              </w:rPr>
            </w:pPr>
            <w:r>
              <w:rPr>
                <w:rFonts w:ascii="Arial" w:cs="Arial" w:eastAsia="Arial" w:hAnsi="Arial"/>
                <w:sz w:val="14"/>
                <w:szCs w:val="14"/>
                <w:color w:val="auto"/>
                <w:w w:val="76"/>
              </w:rPr>
              <w:t>$</w:t>
            </w:r>
          </w:p>
        </w:tc>
        <w:tc>
          <w:tcPr>
            <w:tcW w:w="320" w:type="dxa"/>
            <w:vAlign w:val="bottom"/>
            <w:tcBorders>
              <w:bottom w:val="single" w:sz="8" w:color="auto"/>
            </w:tcBorders>
            <w:shd w:val="clear" w:color="auto" w:fill="D4F1F5"/>
          </w:tcPr>
          <w:p>
            <w:pPr>
              <w:jc w:val="right"/>
              <w:ind w:right="28"/>
              <w:spacing w:after="0"/>
              <w:rPr>
                <w:sz w:val="20"/>
                <w:szCs w:val="20"/>
                <w:color w:val="auto"/>
              </w:rPr>
            </w:pPr>
            <w:r>
              <w:rPr>
                <w:rFonts w:ascii="Arial" w:cs="Arial" w:eastAsia="Arial" w:hAnsi="Arial"/>
                <w:sz w:val="14"/>
                <w:szCs w:val="14"/>
                <w:color w:val="auto"/>
              </w:rPr>
              <w:t>6</w:t>
            </w:r>
          </w:p>
        </w:tc>
        <w:tc>
          <w:tcPr>
            <w:tcW w:w="240" w:type="dxa"/>
            <w:vAlign w:val="bottom"/>
            <w:tcBorders>
              <w:bottom w:val="single" w:sz="8" w:color="auto"/>
            </w:tcBorders>
            <w:shd w:val="clear" w:color="auto" w:fill="D4F1F5"/>
          </w:tcPr>
          <w:p>
            <w:pPr>
              <w:spacing w:after="0"/>
              <w:rPr>
                <w:sz w:val="17"/>
                <w:szCs w:val="17"/>
                <w:color w:val="auto"/>
              </w:rPr>
            </w:pPr>
          </w:p>
        </w:tc>
        <w:tc>
          <w:tcPr>
            <w:tcW w:w="920" w:type="dxa"/>
            <w:vAlign w:val="bottom"/>
            <w:tcBorders>
              <w:bottom w:val="single" w:sz="8" w:color="auto"/>
            </w:tcBorders>
            <w:shd w:val="clear" w:color="auto" w:fill="D4F1F5"/>
          </w:tcPr>
          <w:p>
            <w:pPr>
              <w:spacing w:after="0"/>
              <w:rPr>
                <w:sz w:val="17"/>
                <w:szCs w:val="17"/>
                <w:color w:val="auto"/>
              </w:rPr>
            </w:pPr>
          </w:p>
        </w:tc>
        <w:tc>
          <w:tcPr>
            <w:tcW w:w="320" w:type="dxa"/>
            <w:vAlign w:val="bottom"/>
            <w:tcBorders>
              <w:bottom w:val="single" w:sz="8" w:color="auto"/>
            </w:tcBorders>
            <w:shd w:val="clear" w:color="auto" w:fill="D4F1F5"/>
          </w:tcPr>
          <w:p>
            <w:pPr>
              <w:jc w:val="right"/>
              <w:ind w:right="4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shd w:val="clear" w:color="auto" w:fill="D4F1F5"/>
          </w:tcPr>
          <w:p>
            <w:pPr>
              <w:jc w:val="right"/>
              <w:ind w:right="88"/>
              <w:spacing w:after="0"/>
              <w:rPr>
                <w:sz w:val="20"/>
                <w:szCs w:val="20"/>
                <w:color w:val="auto"/>
              </w:rPr>
            </w:pPr>
            <w:r>
              <w:rPr>
                <w:rFonts w:ascii="Arial" w:cs="Arial" w:eastAsia="Arial" w:hAnsi="Arial"/>
                <w:sz w:val="14"/>
                <w:szCs w:val="14"/>
                <w:color w:val="auto"/>
              </w:rPr>
              <w:t>2</w:t>
            </w:r>
          </w:p>
        </w:tc>
        <w:tc>
          <w:tcPr>
            <w:tcW w:w="100" w:type="dxa"/>
            <w:vAlign w:val="bottom"/>
            <w:tcBorders>
              <w:bottom w:val="single" w:sz="8" w:color="auto"/>
            </w:tcBorders>
            <w:shd w:val="clear" w:color="auto" w:fill="D4F1F5"/>
          </w:tcPr>
          <w:p>
            <w:pPr>
              <w:jc w:val="right"/>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shd w:val="clear" w:color="auto" w:fill="D4F1F5"/>
          </w:tcPr>
          <w:p>
            <w:pPr>
              <w:jc w:val="right"/>
              <w:spacing w:after="0"/>
              <w:rPr>
                <w:sz w:val="20"/>
                <w:szCs w:val="20"/>
                <w:color w:val="auto"/>
              </w:rPr>
            </w:pPr>
            <w:r>
              <w:rPr>
                <w:rFonts w:ascii="Arial" w:cs="Arial" w:eastAsia="Arial" w:hAnsi="Arial"/>
                <w:sz w:val="14"/>
                <w:szCs w:val="14"/>
                <w:color w:val="auto"/>
              </w:rPr>
              <w:t>(10)</w:t>
            </w:r>
          </w:p>
        </w:tc>
        <w:tc>
          <w:tcPr>
            <w:tcW w:w="160" w:type="dxa"/>
            <w:vAlign w:val="bottom"/>
            <w:tcBorders>
              <w:bottom w:val="single" w:sz="8" w:color="auto"/>
            </w:tcBorders>
            <w:shd w:val="clear" w:color="auto" w:fill="D4F1F5"/>
          </w:tcPr>
          <w:p>
            <w:pPr>
              <w:spacing w:after="0"/>
              <w:rPr>
                <w:sz w:val="17"/>
                <w:szCs w:val="17"/>
                <w:color w:val="auto"/>
              </w:rPr>
            </w:pPr>
          </w:p>
        </w:tc>
        <w:tc>
          <w:tcPr>
            <w:tcW w:w="1000" w:type="dxa"/>
            <w:vAlign w:val="bottom"/>
            <w:tcBorders>
              <w:bottom w:val="single" w:sz="8" w:color="auto"/>
            </w:tcBorders>
            <w:shd w:val="clear" w:color="auto" w:fill="D4F1F5"/>
          </w:tcPr>
          <w:p>
            <w:pPr>
              <w:spacing w:after="0"/>
              <w:rPr>
                <w:sz w:val="17"/>
                <w:szCs w:val="17"/>
                <w:color w:val="auto"/>
              </w:rPr>
            </w:pPr>
          </w:p>
        </w:tc>
        <w:tc>
          <w:tcPr>
            <w:tcW w:w="280" w:type="dxa"/>
            <w:vAlign w:val="bottom"/>
            <w:tcBorders>
              <w:bottom w:val="single" w:sz="8" w:color="auto"/>
            </w:tcBorders>
            <w:shd w:val="clear" w:color="auto" w:fill="D4F1F5"/>
          </w:tcPr>
          <w:p>
            <w:pPr>
              <w:jc w:val="right"/>
              <w:ind w:right="8"/>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shd w:val="clear" w:color="auto" w:fill="D4F1F5"/>
          </w:tcPr>
          <w:p>
            <w:pPr>
              <w:jc w:val="right"/>
              <w:spacing w:after="0"/>
              <w:rPr>
                <w:sz w:val="20"/>
                <w:szCs w:val="20"/>
                <w:color w:val="auto"/>
              </w:rPr>
            </w:pPr>
            <w:r>
              <w:rPr>
                <w:rFonts w:ascii="Arial" w:cs="Arial" w:eastAsia="Arial" w:hAnsi="Arial"/>
                <w:sz w:val="14"/>
                <w:szCs w:val="14"/>
                <w:color w:val="auto"/>
              </w:rPr>
              <w:t>(8)</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FFFFFF"/>
        </w:rPr>
        <w:t>DERIVATIVE INSTRUMENTS ON THE CONDENSED CONSOLIDATED BALANCE SHEETS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-115570</wp:posOffset>
            </wp:positionV>
            <wp:extent cx="7115175" cy="26543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15175" cy="265430"/>
                    </a:xfrm>
                    <a:prstGeom prst="rect">
                      <a:avLst/>
                    </a:prstGeom>
                    <a:noFill/>
                  </pic:spPr>
                </pic:pic>
              </a:graphicData>
            </a:graphic>
          </wp:anchor>
        </w:drawing>
      </w:r>
    </w:p>
    <w:p>
      <w:pPr>
        <w:spacing w:after="0" w:line="19" w:lineRule="exact"/>
        <w:rPr>
          <w:sz w:val="20"/>
          <w:szCs w:val="20"/>
          <w:color w:val="auto"/>
        </w:rPr>
      </w:pPr>
    </w:p>
    <w:p>
      <w:pPr>
        <w:ind w:left="20"/>
        <w:spacing w:after="0"/>
        <w:rPr>
          <w:sz w:val="20"/>
          <w:szCs w:val="20"/>
          <w:color w:val="auto"/>
        </w:rPr>
      </w:pPr>
      <w:r>
        <w:rPr>
          <w:rFonts w:ascii="Arial" w:cs="Arial" w:eastAsia="Arial" w:hAnsi="Arial"/>
          <w:sz w:val="14"/>
          <w:szCs w:val="14"/>
          <w:i w:val="1"/>
          <w:iCs w:val="1"/>
          <w:color w:val="FFFFFF"/>
        </w:rPr>
        <w:t>(Dollars in millions)</w:t>
      </w:r>
    </w:p>
    <w:p>
      <w:pPr>
        <w:spacing w:after="0" w:line="53"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4080" w:type="dxa"/>
            <w:vAlign w:val="bottom"/>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140" w:type="dxa"/>
            <w:vAlign w:val="bottom"/>
            <w:tcBorders>
              <w:bottom w:val="single" w:sz="8" w:color="auto"/>
            </w:tcBorders>
            <w:gridSpan w:val="3"/>
          </w:tcPr>
          <w:p>
            <w:pPr>
              <w:jc w:val="right"/>
              <w:ind w:right="488"/>
              <w:spacing w:after="0"/>
              <w:rPr>
                <w:sz w:val="20"/>
                <w:szCs w:val="20"/>
                <w:color w:val="auto"/>
              </w:rPr>
            </w:pPr>
            <w:r>
              <w:rPr>
                <w:rFonts w:ascii="Arial" w:cs="Arial" w:eastAsia="Arial" w:hAnsi="Arial"/>
                <w:sz w:val="14"/>
                <w:szCs w:val="14"/>
                <w:color w:val="auto"/>
              </w:rPr>
              <w:t>December 31, 2025</w:t>
            </w:r>
          </w:p>
        </w:tc>
        <w:tc>
          <w:tcPr>
            <w:tcW w:w="1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4080" w:type="dxa"/>
            <w:vAlign w:val="bottom"/>
          </w:tcPr>
          <w:p>
            <w:pPr>
              <w:spacing w:after="0"/>
              <w:rPr>
                <w:sz w:val="18"/>
                <w:szCs w:val="18"/>
                <w:color w:val="auto"/>
              </w:rPr>
            </w:pPr>
          </w:p>
        </w:tc>
        <w:tc>
          <w:tcPr>
            <w:tcW w:w="16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color w:val="auto"/>
              </w:rPr>
              <w:t>Current assets</w:t>
            </w:r>
          </w:p>
        </w:tc>
        <w:tc>
          <w:tcPr>
            <w:tcW w:w="680" w:type="dxa"/>
            <w:vAlign w:val="bottom"/>
            <w:tcBorders>
              <w:bottom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220" w:type="dxa"/>
            <w:vAlign w:val="bottom"/>
            <w:tcBorders>
              <w:bottom w:val="single" w:sz="8" w:color="auto"/>
            </w:tcBorders>
            <w:gridSpan w:val="3"/>
          </w:tcPr>
          <w:p>
            <w:pPr>
              <w:jc w:val="right"/>
              <w:ind w:right="568"/>
              <w:spacing w:after="0"/>
              <w:rPr>
                <w:sz w:val="20"/>
                <w:szCs w:val="20"/>
                <w:color w:val="auto"/>
              </w:rPr>
            </w:pPr>
            <w:r>
              <w:rPr>
                <w:rFonts w:ascii="Arial" w:cs="Arial" w:eastAsia="Arial" w:hAnsi="Arial"/>
                <w:sz w:val="14"/>
                <w:szCs w:val="14"/>
                <w:color w:val="auto"/>
              </w:rPr>
              <w:t>Current liabilities</w:t>
            </w: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0"/>
        </w:trPr>
        <w:tc>
          <w:tcPr>
            <w:tcW w:w="4080" w:type="dxa"/>
            <w:vAlign w:val="bottom"/>
          </w:tcPr>
          <w:p>
            <w:pPr>
              <w:spacing w:after="0"/>
              <w:rPr>
                <w:sz w:val="17"/>
                <w:szCs w:val="17"/>
                <w:color w:val="auto"/>
              </w:rPr>
            </w:pPr>
          </w:p>
        </w:tc>
        <w:tc>
          <w:tcPr>
            <w:tcW w:w="1140" w:type="dxa"/>
            <w:vAlign w:val="bottom"/>
            <w:gridSpan w:val="2"/>
          </w:tcPr>
          <w:p>
            <w:pPr>
              <w:jc w:val="right"/>
              <w:ind w:right="108"/>
              <w:spacing w:after="0"/>
              <w:rPr>
                <w:sz w:val="20"/>
                <w:szCs w:val="20"/>
                <w:color w:val="auto"/>
              </w:rPr>
            </w:pPr>
            <w:r>
              <w:rPr>
                <w:rFonts w:ascii="Arial" w:cs="Arial" w:eastAsia="Arial" w:hAnsi="Arial"/>
                <w:sz w:val="14"/>
                <w:szCs w:val="14"/>
                <w:color w:val="auto"/>
              </w:rPr>
              <w:t>Other current</w:t>
            </w:r>
          </w:p>
        </w:tc>
        <w:tc>
          <w:tcPr>
            <w:tcW w:w="1160" w:type="dxa"/>
            <w:vAlign w:val="bottom"/>
            <w:gridSpan w:val="2"/>
          </w:tcPr>
          <w:p>
            <w:pPr>
              <w:jc w:val="right"/>
              <w:ind w:right="8"/>
              <w:spacing w:after="0"/>
              <w:rPr>
                <w:sz w:val="20"/>
                <w:szCs w:val="20"/>
                <w:color w:val="auto"/>
              </w:rPr>
            </w:pPr>
            <w:r>
              <w:rPr>
                <w:rFonts w:ascii="Arial" w:cs="Arial" w:eastAsia="Arial" w:hAnsi="Arial"/>
                <w:sz w:val="14"/>
                <w:szCs w:val="14"/>
                <w:color w:val="auto"/>
              </w:rPr>
              <w:t>Assets held for</w:t>
            </w:r>
          </w:p>
        </w:tc>
        <w:tc>
          <w:tcPr>
            <w:tcW w:w="1300" w:type="dxa"/>
            <w:vAlign w:val="bottom"/>
            <w:gridSpan w:val="2"/>
          </w:tcPr>
          <w:p>
            <w:pPr>
              <w:jc w:val="right"/>
              <w:ind w:right="68"/>
              <w:spacing w:after="0"/>
              <w:rPr>
                <w:sz w:val="20"/>
                <w:szCs w:val="20"/>
                <w:color w:val="auto"/>
              </w:rPr>
            </w:pPr>
            <w:r>
              <w:rPr>
                <w:rFonts w:ascii="Arial" w:cs="Arial" w:eastAsia="Arial" w:hAnsi="Arial"/>
                <w:sz w:val="14"/>
                <w:szCs w:val="14"/>
                <w:color w:val="auto"/>
              </w:rPr>
              <w:t>Other long-term</w:t>
            </w:r>
          </w:p>
        </w:tc>
        <w:tc>
          <w:tcPr>
            <w:tcW w:w="120" w:type="dxa"/>
            <w:vAlign w:val="bottom"/>
          </w:tcPr>
          <w:p>
            <w:pPr>
              <w:spacing w:after="0"/>
              <w:rPr>
                <w:sz w:val="17"/>
                <w:szCs w:val="17"/>
                <w:color w:val="auto"/>
              </w:rPr>
            </w:pPr>
          </w:p>
        </w:tc>
        <w:tc>
          <w:tcPr>
            <w:tcW w:w="1040" w:type="dxa"/>
            <w:vAlign w:val="bottom"/>
          </w:tcPr>
          <w:p>
            <w:pPr>
              <w:jc w:val="right"/>
              <w:ind w:right="108"/>
              <w:spacing w:after="0"/>
              <w:rPr>
                <w:sz w:val="20"/>
                <w:szCs w:val="20"/>
                <w:color w:val="auto"/>
              </w:rPr>
            </w:pPr>
            <w:r>
              <w:rPr>
                <w:rFonts w:ascii="Arial" w:cs="Arial" w:eastAsia="Arial" w:hAnsi="Arial"/>
                <w:sz w:val="14"/>
                <w:szCs w:val="14"/>
                <w:color w:val="auto"/>
              </w:rPr>
              <w:t>Other current</w:t>
            </w:r>
          </w:p>
        </w:tc>
        <w:tc>
          <w:tcPr>
            <w:tcW w:w="160" w:type="dxa"/>
            <w:vAlign w:val="bottom"/>
          </w:tcPr>
          <w:p>
            <w:pPr>
              <w:spacing w:after="0"/>
              <w:rPr>
                <w:sz w:val="17"/>
                <w:szCs w:val="17"/>
                <w:color w:val="auto"/>
              </w:rPr>
            </w:pP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Liabilities held</w:t>
            </w:r>
          </w:p>
        </w:tc>
        <w:tc>
          <w:tcPr>
            <w:tcW w:w="1200" w:type="dxa"/>
            <w:vAlign w:val="bottom"/>
            <w:gridSpan w:val="2"/>
          </w:tcPr>
          <w:p>
            <w:pPr>
              <w:jc w:val="right"/>
              <w:spacing w:after="0"/>
              <w:rPr>
                <w:sz w:val="20"/>
                <w:szCs w:val="20"/>
                <w:color w:val="auto"/>
              </w:rPr>
            </w:pPr>
            <w:r>
              <w:rPr>
                <w:rFonts w:ascii="Arial" w:cs="Arial" w:eastAsia="Arial" w:hAnsi="Arial"/>
                <w:sz w:val="14"/>
                <w:szCs w:val="14"/>
                <w:color w:val="auto"/>
              </w:rPr>
              <w:t>Deferred credits</w:t>
            </w:r>
          </w:p>
        </w:tc>
        <w:tc>
          <w:tcPr>
            <w:tcW w:w="0" w:type="dxa"/>
            <w:vAlign w:val="bottom"/>
          </w:tcPr>
          <w:p>
            <w:pPr>
              <w:spacing w:after="0"/>
              <w:rPr>
                <w:sz w:val="1"/>
                <w:szCs w:val="1"/>
                <w:color w:val="auto"/>
              </w:rPr>
            </w:pPr>
          </w:p>
        </w:tc>
      </w:tr>
      <w:tr>
        <w:trPr>
          <w:trHeight w:val="189"/>
        </w:trPr>
        <w:tc>
          <w:tcPr>
            <w:tcW w:w="408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assets</w:t>
            </w:r>
          </w:p>
        </w:tc>
        <w:tc>
          <w:tcPr>
            <w:tcW w:w="32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color w:val="auto"/>
                <w:w w:val="93"/>
              </w:rPr>
              <w:t>sale</w:t>
            </w:r>
          </w:p>
        </w:tc>
        <w:tc>
          <w:tcPr>
            <w:tcW w:w="3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color w:val="auto"/>
              </w:rPr>
              <w:t>assets</w:t>
            </w:r>
          </w:p>
        </w:tc>
        <w:tc>
          <w:tcPr>
            <w:tcW w:w="1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color w:val="auto"/>
              </w:rPr>
              <w:t>liabilities</w:t>
            </w:r>
          </w:p>
        </w:tc>
        <w:tc>
          <w:tcPr>
            <w:tcW w:w="1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color w:val="auto"/>
              </w:rPr>
              <w:t>for sale</w:t>
            </w:r>
          </w:p>
        </w:tc>
        <w:tc>
          <w:tcPr>
            <w:tcW w:w="2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and other</w:t>
            </w:r>
          </w:p>
        </w:tc>
        <w:tc>
          <w:tcPr>
            <w:tcW w:w="0" w:type="dxa"/>
            <w:vAlign w:val="bottom"/>
          </w:tcPr>
          <w:p>
            <w:pPr>
              <w:spacing w:after="0"/>
              <w:rPr>
                <w:sz w:val="1"/>
                <w:szCs w:val="1"/>
                <w:color w:val="auto"/>
              </w:rPr>
            </w:pPr>
          </w:p>
        </w:tc>
      </w:tr>
      <w:tr>
        <w:trPr>
          <w:trHeight w:val="210"/>
        </w:trPr>
        <w:tc>
          <w:tcPr>
            <w:tcW w:w="4080" w:type="dxa"/>
            <w:vAlign w:val="bottom"/>
            <w:shd w:val="clear" w:color="auto" w:fill="D4F1F5"/>
          </w:tcPr>
          <w:p>
            <w:pPr>
              <w:ind w:left="20"/>
              <w:spacing w:after="0"/>
              <w:rPr>
                <w:sz w:val="20"/>
                <w:szCs w:val="20"/>
                <w:color w:val="auto"/>
              </w:rPr>
            </w:pPr>
            <w:r>
              <w:rPr>
                <w:rFonts w:ascii="Arial" w:cs="Arial" w:eastAsia="Arial" w:hAnsi="Arial"/>
                <w:sz w:val="14"/>
                <w:szCs w:val="14"/>
                <w:b w:val="1"/>
                <w:bCs w:val="1"/>
                <w:color w:val="auto"/>
              </w:rPr>
              <w:t>Sempra:</w:t>
            </w:r>
          </w:p>
        </w:tc>
        <w:tc>
          <w:tcPr>
            <w:tcW w:w="820" w:type="dxa"/>
            <w:vAlign w:val="bottom"/>
            <w:shd w:val="clear" w:color="auto" w:fill="D4F1F5"/>
          </w:tcPr>
          <w:p>
            <w:pPr>
              <w:spacing w:after="0"/>
              <w:rPr>
                <w:sz w:val="18"/>
                <w:szCs w:val="18"/>
                <w:color w:val="auto"/>
              </w:rPr>
            </w:pPr>
          </w:p>
        </w:tc>
        <w:tc>
          <w:tcPr>
            <w:tcW w:w="320" w:type="dxa"/>
            <w:vAlign w:val="bottom"/>
            <w:shd w:val="clear" w:color="auto" w:fill="D4F1F5"/>
          </w:tcPr>
          <w:p>
            <w:pPr>
              <w:spacing w:after="0"/>
              <w:rPr>
                <w:sz w:val="18"/>
                <w:szCs w:val="18"/>
                <w:color w:val="auto"/>
              </w:rPr>
            </w:pPr>
          </w:p>
        </w:tc>
        <w:tc>
          <w:tcPr>
            <w:tcW w:w="480" w:type="dxa"/>
            <w:vAlign w:val="bottom"/>
            <w:shd w:val="clear" w:color="auto" w:fill="D4F1F5"/>
          </w:tcPr>
          <w:p>
            <w:pPr>
              <w:spacing w:after="0"/>
              <w:rPr>
                <w:sz w:val="18"/>
                <w:szCs w:val="18"/>
                <w:color w:val="auto"/>
              </w:rPr>
            </w:pPr>
          </w:p>
        </w:tc>
        <w:tc>
          <w:tcPr>
            <w:tcW w:w="680" w:type="dxa"/>
            <w:vAlign w:val="bottom"/>
            <w:shd w:val="clear" w:color="auto" w:fill="D4F1F5"/>
          </w:tcPr>
          <w:p>
            <w:pPr>
              <w:spacing w:after="0"/>
              <w:rPr>
                <w:sz w:val="18"/>
                <w:szCs w:val="18"/>
                <w:color w:val="auto"/>
              </w:rPr>
            </w:pPr>
          </w:p>
        </w:tc>
        <w:tc>
          <w:tcPr>
            <w:tcW w:w="320" w:type="dxa"/>
            <w:vAlign w:val="bottom"/>
            <w:shd w:val="clear" w:color="auto" w:fill="D4F1F5"/>
          </w:tcPr>
          <w:p>
            <w:pPr>
              <w:spacing w:after="0"/>
              <w:rPr>
                <w:sz w:val="18"/>
                <w:szCs w:val="18"/>
                <w:color w:val="auto"/>
              </w:rPr>
            </w:pPr>
          </w:p>
        </w:tc>
        <w:tc>
          <w:tcPr>
            <w:tcW w:w="980" w:type="dxa"/>
            <w:vAlign w:val="bottom"/>
            <w:shd w:val="clear" w:color="auto" w:fill="D4F1F5"/>
          </w:tcPr>
          <w:p>
            <w:pPr>
              <w:spacing w:after="0"/>
              <w:rPr>
                <w:sz w:val="18"/>
                <w:szCs w:val="18"/>
                <w:color w:val="auto"/>
              </w:rPr>
            </w:pPr>
          </w:p>
        </w:tc>
        <w:tc>
          <w:tcPr>
            <w:tcW w:w="120" w:type="dxa"/>
            <w:vAlign w:val="bottom"/>
            <w:shd w:val="clear" w:color="auto" w:fill="D4F1F5"/>
          </w:tcPr>
          <w:p>
            <w:pPr>
              <w:spacing w:after="0"/>
              <w:rPr>
                <w:sz w:val="18"/>
                <w:szCs w:val="18"/>
                <w:color w:val="auto"/>
              </w:rPr>
            </w:pPr>
          </w:p>
        </w:tc>
        <w:tc>
          <w:tcPr>
            <w:tcW w:w="1040" w:type="dxa"/>
            <w:vAlign w:val="bottom"/>
            <w:shd w:val="clear" w:color="auto" w:fill="D4F1F5"/>
          </w:tcPr>
          <w:p>
            <w:pPr>
              <w:spacing w:after="0"/>
              <w:rPr>
                <w:sz w:val="18"/>
                <w:szCs w:val="18"/>
                <w:color w:val="auto"/>
              </w:rPr>
            </w:pPr>
          </w:p>
        </w:tc>
        <w:tc>
          <w:tcPr>
            <w:tcW w:w="160" w:type="dxa"/>
            <w:vAlign w:val="bottom"/>
            <w:shd w:val="clear" w:color="auto" w:fill="D4F1F5"/>
          </w:tcPr>
          <w:p>
            <w:pPr>
              <w:spacing w:after="0"/>
              <w:rPr>
                <w:sz w:val="18"/>
                <w:szCs w:val="18"/>
                <w:color w:val="auto"/>
              </w:rPr>
            </w:pPr>
          </w:p>
        </w:tc>
        <w:tc>
          <w:tcPr>
            <w:tcW w:w="1020" w:type="dxa"/>
            <w:vAlign w:val="bottom"/>
            <w:shd w:val="clear" w:color="auto" w:fill="D4F1F5"/>
          </w:tcPr>
          <w:p>
            <w:pPr>
              <w:spacing w:after="0"/>
              <w:rPr>
                <w:sz w:val="18"/>
                <w:szCs w:val="18"/>
                <w:color w:val="auto"/>
              </w:rPr>
            </w:pPr>
          </w:p>
        </w:tc>
        <w:tc>
          <w:tcPr>
            <w:tcW w:w="260" w:type="dxa"/>
            <w:vAlign w:val="bottom"/>
            <w:shd w:val="clear" w:color="auto" w:fill="D4F1F5"/>
          </w:tcPr>
          <w:p>
            <w:pPr>
              <w:spacing w:after="0"/>
              <w:rPr>
                <w:sz w:val="18"/>
                <w:szCs w:val="18"/>
                <w:color w:val="auto"/>
              </w:rPr>
            </w:pPr>
          </w:p>
        </w:tc>
        <w:tc>
          <w:tcPr>
            <w:tcW w:w="940" w:type="dxa"/>
            <w:vAlign w:val="bottom"/>
            <w:shd w:val="clear" w:color="auto" w:fill="D4F1F5"/>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4080" w:type="dxa"/>
            <w:vAlign w:val="bottom"/>
          </w:tcPr>
          <w:p>
            <w:pPr>
              <w:ind w:left="20"/>
              <w:spacing w:after="0"/>
              <w:rPr>
                <w:sz w:val="20"/>
                <w:szCs w:val="20"/>
                <w:color w:val="auto"/>
              </w:rPr>
            </w:pPr>
            <w:r>
              <w:rPr>
                <w:rFonts w:ascii="Arial" w:cs="Arial" w:eastAsia="Arial" w:hAnsi="Arial"/>
                <w:sz w:val="14"/>
                <w:szCs w:val="14"/>
                <w:color w:val="auto"/>
              </w:rPr>
              <w:t>Derivatives designated as hedging instruments:</w:t>
            </w:r>
          </w:p>
        </w:tc>
        <w:tc>
          <w:tcPr>
            <w:tcW w:w="8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4080" w:type="dxa"/>
            <w:vAlign w:val="bottom"/>
            <w:shd w:val="clear" w:color="auto" w:fill="D4F1F5"/>
          </w:tcPr>
          <w:p>
            <w:pPr>
              <w:ind w:left="220"/>
              <w:spacing w:after="0"/>
              <w:rPr>
                <w:sz w:val="20"/>
                <w:szCs w:val="20"/>
                <w:color w:val="auto"/>
              </w:rPr>
            </w:pPr>
            <w:r>
              <w:rPr>
                <w:rFonts w:ascii="Arial" w:cs="Arial" w:eastAsia="Arial" w:hAnsi="Arial"/>
                <w:sz w:val="14"/>
                <w:szCs w:val="14"/>
                <w:color w:val="auto"/>
              </w:rPr>
              <w:t>Interest rate instruments</w:t>
            </w:r>
          </w:p>
        </w:tc>
        <w:tc>
          <w:tcPr>
            <w:tcW w:w="820" w:type="dxa"/>
            <w:vAlign w:val="bottom"/>
            <w:shd w:val="clear" w:color="auto" w:fill="D4F1F5"/>
          </w:tcPr>
          <w:p>
            <w:pPr>
              <w:spacing w:after="0"/>
              <w:rPr>
                <w:sz w:val="17"/>
                <w:szCs w:val="17"/>
                <w:color w:val="auto"/>
              </w:rPr>
            </w:pPr>
          </w:p>
        </w:tc>
        <w:tc>
          <w:tcPr>
            <w:tcW w:w="320" w:type="dxa"/>
            <w:vAlign w:val="bottom"/>
            <w:shd w:val="clear" w:color="auto" w:fill="D4F1F5"/>
          </w:tcPr>
          <w:p>
            <w:pPr>
              <w:spacing w:after="0"/>
              <w:rPr>
                <w:sz w:val="17"/>
                <w:szCs w:val="17"/>
                <w:color w:val="auto"/>
              </w:rPr>
            </w:pPr>
          </w:p>
        </w:tc>
        <w:tc>
          <w:tcPr>
            <w:tcW w:w="480" w:type="dxa"/>
            <w:vAlign w:val="bottom"/>
            <w:shd w:val="clear" w:color="auto" w:fill="D4F1F5"/>
          </w:tcPr>
          <w:p>
            <w:pPr>
              <w:jc w:val="right"/>
              <w:ind w:right="248"/>
              <w:spacing w:after="0"/>
              <w:rPr>
                <w:sz w:val="20"/>
                <w:szCs w:val="20"/>
                <w:color w:val="auto"/>
              </w:rPr>
            </w:pPr>
            <w:r>
              <w:rPr>
                <w:rFonts w:ascii="Arial" w:cs="Arial" w:eastAsia="Arial" w:hAnsi="Arial"/>
                <w:sz w:val="14"/>
                <w:szCs w:val="14"/>
                <w:color w:val="auto"/>
              </w:rPr>
              <w:t>$</w:t>
            </w:r>
          </w:p>
        </w:tc>
        <w:tc>
          <w:tcPr>
            <w:tcW w:w="680" w:type="dxa"/>
            <w:vAlign w:val="bottom"/>
            <w:shd w:val="clear" w:color="auto" w:fill="D4F1F5"/>
          </w:tcPr>
          <w:p>
            <w:pPr>
              <w:jc w:val="right"/>
              <w:spacing w:after="0"/>
              <w:rPr>
                <w:sz w:val="20"/>
                <w:szCs w:val="20"/>
                <w:color w:val="auto"/>
              </w:rPr>
            </w:pPr>
            <w:r>
              <w:rPr>
                <w:rFonts w:ascii="Arial" w:cs="Arial" w:eastAsia="Arial" w:hAnsi="Arial"/>
                <w:sz w:val="14"/>
                <w:szCs w:val="14"/>
                <w:color w:val="auto"/>
              </w:rPr>
              <w:t>25</w:t>
            </w:r>
          </w:p>
        </w:tc>
        <w:tc>
          <w:tcPr>
            <w:tcW w:w="320" w:type="dxa"/>
            <w:vAlign w:val="bottom"/>
            <w:shd w:val="clear" w:color="auto" w:fill="D4F1F5"/>
          </w:tcPr>
          <w:p>
            <w:pPr>
              <w:spacing w:after="0"/>
              <w:rPr>
                <w:sz w:val="17"/>
                <w:szCs w:val="17"/>
                <w:color w:val="auto"/>
              </w:rPr>
            </w:pPr>
          </w:p>
        </w:tc>
        <w:tc>
          <w:tcPr>
            <w:tcW w:w="980" w:type="dxa"/>
            <w:vAlign w:val="bottom"/>
            <w:shd w:val="clear" w:color="auto" w:fill="D4F1F5"/>
          </w:tcPr>
          <w:p>
            <w:pPr>
              <w:spacing w:after="0"/>
              <w:rPr>
                <w:sz w:val="17"/>
                <w:szCs w:val="17"/>
                <w:color w:val="auto"/>
              </w:rPr>
            </w:pPr>
          </w:p>
        </w:tc>
        <w:tc>
          <w:tcPr>
            <w:tcW w:w="120" w:type="dxa"/>
            <w:vAlign w:val="bottom"/>
            <w:shd w:val="clear" w:color="auto" w:fill="D4F1F5"/>
          </w:tcPr>
          <w:p>
            <w:pPr>
              <w:spacing w:after="0"/>
              <w:rPr>
                <w:sz w:val="17"/>
                <w:szCs w:val="17"/>
                <w:color w:val="auto"/>
              </w:rPr>
            </w:pPr>
          </w:p>
        </w:tc>
        <w:tc>
          <w:tcPr>
            <w:tcW w:w="1040" w:type="dxa"/>
            <w:vAlign w:val="bottom"/>
            <w:shd w:val="clear" w:color="auto" w:fill="D4F1F5"/>
          </w:tcPr>
          <w:p>
            <w:pPr>
              <w:spacing w:after="0"/>
              <w:rPr>
                <w:sz w:val="17"/>
                <w:szCs w:val="17"/>
                <w:color w:val="auto"/>
              </w:rPr>
            </w:pPr>
          </w:p>
        </w:tc>
        <w:tc>
          <w:tcPr>
            <w:tcW w:w="160" w:type="dxa"/>
            <w:vAlign w:val="bottom"/>
            <w:shd w:val="clear" w:color="auto" w:fill="D4F1F5"/>
          </w:tcPr>
          <w:p>
            <w:pPr>
              <w:jc w:val="right"/>
              <w:spacing w:after="0"/>
              <w:rPr>
                <w:sz w:val="20"/>
                <w:szCs w:val="20"/>
                <w:color w:val="auto"/>
              </w:rPr>
            </w:pPr>
            <w:r>
              <w:rPr>
                <w:rFonts w:ascii="Arial" w:cs="Arial" w:eastAsia="Arial" w:hAnsi="Arial"/>
                <w:sz w:val="14"/>
                <w:szCs w:val="14"/>
                <w:color w:val="auto"/>
              </w:rPr>
              <w:t>$</w:t>
            </w:r>
          </w:p>
        </w:tc>
        <w:tc>
          <w:tcPr>
            <w:tcW w:w="1020" w:type="dxa"/>
            <w:vAlign w:val="bottom"/>
            <w:shd w:val="clear" w:color="auto" w:fill="D4F1F5"/>
          </w:tcPr>
          <w:p>
            <w:pPr>
              <w:jc w:val="right"/>
              <w:ind w:right="8"/>
              <w:spacing w:after="0"/>
              <w:rPr>
                <w:sz w:val="20"/>
                <w:szCs w:val="20"/>
                <w:color w:val="auto"/>
              </w:rPr>
            </w:pPr>
            <w:r>
              <w:rPr>
                <w:rFonts w:ascii="Arial" w:cs="Arial" w:eastAsia="Arial" w:hAnsi="Arial"/>
                <w:sz w:val="14"/>
                <w:szCs w:val="14"/>
                <w:color w:val="auto"/>
              </w:rPr>
              <w:t>—</w:t>
            </w:r>
          </w:p>
        </w:tc>
        <w:tc>
          <w:tcPr>
            <w:tcW w:w="260" w:type="dxa"/>
            <w:vAlign w:val="bottom"/>
            <w:shd w:val="clear" w:color="auto" w:fill="D4F1F5"/>
          </w:tcPr>
          <w:p>
            <w:pPr>
              <w:spacing w:after="0"/>
              <w:rPr>
                <w:sz w:val="17"/>
                <w:szCs w:val="17"/>
                <w:color w:val="auto"/>
              </w:rPr>
            </w:pPr>
          </w:p>
        </w:tc>
        <w:tc>
          <w:tcPr>
            <w:tcW w:w="940" w:type="dxa"/>
            <w:vAlign w:val="bottom"/>
            <w:shd w:val="clear" w:color="auto" w:fill="D4F1F5"/>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4080" w:type="dxa"/>
            <w:vAlign w:val="bottom"/>
          </w:tcPr>
          <w:p>
            <w:pPr>
              <w:ind w:left="220"/>
              <w:spacing w:after="0"/>
              <w:rPr>
                <w:sz w:val="20"/>
                <w:szCs w:val="20"/>
                <w:color w:val="auto"/>
              </w:rPr>
            </w:pPr>
            <w:r>
              <w:rPr>
                <w:rFonts w:ascii="Arial" w:cs="Arial" w:eastAsia="Arial" w:hAnsi="Arial"/>
                <w:sz w:val="14"/>
                <w:szCs w:val="14"/>
                <w:color w:val="auto"/>
              </w:rPr>
              <w:t>Foreign exchange instruments</w:t>
            </w:r>
          </w:p>
        </w:tc>
        <w:tc>
          <w:tcPr>
            <w:tcW w:w="8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(8)</w:t>
            </w: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4080" w:type="dxa"/>
            <w:vAlign w:val="bottom"/>
            <w:shd w:val="clear" w:color="auto" w:fill="D4F1F5"/>
          </w:tcPr>
          <w:p>
            <w:pPr>
              <w:ind w:left="20"/>
              <w:spacing w:after="0"/>
              <w:rPr>
                <w:sz w:val="20"/>
                <w:szCs w:val="20"/>
                <w:color w:val="auto"/>
              </w:rPr>
            </w:pPr>
            <w:r>
              <w:rPr>
                <w:rFonts w:ascii="Arial" w:cs="Arial" w:eastAsia="Arial" w:hAnsi="Arial"/>
                <w:sz w:val="14"/>
                <w:szCs w:val="14"/>
                <w:color w:val="auto"/>
              </w:rPr>
              <w:t>Derivatives not designated as hedging instruments:</w:t>
            </w:r>
          </w:p>
        </w:tc>
        <w:tc>
          <w:tcPr>
            <w:tcW w:w="820" w:type="dxa"/>
            <w:vAlign w:val="bottom"/>
            <w:shd w:val="clear" w:color="auto" w:fill="D4F1F5"/>
          </w:tcPr>
          <w:p>
            <w:pPr>
              <w:spacing w:after="0"/>
              <w:rPr>
                <w:sz w:val="17"/>
                <w:szCs w:val="17"/>
                <w:color w:val="auto"/>
              </w:rPr>
            </w:pPr>
          </w:p>
        </w:tc>
        <w:tc>
          <w:tcPr>
            <w:tcW w:w="320" w:type="dxa"/>
            <w:vAlign w:val="bottom"/>
            <w:shd w:val="clear" w:color="auto" w:fill="D4F1F5"/>
          </w:tcPr>
          <w:p>
            <w:pPr>
              <w:spacing w:after="0"/>
              <w:rPr>
                <w:sz w:val="17"/>
                <w:szCs w:val="17"/>
                <w:color w:val="auto"/>
              </w:rPr>
            </w:pPr>
          </w:p>
        </w:tc>
        <w:tc>
          <w:tcPr>
            <w:tcW w:w="480" w:type="dxa"/>
            <w:vAlign w:val="bottom"/>
            <w:shd w:val="clear" w:color="auto" w:fill="D4F1F5"/>
          </w:tcPr>
          <w:p>
            <w:pPr>
              <w:spacing w:after="0"/>
              <w:rPr>
                <w:sz w:val="17"/>
                <w:szCs w:val="17"/>
                <w:color w:val="auto"/>
              </w:rPr>
            </w:pPr>
          </w:p>
        </w:tc>
        <w:tc>
          <w:tcPr>
            <w:tcW w:w="680" w:type="dxa"/>
            <w:vAlign w:val="bottom"/>
            <w:shd w:val="clear" w:color="auto" w:fill="D4F1F5"/>
          </w:tcPr>
          <w:p>
            <w:pPr>
              <w:spacing w:after="0"/>
              <w:rPr>
                <w:sz w:val="17"/>
                <w:szCs w:val="17"/>
                <w:color w:val="auto"/>
              </w:rPr>
            </w:pPr>
          </w:p>
        </w:tc>
        <w:tc>
          <w:tcPr>
            <w:tcW w:w="320" w:type="dxa"/>
            <w:vAlign w:val="bottom"/>
            <w:shd w:val="clear" w:color="auto" w:fill="D4F1F5"/>
          </w:tcPr>
          <w:p>
            <w:pPr>
              <w:spacing w:after="0"/>
              <w:rPr>
                <w:sz w:val="17"/>
                <w:szCs w:val="17"/>
                <w:color w:val="auto"/>
              </w:rPr>
            </w:pPr>
          </w:p>
        </w:tc>
        <w:tc>
          <w:tcPr>
            <w:tcW w:w="980" w:type="dxa"/>
            <w:vAlign w:val="bottom"/>
            <w:shd w:val="clear" w:color="auto" w:fill="D4F1F5"/>
          </w:tcPr>
          <w:p>
            <w:pPr>
              <w:spacing w:after="0"/>
              <w:rPr>
                <w:sz w:val="17"/>
                <w:szCs w:val="17"/>
                <w:color w:val="auto"/>
              </w:rPr>
            </w:pPr>
          </w:p>
        </w:tc>
        <w:tc>
          <w:tcPr>
            <w:tcW w:w="120" w:type="dxa"/>
            <w:vAlign w:val="bottom"/>
            <w:shd w:val="clear" w:color="auto" w:fill="D4F1F5"/>
          </w:tcPr>
          <w:p>
            <w:pPr>
              <w:spacing w:after="0"/>
              <w:rPr>
                <w:sz w:val="17"/>
                <w:szCs w:val="17"/>
                <w:color w:val="auto"/>
              </w:rPr>
            </w:pPr>
          </w:p>
        </w:tc>
        <w:tc>
          <w:tcPr>
            <w:tcW w:w="1040" w:type="dxa"/>
            <w:vAlign w:val="bottom"/>
            <w:shd w:val="clear" w:color="auto" w:fill="D4F1F5"/>
          </w:tcPr>
          <w:p>
            <w:pPr>
              <w:spacing w:after="0"/>
              <w:rPr>
                <w:sz w:val="17"/>
                <w:szCs w:val="17"/>
                <w:color w:val="auto"/>
              </w:rPr>
            </w:pPr>
          </w:p>
        </w:tc>
        <w:tc>
          <w:tcPr>
            <w:tcW w:w="160" w:type="dxa"/>
            <w:vAlign w:val="bottom"/>
            <w:shd w:val="clear" w:color="auto" w:fill="D4F1F5"/>
          </w:tcPr>
          <w:p>
            <w:pPr>
              <w:spacing w:after="0"/>
              <w:rPr>
                <w:sz w:val="17"/>
                <w:szCs w:val="17"/>
                <w:color w:val="auto"/>
              </w:rPr>
            </w:pPr>
          </w:p>
        </w:tc>
        <w:tc>
          <w:tcPr>
            <w:tcW w:w="1020" w:type="dxa"/>
            <w:vAlign w:val="bottom"/>
            <w:shd w:val="clear" w:color="auto" w:fill="D4F1F5"/>
          </w:tcPr>
          <w:p>
            <w:pPr>
              <w:spacing w:after="0"/>
              <w:rPr>
                <w:sz w:val="17"/>
                <w:szCs w:val="17"/>
                <w:color w:val="auto"/>
              </w:rPr>
            </w:pPr>
          </w:p>
        </w:tc>
        <w:tc>
          <w:tcPr>
            <w:tcW w:w="260" w:type="dxa"/>
            <w:vAlign w:val="bottom"/>
            <w:shd w:val="clear" w:color="auto" w:fill="D4F1F5"/>
          </w:tcPr>
          <w:p>
            <w:pPr>
              <w:spacing w:after="0"/>
              <w:rPr>
                <w:sz w:val="17"/>
                <w:szCs w:val="17"/>
                <w:color w:val="auto"/>
              </w:rPr>
            </w:pPr>
          </w:p>
        </w:tc>
        <w:tc>
          <w:tcPr>
            <w:tcW w:w="940" w:type="dxa"/>
            <w:vAlign w:val="bottom"/>
            <w:shd w:val="clear" w:color="auto" w:fill="D4F1F5"/>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4080" w:type="dxa"/>
            <w:vAlign w:val="bottom"/>
          </w:tcPr>
          <w:p>
            <w:pPr>
              <w:ind w:left="220"/>
              <w:spacing w:after="0"/>
              <w:rPr>
                <w:sz w:val="20"/>
                <w:szCs w:val="20"/>
                <w:color w:val="auto"/>
              </w:rPr>
            </w:pPr>
            <w:r>
              <w:rPr>
                <w:rFonts w:ascii="Arial" w:cs="Arial" w:eastAsia="Arial" w:hAnsi="Arial"/>
                <w:sz w:val="14"/>
                <w:szCs w:val="14"/>
                <w:color w:val="auto"/>
              </w:rPr>
              <w:t>Interest rate instruments</w:t>
            </w:r>
          </w:p>
        </w:tc>
        <w:tc>
          <w:tcPr>
            <w:tcW w:w="8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242</w:t>
            </w:r>
          </w:p>
        </w:tc>
        <w:tc>
          <w:tcPr>
            <w:tcW w:w="3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4080" w:type="dxa"/>
            <w:vAlign w:val="bottom"/>
            <w:shd w:val="clear" w:color="auto" w:fill="D4F1F5"/>
          </w:tcPr>
          <w:p>
            <w:pPr>
              <w:ind w:left="220"/>
              <w:spacing w:after="0"/>
              <w:rPr>
                <w:sz w:val="20"/>
                <w:szCs w:val="20"/>
                <w:color w:val="auto"/>
              </w:rPr>
            </w:pPr>
            <w:r>
              <w:rPr>
                <w:rFonts w:ascii="Arial" w:cs="Arial" w:eastAsia="Arial" w:hAnsi="Arial"/>
                <w:sz w:val="14"/>
                <w:szCs w:val="14"/>
                <w:color w:val="auto"/>
              </w:rPr>
              <w:t>Commodity contracts not subject to rate recovery</w:t>
            </w:r>
          </w:p>
        </w:tc>
        <w:tc>
          <w:tcPr>
            <w:tcW w:w="820" w:type="dxa"/>
            <w:vAlign w:val="bottom"/>
            <w:shd w:val="clear" w:color="auto" w:fill="D4F1F5"/>
          </w:tcPr>
          <w:p>
            <w:pPr>
              <w:spacing w:after="0"/>
              <w:rPr>
                <w:sz w:val="17"/>
                <w:szCs w:val="17"/>
                <w:color w:val="auto"/>
              </w:rPr>
            </w:pPr>
          </w:p>
        </w:tc>
        <w:tc>
          <w:tcPr>
            <w:tcW w:w="320" w:type="dxa"/>
            <w:vAlign w:val="bottom"/>
            <w:shd w:val="clear" w:color="auto" w:fill="D4F1F5"/>
          </w:tcPr>
          <w:p>
            <w:pPr>
              <w:spacing w:after="0"/>
              <w:rPr>
                <w:sz w:val="17"/>
                <w:szCs w:val="17"/>
                <w:color w:val="auto"/>
              </w:rPr>
            </w:pPr>
          </w:p>
        </w:tc>
        <w:tc>
          <w:tcPr>
            <w:tcW w:w="480" w:type="dxa"/>
            <w:vAlign w:val="bottom"/>
            <w:shd w:val="clear" w:color="auto" w:fill="D4F1F5"/>
          </w:tcPr>
          <w:p>
            <w:pPr>
              <w:spacing w:after="0"/>
              <w:rPr>
                <w:sz w:val="17"/>
                <w:szCs w:val="17"/>
                <w:color w:val="auto"/>
              </w:rPr>
            </w:pPr>
          </w:p>
        </w:tc>
        <w:tc>
          <w:tcPr>
            <w:tcW w:w="680" w:type="dxa"/>
            <w:vAlign w:val="bottom"/>
            <w:shd w:val="clear" w:color="auto" w:fill="D4F1F5"/>
          </w:tcPr>
          <w:p>
            <w:pPr>
              <w:jc w:val="right"/>
              <w:spacing w:after="0"/>
              <w:rPr>
                <w:sz w:val="20"/>
                <w:szCs w:val="20"/>
                <w:color w:val="auto"/>
              </w:rPr>
            </w:pPr>
            <w:r>
              <w:rPr>
                <w:rFonts w:ascii="Arial" w:cs="Arial" w:eastAsia="Arial" w:hAnsi="Arial"/>
                <w:sz w:val="14"/>
                <w:szCs w:val="14"/>
                <w:color w:val="auto"/>
              </w:rPr>
              <w:t>9</w:t>
            </w:r>
          </w:p>
        </w:tc>
        <w:tc>
          <w:tcPr>
            <w:tcW w:w="320" w:type="dxa"/>
            <w:vAlign w:val="bottom"/>
            <w:shd w:val="clear" w:color="auto" w:fill="D4F1F5"/>
          </w:tcPr>
          <w:p>
            <w:pPr>
              <w:spacing w:after="0"/>
              <w:rPr>
                <w:sz w:val="17"/>
                <w:szCs w:val="17"/>
                <w:color w:val="auto"/>
              </w:rPr>
            </w:pPr>
          </w:p>
        </w:tc>
        <w:tc>
          <w:tcPr>
            <w:tcW w:w="980" w:type="dxa"/>
            <w:vAlign w:val="bottom"/>
            <w:shd w:val="clear" w:color="auto" w:fill="D4F1F5"/>
          </w:tcPr>
          <w:p>
            <w:pPr>
              <w:spacing w:after="0"/>
              <w:rPr>
                <w:sz w:val="17"/>
                <w:szCs w:val="17"/>
                <w:color w:val="auto"/>
              </w:rPr>
            </w:pPr>
          </w:p>
        </w:tc>
        <w:tc>
          <w:tcPr>
            <w:tcW w:w="120" w:type="dxa"/>
            <w:vAlign w:val="bottom"/>
            <w:shd w:val="clear" w:color="auto" w:fill="D4F1F5"/>
          </w:tcPr>
          <w:p>
            <w:pPr>
              <w:spacing w:after="0"/>
              <w:rPr>
                <w:sz w:val="17"/>
                <w:szCs w:val="17"/>
                <w:color w:val="auto"/>
              </w:rPr>
            </w:pPr>
          </w:p>
        </w:tc>
        <w:tc>
          <w:tcPr>
            <w:tcW w:w="1040" w:type="dxa"/>
            <w:vAlign w:val="bottom"/>
            <w:shd w:val="clear" w:color="auto" w:fill="D4F1F5"/>
          </w:tcPr>
          <w:p>
            <w:pPr>
              <w:spacing w:after="0"/>
              <w:rPr>
                <w:sz w:val="17"/>
                <w:szCs w:val="17"/>
                <w:color w:val="auto"/>
              </w:rPr>
            </w:pPr>
          </w:p>
        </w:tc>
        <w:tc>
          <w:tcPr>
            <w:tcW w:w="160" w:type="dxa"/>
            <w:vAlign w:val="bottom"/>
            <w:shd w:val="clear" w:color="auto" w:fill="D4F1F5"/>
          </w:tcPr>
          <w:p>
            <w:pPr>
              <w:spacing w:after="0"/>
              <w:rPr>
                <w:sz w:val="17"/>
                <w:szCs w:val="17"/>
                <w:color w:val="auto"/>
              </w:rPr>
            </w:pPr>
          </w:p>
        </w:tc>
        <w:tc>
          <w:tcPr>
            <w:tcW w:w="1020" w:type="dxa"/>
            <w:vAlign w:val="bottom"/>
            <w:shd w:val="clear" w:color="auto" w:fill="D4F1F5"/>
          </w:tcPr>
          <w:p>
            <w:pPr>
              <w:jc w:val="right"/>
              <w:spacing w:after="0"/>
              <w:rPr>
                <w:sz w:val="20"/>
                <w:szCs w:val="20"/>
                <w:color w:val="auto"/>
              </w:rPr>
            </w:pPr>
            <w:r>
              <w:rPr>
                <w:rFonts w:ascii="Arial" w:cs="Arial" w:eastAsia="Arial" w:hAnsi="Arial"/>
                <w:sz w:val="14"/>
                <w:szCs w:val="14"/>
                <w:color w:val="auto"/>
              </w:rPr>
              <w:t>(66)</w:t>
            </w:r>
          </w:p>
        </w:tc>
        <w:tc>
          <w:tcPr>
            <w:tcW w:w="260" w:type="dxa"/>
            <w:vAlign w:val="bottom"/>
            <w:shd w:val="clear" w:color="auto" w:fill="D4F1F5"/>
          </w:tcPr>
          <w:p>
            <w:pPr>
              <w:spacing w:after="0"/>
              <w:rPr>
                <w:sz w:val="17"/>
                <w:szCs w:val="17"/>
                <w:color w:val="auto"/>
              </w:rPr>
            </w:pPr>
          </w:p>
        </w:tc>
        <w:tc>
          <w:tcPr>
            <w:tcW w:w="940" w:type="dxa"/>
            <w:vAlign w:val="bottom"/>
            <w:shd w:val="clear" w:color="auto" w:fill="D4F1F5"/>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4080" w:type="dxa"/>
            <w:vAlign w:val="bottom"/>
          </w:tcPr>
          <w:p>
            <w:pPr>
              <w:ind w:left="480"/>
              <w:spacing w:after="0"/>
              <w:rPr>
                <w:sz w:val="20"/>
                <w:szCs w:val="20"/>
                <w:color w:val="auto"/>
              </w:rPr>
            </w:pPr>
            <w:r>
              <w:rPr>
                <w:rFonts w:ascii="Arial" w:cs="Arial" w:eastAsia="Arial" w:hAnsi="Arial"/>
                <w:sz w:val="14"/>
                <w:szCs w:val="14"/>
                <w:color w:val="auto"/>
              </w:rPr>
              <w:t>Associated offsetting commodity contracts</w:t>
            </w:r>
          </w:p>
        </w:tc>
        <w:tc>
          <w:tcPr>
            <w:tcW w:w="8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(5)</w:t>
            </w:r>
          </w:p>
        </w:tc>
        <w:tc>
          <w:tcPr>
            <w:tcW w:w="3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jc w:val="right"/>
              <w:ind w:right="8"/>
              <w:spacing w:after="0"/>
              <w:rPr>
                <w:sz w:val="20"/>
                <w:szCs w:val="20"/>
                <w:color w:val="auto"/>
              </w:rPr>
            </w:pPr>
            <w:r>
              <w:rPr>
                <w:rFonts w:ascii="Arial" w:cs="Arial" w:eastAsia="Arial" w:hAnsi="Arial"/>
                <w:sz w:val="14"/>
                <w:szCs w:val="14"/>
                <w:color w:val="auto"/>
              </w:rPr>
              <w:t>5</w:t>
            </w: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4080" w:type="dxa"/>
            <w:vAlign w:val="bottom"/>
            <w:shd w:val="clear" w:color="auto" w:fill="D4F1F5"/>
          </w:tcPr>
          <w:p>
            <w:pPr>
              <w:ind w:left="220"/>
              <w:spacing w:after="0"/>
              <w:rPr>
                <w:sz w:val="20"/>
                <w:szCs w:val="20"/>
                <w:color w:val="auto"/>
              </w:rPr>
            </w:pPr>
            <w:r>
              <w:rPr>
                <w:rFonts w:ascii="Arial" w:cs="Arial" w:eastAsia="Arial" w:hAnsi="Arial"/>
                <w:sz w:val="14"/>
                <w:szCs w:val="14"/>
                <w:color w:val="auto"/>
              </w:rPr>
              <w:t>Commodity contracts subject to rate recovery</w:t>
            </w:r>
          </w:p>
        </w:tc>
        <w:tc>
          <w:tcPr>
            <w:tcW w:w="820" w:type="dxa"/>
            <w:vAlign w:val="bottom"/>
            <w:shd w:val="clear" w:color="auto" w:fill="D4F1F5"/>
          </w:tcPr>
          <w:p>
            <w:pPr>
              <w:jc w:val="right"/>
              <w:ind w:right="668"/>
              <w:spacing w:after="0"/>
              <w:rPr>
                <w:sz w:val="20"/>
                <w:szCs w:val="20"/>
                <w:color w:val="auto"/>
              </w:rPr>
            </w:pPr>
            <w:r>
              <w:rPr>
                <w:rFonts w:ascii="Arial" w:cs="Arial" w:eastAsia="Arial" w:hAnsi="Arial"/>
                <w:sz w:val="14"/>
                <w:szCs w:val="14"/>
                <w:color w:val="auto"/>
                <w:w w:val="76"/>
              </w:rPr>
              <w:t>$</w:t>
            </w:r>
          </w:p>
        </w:tc>
        <w:tc>
          <w:tcPr>
            <w:tcW w:w="320" w:type="dxa"/>
            <w:vAlign w:val="bottom"/>
            <w:shd w:val="clear" w:color="auto" w:fill="D4F1F5"/>
          </w:tcPr>
          <w:p>
            <w:pPr>
              <w:jc w:val="right"/>
              <w:ind w:right="28"/>
              <w:spacing w:after="0"/>
              <w:rPr>
                <w:sz w:val="20"/>
                <w:szCs w:val="20"/>
                <w:color w:val="auto"/>
              </w:rPr>
            </w:pPr>
            <w:r>
              <w:rPr>
                <w:rFonts w:ascii="Arial" w:cs="Arial" w:eastAsia="Arial" w:hAnsi="Arial"/>
                <w:sz w:val="14"/>
                <w:szCs w:val="14"/>
                <w:color w:val="auto"/>
              </w:rPr>
              <w:t>25</w:t>
            </w:r>
          </w:p>
        </w:tc>
        <w:tc>
          <w:tcPr>
            <w:tcW w:w="480" w:type="dxa"/>
            <w:vAlign w:val="bottom"/>
            <w:shd w:val="clear" w:color="auto" w:fill="D4F1F5"/>
          </w:tcPr>
          <w:p>
            <w:pPr>
              <w:spacing w:after="0"/>
              <w:rPr>
                <w:sz w:val="17"/>
                <w:szCs w:val="17"/>
                <w:color w:val="auto"/>
              </w:rPr>
            </w:pPr>
          </w:p>
        </w:tc>
        <w:tc>
          <w:tcPr>
            <w:tcW w:w="680" w:type="dxa"/>
            <w:vAlign w:val="bottom"/>
            <w:shd w:val="clear" w:color="auto" w:fill="D4F1F5"/>
          </w:tcPr>
          <w:p>
            <w:pPr>
              <w:spacing w:after="0"/>
              <w:rPr>
                <w:sz w:val="17"/>
                <w:szCs w:val="17"/>
                <w:color w:val="auto"/>
              </w:rPr>
            </w:pPr>
          </w:p>
        </w:tc>
        <w:tc>
          <w:tcPr>
            <w:tcW w:w="320" w:type="dxa"/>
            <w:vAlign w:val="bottom"/>
            <w:shd w:val="clear" w:color="auto" w:fill="D4F1F5"/>
          </w:tcPr>
          <w:p>
            <w:pPr>
              <w:jc w:val="right"/>
              <w:ind w:right="48"/>
              <w:spacing w:after="0"/>
              <w:rPr>
                <w:sz w:val="20"/>
                <w:szCs w:val="20"/>
                <w:color w:val="auto"/>
              </w:rPr>
            </w:pPr>
            <w:r>
              <w:rPr>
                <w:rFonts w:ascii="Arial" w:cs="Arial" w:eastAsia="Arial" w:hAnsi="Arial"/>
                <w:sz w:val="14"/>
                <w:szCs w:val="14"/>
                <w:color w:val="auto"/>
              </w:rPr>
              <w:t>$</w:t>
            </w:r>
          </w:p>
        </w:tc>
        <w:tc>
          <w:tcPr>
            <w:tcW w:w="980" w:type="dxa"/>
            <w:vAlign w:val="bottom"/>
            <w:shd w:val="clear" w:color="auto" w:fill="D4F1F5"/>
          </w:tcPr>
          <w:p>
            <w:pPr>
              <w:jc w:val="right"/>
              <w:ind w:right="88"/>
              <w:spacing w:after="0"/>
              <w:rPr>
                <w:sz w:val="20"/>
                <w:szCs w:val="20"/>
                <w:color w:val="auto"/>
              </w:rPr>
            </w:pPr>
            <w:r>
              <w:rPr>
                <w:rFonts w:ascii="Arial" w:cs="Arial" w:eastAsia="Arial" w:hAnsi="Arial"/>
                <w:sz w:val="14"/>
                <w:szCs w:val="14"/>
                <w:color w:val="auto"/>
              </w:rPr>
              <w:t>11</w:t>
            </w:r>
          </w:p>
        </w:tc>
        <w:tc>
          <w:tcPr>
            <w:tcW w:w="120" w:type="dxa"/>
            <w:vAlign w:val="bottom"/>
            <w:shd w:val="clear" w:color="auto" w:fill="D4F1F5"/>
          </w:tcPr>
          <w:p>
            <w:pPr>
              <w:jc w:val="right"/>
              <w:spacing w:after="0"/>
              <w:rPr>
                <w:sz w:val="20"/>
                <w:szCs w:val="20"/>
                <w:color w:val="auto"/>
              </w:rPr>
            </w:pPr>
            <w:r>
              <w:rPr>
                <w:rFonts w:ascii="Arial" w:cs="Arial" w:eastAsia="Arial" w:hAnsi="Arial"/>
                <w:sz w:val="14"/>
                <w:szCs w:val="14"/>
                <w:color w:val="auto"/>
              </w:rPr>
              <w:t>$</w:t>
            </w:r>
          </w:p>
        </w:tc>
        <w:tc>
          <w:tcPr>
            <w:tcW w:w="1040" w:type="dxa"/>
            <w:vAlign w:val="bottom"/>
            <w:shd w:val="clear" w:color="auto" w:fill="D4F1F5"/>
          </w:tcPr>
          <w:p>
            <w:pPr>
              <w:jc w:val="right"/>
              <w:ind w:right="8"/>
              <w:spacing w:after="0"/>
              <w:rPr>
                <w:sz w:val="20"/>
                <w:szCs w:val="20"/>
                <w:color w:val="auto"/>
              </w:rPr>
            </w:pPr>
            <w:r>
              <w:rPr>
                <w:rFonts w:ascii="Arial" w:cs="Arial" w:eastAsia="Arial" w:hAnsi="Arial"/>
                <w:sz w:val="14"/>
                <w:szCs w:val="14"/>
                <w:color w:val="auto"/>
              </w:rPr>
              <w:t>(134)</w:t>
            </w:r>
          </w:p>
        </w:tc>
        <w:tc>
          <w:tcPr>
            <w:tcW w:w="160" w:type="dxa"/>
            <w:vAlign w:val="bottom"/>
            <w:shd w:val="clear" w:color="auto" w:fill="D4F1F5"/>
          </w:tcPr>
          <w:p>
            <w:pPr>
              <w:spacing w:after="0"/>
              <w:rPr>
                <w:sz w:val="17"/>
                <w:szCs w:val="17"/>
                <w:color w:val="auto"/>
              </w:rPr>
            </w:pPr>
          </w:p>
        </w:tc>
        <w:tc>
          <w:tcPr>
            <w:tcW w:w="1020" w:type="dxa"/>
            <w:vAlign w:val="bottom"/>
            <w:shd w:val="clear" w:color="auto" w:fill="D4F1F5"/>
          </w:tcPr>
          <w:p>
            <w:pPr>
              <w:spacing w:after="0"/>
              <w:rPr>
                <w:sz w:val="17"/>
                <w:szCs w:val="17"/>
                <w:color w:val="auto"/>
              </w:rPr>
            </w:pPr>
          </w:p>
        </w:tc>
        <w:tc>
          <w:tcPr>
            <w:tcW w:w="260" w:type="dxa"/>
            <w:vAlign w:val="bottom"/>
            <w:shd w:val="clear" w:color="auto" w:fill="D4F1F5"/>
          </w:tcPr>
          <w:p>
            <w:pPr>
              <w:jc w:val="right"/>
              <w:ind w:right="8"/>
              <w:spacing w:after="0"/>
              <w:rPr>
                <w:sz w:val="20"/>
                <w:szCs w:val="20"/>
                <w:color w:val="auto"/>
              </w:rPr>
            </w:pPr>
            <w:r>
              <w:rPr>
                <w:rFonts w:ascii="Arial" w:cs="Arial" w:eastAsia="Arial" w:hAnsi="Arial"/>
                <w:sz w:val="14"/>
                <w:szCs w:val="14"/>
                <w:color w:val="auto"/>
              </w:rPr>
              <w:t>$</w:t>
            </w:r>
          </w:p>
        </w:tc>
        <w:tc>
          <w:tcPr>
            <w:tcW w:w="940" w:type="dxa"/>
            <w:vAlign w:val="bottom"/>
            <w:shd w:val="clear" w:color="auto" w:fill="D4F1F5"/>
          </w:tcPr>
          <w:p>
            <w:pPr>
              <w:jc w:val="right"/>
              <w:spacing w:after="0"/>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198"/>
        </w:trPr>
        <w:tc>
          <w:tcPr>
            <w:tcW w:w="4080" w:type="dxa"/>
            <w:vAlign w:val="bottom"/>
          </w:tcPr>
          <w:p>
            <w:pPr>
              <w:ind w:left="480"/>
              <w:spacing w:after="0"/>
              <w:rPr>
                <w:sz w:val="20"/>
                <w:szCs w:val="20"/>
                <w:color w:val="auto"/>
              </w:rPr>
            </w:pPr>
            <w:r>
              <w:rPr>
                <w:rFonts w:ascii="Arial" w:cs="Arial" w:eastAsia="Arial" w:hAnsi="Arial"/>
                <w:sz w:val="14"/>
                <w:szCs w:val="14"/>
                <w:color w:val="auto"/>
              </w:rPr>
              <w:t>Associated offsetting commodity contracts</w:t>
            </w:r>
          </w:p>
        </w:tc>
        <w:tc>
          <w:tcPr>
            <w:tcW w:w="820" w:type="dxa"/>
            <w:vAlign w:val="bottom"/>
          </w:tcPr>
          <w:p>
            <w:pPr>
              <w:spacing w:after="0"/>
              <w:rPr>
                <w:sz w:val="17"/>
                <w:szCs w:val="17"/>
                <w:color w:val="auto"/>
              </w:rPr>
            </w:pPr>
          </w:p>
        </w:tc>
        <w:tc>
          <w:tcPr>
            <w:tcW w:w="320" w:type="dxa"/>
            <w:vAlign w:val="bottom"/>
          </w:tcPr>
          <w:p>
            <w:pPr>
              <w:jc w:val="right"/>
              <w:spacing w:after="0"/>
              <w:rPr>
                <w:sz w:val="20"/>
                <w:szCs w:val="20"/>
                <w:color w:val="auto"/>
              </w:rPr>
            </w:pPr>
            <w:r>
              <w:rPr>
                <w:rFonts w:ascii="Arial" w:cs="Arial" w:eastAsia="Arial" w:hAnsi="Arial"/>
                <w:sz w:val="14"/>
                <w:szCs w:val="14"/>
                <w:color w:val="auto"/>
              </w:rPr>
              <w:t>(4)</w:t>
            </w:r>
          </w:p>
        </w:tc>
        <w:tc>
          <w:tcPr>
            <w:tcW w:w="4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(2)</w:t>
            </w:r>
          </w:p>
        </w:tc>
        <w:tc>
          <w:tcPr>
            <w:tcW w:w="120" w:type="dxa"/>
            <w:vAlign w:val="bottom"/>
          </w:tcPr>
          <w:p>
            <w:pPr>
              <w:spacing w:after="0"/>
              <w:rPr>
                <w:sz w:val="17"/>
                <w:szCs w:val="17"/>
                <w:color w:val="auto"/>
              </w:rPr>
            </w:pP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4</w:t>
            </w:r>
          </w:p>
        </w:tc>
        <w:tc>
          <w:tcPr>
            <w:tcW w:w="1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207"/>
        </w:trPr>
        <w:tc>
          <w:tcPr>
            <w:tcW w:w="4080" w:type="dxa"/>
            <w:vAlign w:val="bottom"/>
            <w:shd w:val="clear" w:color="auto" w:fill="D4F1F5"/>
          </w:tcPr>
          <w:p>
            <w:pPr>
              <w:ind w:left="480"/>
              <w:spacing w:after="0"/>
              <w:rPr>
                <w:sz w:val="20"/>
                <w:szCs w:val="20"/>
                <w:color w:val="auto"/>
              </w:rPr>
            </w:pPr>
            <w:r>
              <w:rPr>
                <w:rFonts w:ascii="Arial" w:cs="Arial" w:eastAsia="Arial" w:hAnsi="Arial"/>
                <w:sz w:val="14"/>
                <w:szCs w:val="14"/>
                <w:color w:val="auto"/>
              </w:rPr>
              <w:t>Associated offsetting cash collateral</w:t>
            </w:r>
          </w:p>
        </w:tc>
        <w:tc>
          <w:tcPr>
            <w:tcW w:w="820" w:type="dxa"/>
            <w:vAlign w:val="bottom"/>
            <w:tcBorders>
              <w:bottom w:val="single" w:sz="8" w:color="auto"/>
            </w:tcBorders>
            <w:shd w:val="clear" w:color="auto" w:fill="D4F1F5"/>
          </w:tcPr>
          <w:p>
            <w:pPr>
              <w:spacing w:after="0"/>
              <w:rPr>
                <w:sz w:val="17"/>
                <w:szCs w:val="17"/>
                <w:color w:val="auto"/>
              </w:rPr>
            </w:pPr>
          </w:p>
        </w:tc>
        <w:tc>
          <w:tcPr>
            <w:tcW w:w="320" w:type="dxa"/>
            <w:vAlign w:val="bottom"/>
            <w:tcBorders>
              <w:bottom w:val="single" w:sz="8" w:color="auto"/>
            </w:tcBorders>
            <w:shd w:val="clear" w:color="auto" w:fill="D4F1F5"/>
          </w:tcPr>
          <w:p>
            <w:pPr>
              <w:jc w:val="right"/>
              <w:ind w:right="28"/>
              <w:spacing w:after="0"/>
              <w:rPr>
                <w:sz w:val="20"/>
                <w:szCs w:val="20"/>
                <w:color w:val="auto"/>
              </w:rPr>
            </w:pPr>
            <w:r>
              <w:rPr>
                <w:rFonts w:ascii="Arial" w:cs="Arial" w:eastAsia="Arial" w:hAnsi="Arial"/>
                <w:sz w:val="14"/>
                <w:szCs w:val="14"/>
                <w:color w:val="auto"/>
              </w:rPr>
              <w:t>—</w:t>
            </w:r>
          </w:p>
        </w:tc>
        <w:tc>
          <w:tcPr>
            <w:tcW w:w="480" w:type="dxa"/>
            <w:vAlign w:val="bottom"/>
            <w:tcBorders>
              <w:bottom w:val="single" w:sz="8" w:color="auto"/>
            </w:tcBorders>
            <w:shd w:val="clear" w:color="auto" w:fill="D4F1F5"/>
          </w:tcPr>
          <w:p>
            <w:pPr>
              <w:spacing w:after="0"/>
              <w:rPr>
                <w:sz w:val="17"/>
                <w:szCs w:val="17"/>
                <w:color w:val="auto"/>
              </w:rPr>
            </w:pPr>
          </w:p>
        </w:tc>
        <w:tc>
          <w:tcPr>
            <w:tcW w:w="680" w:type="dxa"/>
            <w:vAlign w:val="bottom"/>
            <w:tcBorders>
              <w:bottom w:val="single" w:sz="8" w:color="auto"/>
            </w:tcBorders>
            <w:shd w:val="clear" w:color="auto" w:fill="D4F1F5"/>
          </w:tcPr>
          <w:p>
            <w:pPr>
              <w:spacing w:after="0"/>
              <w:rPr>
                <w:sz w:val="17"/>
                <w:szCs w:val="17"/>
                <w:color w:val="auto"/>
              </w:rPr>
            </w:pPr>
          </w:p>
        </w:tc>
        <w:tc>
          <w:tcPr>
            <w:tcW w:w="320" w:type="dxa"/>
            <w:vAlign w:val="bottom"/>
            <w:tcBorders>
              <w:bottom w:val="single" w:sz="8" w:color="auto"/>
            </w:tcBorders>
            <w:shd w:val="clear" w:color="auto" w:fill="D4F1F5"/>
          </w:tcPr>
          <w:p>
            <w:pPr>
              <w:spacing w:after="0"/>
              <w:rPr>
                <w:sz w:val="17"/>
                <w:szCs w:val="17"/>
                <w:color w:val="auto"/>
              </w:rPr>
            </w:pPr>
          </w:p>
        </w:tc>
        <w:tc>
          <w:tcPr>
            <w:tcW w:w="980" w:type="dxa"/>
            <w:vAlign w:val="bottom"/>
            <w:tcBorders>
              <w:bottom w:val="single" w:sz="8" w:color="auto"/>
            </w:tcBorders>
            <w:shd w:val="clear" w:color="auto" w:fill="D4F1F5"/>
          </w:tcPr>
          <w:p>
            <w:pPr>
              <w:jc w:val="right"/>
              <w:ind w:right="8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auto"/>
            </w:tcBorders>
            <w:shd w:val="clear" w:color="auto" w:fill="D4F1F5"/>
          </w:tcPr>
          <w:p>
            <w:pPr>
              <w:spacing w:after="0"/>
              <w:rPr>
                <w:sz w:val="17"/>
                <w:szCs w:val="17"/>
                <w:color w:val="auto"/>
              </w:rPr>
            </w:pPr>
          </w:p>
        </w:tc>
        <w:tc>
          <w:tcPr>
            <w:tcW w:w="1040" w:type="dxa"/>
            <w:vAlign w:val="bottom"/>
            <w:tcBorders>
              <w:bottom w:val="single" w:sz="8" w:color="auto"/>
            </w:tcBorders>
            <w:shd w:val="clear" w:color="auto" w:fill="D4F1F5"/>
          </w:tcPr>
          <w:p>
            <w:pPr>
              <w:jc w:val="right"/>
              <w:ind w:right="48"/>
              <w:spacing w:after="0"/>
              <w:rPr>
                <w:sz w:val="20"/>
                <w:szCs w:val="20"/>
                <w:color w:val="auto"/>
              </w:rPr>
            </w:pPr>
            <w:r>
              <w:rPr>
                <w:rFonts w:ascii="Arial" w:cs="Arial" w:eastAsia="Arial" w:hAnsi="Arial"/>
                <w:sz w:val="14"/>
                <w:szCs w:val="14"/>
                <w:color w:val="auto"/>
              </w:rPr>
              <w:t>68</w:t>
            </w:r>
          </w:p>
        </w:tc>
        <w:tc>
          <w:tcPr>
            <w:tcW w:w="160" w:type="dxa"/>
            <w:vAlign w:val="bottom"/>
            <w:tcBorders>
              <w:bottom w:val="single" w:sz="8" w:color="auto"/>
            </w:tcBorders>
            <w:shd w:val="clear" w:color="auto" w:fill="D4F1F5"/>
          </w:tcPr>
          <w:p>
            <w:pPr>
              <w:spacing w:after="0"/>
              <w:rPr>
                <w:sz w:val="17"/>
                <w:szCs w:val="17"/>
                <w:color w:val="auto"/>
              </w:rPr>
            </w:pPr>
          </w:p>
        </w:tc>
        <w:tc>
          <w:tcPr>
            <w:tcW w:w="1020" w:type="dxa"/>
            <w:vAlign w:val="bottom"/>
            <w:tcBorders>
              <w:bottom w:val="single" w:sz="8" w:color="auto"/>
            </w:tcBorders>
            <w:shd w:val="clear" w:color="auto" w:fill="D4F1F5"/>
          </w:tcPr>
          <w:p>
            <w:pPr>
              <w:spacing w:after="0"/>
              <w:rPr>
                <w:sz w:val="17"/>
                <w:szCs w:val="17"/>
                <w:color w:val="auto"/>
              </w:rPr>
            </w:pPr>
          </w:p>
        </w:tc>
        <w:tc>
          <w:tcPr>
            <w:tcW w:w="260" w:type="dxa"/>
            <w:vAlign w:val="bottom"/>
            <w:tcBorders>
              <w:bottom w:val="single" w:sz="8" w:color="auto"/>
            </w:tcBorders>
            <w:shd w:val="clear" w:color="auto" w:fill="D4F1F5"/>
          </w:tcPr>
          <w:p>
            <w:pPr>
              <w:spacing w:after="0"/>
              <w:rPr>
                <w:sz w:val="17"/>
                <w:szCs w:val="17"/>
                <w:color w:val="auto"/>
              </w:rPr>
            </w:pPr>
          </w:p>
        </w:tc>
        <w:tc>
          <w:tcPr>
            <w:tcW w:w="940" w:type="dxa"/>
            <w:vAlign w:val="bottom"/>
            <w:tcBorders>
              <w:bottom w:val="single" w:sz="8" w:color="auto"/>
            </w:tcBorders>
            <w:shd w:val="clear" w:color="auto" w:fill="D4F1F5"/>
          </w:tcPr>
          <w:p>
            <w:pPr>
              <w:jc w:val="right"/>
              <w:ind w:right="8"/>
              <w:spacing w:after="0"/>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192"/>
        </w:trPr>
        <w:tc>
          <w:tcPr>
            <w:tcW w:w="4080" w:type="dxa"/>
            <w:vAlign w:val="bottom"/>
          </w:tcPr>
          <w:p>
            <w:pPr>
              <w:ind w:left="20"/>
              <w:spacing w:after="0"/>
              <w:rPr>
                <w:sz w:val="20"/>
                <w:szCs w:val="20"/>
                <w:color w:val="auto"/>
              </w:rPr>
            </w:pPr>
            <w:r>
              <w:rPr>
                <w:rFonts w:ascii="Arial" w:cs="Arial" w:eastAsia="Arial" w:hAnsi="Arial"/>
                <w:sz w:val="14"/>
                <w:szCs w:val="14"/>
                <w:color w:val="auto"/>
              </w:rPr>
              <w:t>Net amounts presented on the balance sheet</w:t>
            </w:r>
          </w:p>
        </w:tc>
        <w:tc>
          <w:tcPr>
            <w:tcW w:w="820" w:type="dxa"/>
            <w:vAlign w:val="bottom"/>
          </w:tcPr>
          <w:p>
            <w:pPr>
              <w:spacing w:after="0"/>
              <w:rPr>
                <w:sz w:val="16"/>
                <w:szCs w:val="16"/>
                <w:color w:val="auto"/>
              </w:rPr>
            </w:pPr>
          </w:p>
        </w:tc>
        <w:tc>
          <w:tcPr>
            <w:tcW w:w="320" w:type="dxa"/>
            <w:vAlign w:val="bottom"/>
          </w:tcPr>
          <w:p>
            <w:pPr>
              <w:jc w:val="right"/>
              <w:ind w:right="28"/>
              <w:spacing w:after="0"/>
              <w:rPr>
                <w:sz w:val="20"/>
                <w:szCs w:val="20"/>
                <w:color w:val="auto"/>
              </w:rPr>
            </w:pPr>
            <w:r>
              <w:rPr>
                <w:rFonts w:ascii="Arial" w:cs="Arial" w:eastAsia="Arial" w:hAnsi="Arial"/>
                <w:sz w:val="14"/>
                <w:szCs w:val="14"/>
                <w:color w:val="auto"/>
              </w:rPr>
              <w:t>21</w:t>
            </w:r>
          </w:p>
        </w:tc>
        <w:tc>
          <w:tcPr>
            <w:tcW w:w="4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271</w:t>
            </w:r>
          </w:p>
        </w:tc>
        <w:tc>
          <w:tcPr>
            <w:tcW w:w="320" w:type="dxa"/>
            <w:vAlign w:val="bottom"/>
          </w:tcPr>
          <w:p>
            <w:pPr>
              <w:spacing w:after="0"/>
              <w:rPr>
                <w:sz w:val="16"/>
                <w:szCs w:val="16"/>
                <w:color w:val="auto"/>
              </w:rPr>
            </w:pPr>
          </w:p>
        </w:tc>
        <w:tc>
          <w:tcPr>
            <w:tcW w:w="980" w:type="dxa"/>
            <w:vAlign w:val="bottom"/>
          </w:tcPr>
          <w:p>
            <w:pPr>
              <w:jc w:val="right"/>
              <w:ind w:right="88"/>
              <w:spacing w:after="0"/>
              <w:rPr>
                <w:sz w:val="20"/>
                <w:szCs w:val="20"/>
                <w:color w:val="auto"/>
              </w:rPr>
            </w:pPr>
            <w:r>
              <w:rPr>
                <w:rFonts w:ascii="Arial" w:cs="Arial" w:eastAsia="Arial" w:hAnsi="Arial"/>
                <w:sz w:val="14"/>
                <w:szCs w:val="14"/>
                <w:color w:val="auto"/>
              </w:rPr>
              <w:t>9</w:t>
            </w:r>
          </w:p>
        </w:tc>
        <w:tc>
          <w:tcPr>
            <w:tcW w:w="120" w:type="dxa"/>
            <w:vAlign w:val="bottom"/>
          </w:tcPr>
          <w:p>
            <w:pPr>
              <w:spacing w:after="0"/>
              <w:rPr>
                <w:sz w:val="16"/>
                <w:szCs w:val="16"/>
                <w:color w:val="auto"/>
              </w:rPr>
            </w:pPr>
          </w:p>
        </w:tc>
        <w:tc>
          <w:tcPr>
            <w:tcW w:w="1040" w:type="dxa"/>
            <w:vAlign w:val="bottom"/>
          </w:tcPr>
          <w:p>
            <w:pPr>
              <w:jc w:val="right"/>
              <w:ind w:right="8"/>
              <w:spacing w:after="0"/>
              <w:rPr>
                <w:sz w:val="20"/>
                <w:szCs w:val="20"/>
                <w:color w:val="auto"/>
              </w:rPr>
            </w:pPr>
            <w:r>
              <w:rPr>
                <w:rFonts w:ascii="Arial" w:cs="Arial" w:eastAsia="Arial" w:hAnsi="Arial"/>
                <w:sz w:val="14"/>
                <w:szCs w:val="14"/>
                <w:color w:val="auto"/>
              </w:rPr>
              <w:t>(62)</w:t>
            </w:r>
          </w:p>
        </w:tc>
        <w:tc>
          <w:tcPr>
            <w:tcW w:w="16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(69)</w:t>
            </w:r>
          </w:p>
        </w:tc>
        <w:tc>
          <w:tcPr>
            <w:tcW w:w="2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157"/>
        </w:trPr>
        <w:tc>
          <w:tcPr>
            <w:tcW w:w="4080" w:type="dxa"/>
            <w:vAlign w:val="bottom"/>
            <w:shd w:val="clear" w:color="auto" w:fill="D4F1F5"/>
          </w:tcPr>
          <w:p>
            <w:pPr>
              <w:ind w:left="220"/>
              <w:spacing w:after="0" w:line="157" w:lineRule="exact"/>
              <w:rPr>
                <w:sz w:val="20"/>
                <w:szCs w:val="20"/>
                <w:color w:val="auto"/>
              </w:rPr>
            </w:pPr>
            <w:r>
              <w:rPr>
                <w:rFonts w:ascii="Arial" w:cs="Arial" w:eastAsia="Arial" w:hAnsi="Arial"/>
                <w:sz w:val="14"/>
                <w:szCs w:val="14"/>
                <w:color w:val="auto"/>
              </w:rPr>
              <w:t>Additional cash collateral for commodity contracts</w:t>
            </w:r>
          </w:p>
        </w:tc>
        <w:tc>
          <w:tcPr>
            <w:tcW w:w="820" w:type="dxa"/>
            <w:vAlign w:val="bottom"/>
            <w:shd w:val="clear" w:color="auto" w:fill="D4F1F5"/>
          </w:tcPr>
          <w:p>
            <w:pPr>
              <w:spacing w:after="0"/>
              <w:rPr>
                <w:sz w:val="13"/>
                <w:szCs w:val="13"/>
                <w:color w:val="auto"/>
              </w:rPr>
            </w:pPr>
          </w:p>
        </w:tc>
        <w:tc>
          <w:tcPr>
            <w:tcW w:w="320" w:type="dxa"/>
            <w:vAlign w:val="bottom"/>
            <w:shd w:val="clear" w:color="auto" w:fill="D4F1F5"/>
          </w:tcPr>
          <w:p>
            <w:pPr>
              <w:spacing w:after="0"/>
              <w:rPr>
                <w:sz w:val="13"/>
                <w:szCs w:val="13"/>
                <w:color w:val="auto"/>
              </w:rPr>
            </w:pPr>
          </w:p>
        </w:tc>
        <w:tc>
          <w:tcPr>
            <w:tcW w:w="480" w:type="dxa"/>
            <w:vAlign w:val="bottom"/>
            <w:shd w:val="clear" w:color="auto" w:fill="D4F1F5"/>
          </w:tcPr>
          <w:p>
            <w:pPr>
              <w:spacing w:after="0"/>
              <w:rPr>
                <w:sz w:val="13"/>
                <w:szCs w:val="13"/>
                <w:color w:val="auto"/>
              </w:rPr>
            </w:pPr>
          </w:p>
        </w:tc>
        <w:tc>
          <w:tcPr>
            <w:tcW w:w="680" w:type="dxa"/>
            <w:vAlign w:val="bottom"/>
            <w:vMerge w:val="restart"/>
            <w:shd w:val="clear" w:color="auto" w:fill="D4F1F5"/>
          </w:tcPr>
          <w:p>
            <w:pPr>
              <w:jc w:val="right"/>
              <w:spacing w:after="0"/>
              <w:rPr>
                <w:sz w:val="20"/>
                <w:szCs w:val="20"/>
                <w:color w:val="auto"/>
              </w:rPr>
            </w:pPr>
            <w:r>
              <w:rPr>
                <w:rFonts w:ascii="Arial" w:cs="Arial" w:eastAsia="Arial" w:hAnsi="Arial"/>
                <w:sz w:val="14"/>
                <w:szCs w:val="14"/>
                <w:color w:val="auto"/>
              </w:rPr>
              <w:t>38</w:t>
            </w:r>
          </w:p>
        </w:tc>
        <w:tc>
          <w:tcPr>
            <w:tcW w:w="320" w:type="dxa"/>
            <w:vAlign w:val="bottom"/>
            <w:shd w:val="clear" w:color="auto" w:fill="D4F1F5"/>
          </w:tcPr>
          <w:p>
            <w:pPr>
              <w:spacing w:after="0"/>
              <w:rPr>
                <w:sz w:val="13"/>
                <w:szCs w:val="13"/>
                <w:color w:val="auto"/>
              </w:rPr>
            </w:pPr>
          </w:p>
        </w:tc>
        <w:tc>
          <w:tcPr>
            <w:tcW w:w="980" w:type="dxa"/>
            <w:vAlign w:val="bottom"/>
            <w:shd w:val="clear" w:color="auto" w:fill="D4F1F5"/>
          </w:tcPr>
          <w:p>
            <w:pPr>
              <w:spacing w:after="0"/>
              <w:rPr>
                <w:sz w:val="13"/>
                <w:szCs w:val="13"/>
                <w:color w:val="auto"/>
              </w:rPr>
            </w:pPr>
          </w:p>
        </w:tc>
        <w:tc>
          <w:tcPr>
            <w:tcW w:w="120" w:type="dxa"/>
            <w:vAlign w:val="bottom"/>
            <w:shd w:val="clear" w:color="auto" w:fill="D4F1F5"/>
          </w:tcPr>
          <w:p>
            <w:pPr>
              <w:spacing w:after="0"/>
              <w:rPr>
                <w:sz w:val="13"/>
                <w:szCs w:val="13"/>
                <w:color w:val="auto"/>
              </w:rPr>
            </w:pPr>
          </w:p>
        </w:tc>
        <w:tc>
          <w:tcPr>
            <w:tcW w:w="1040" w:type="dxa"/>
            <w:vAlign w:val="bottom"/>
            <w:shd w:val="clear" w:color="auto" w:fill="D4F1F5"/>
          </w:tcPr>
          <w:p>
            <w:pPr>
              <w:spacing w:after="0"/>
              <w:rPr>
                <w:sz w:val="13"/>
                <w:szCs w:val="13"/>
                <w:color w:val="auto"/>
              </w:rPr>
            </w:pPr>
          </w:p>
        </w:tc>
        <w:tc>
          <w:tcPr>
            <w:tcW w:w="160" w:type="dxa"/>
            <w:vAlign w:val="bottom"/>
            <w:shd w:val="clear" w:color="auto" w:fill="D4F1F5"/>
          </w:tcPr>
          <w:p>
            <w:pPr>
              <w:spacing w:after="0"/>
              <w:rPr>
                <w:sz w:val="13"/>
                <w:szCs w:val="13"/>
                <w:color w:val="auto"/>
              </w:rPr>
            </w:pPr>
          </w:p>
        </w:tc>
        <w:tc>
          <w:tcPr>
            <w:tcW w:w="1020" w:type="dxa"/>
            <w:vAlign w:val="bottom"/>
            <w:vMerge w:val="restart"/>
            <w:shd w:val="clear" w:color="auto" w:fill="D4F1F5"/>
          </w:tcPr>
          <w:p>
            <w:pPr>
              <w:jc w:val="right"/>
              <w:ind w:right="8"/>
              <w:spacing w:after="0"/>
              <w:rPr>
                <w:sz w:val="20"/>
                <w:szCs w:val="20"/>
                <w:color w:val="auto"/>
              </w:rPr>
            </w:pPr>
            <w:r>
              <w:rPr>
                <w:rFonts w:ascii="Arial" w:cs="Arial" w:eastAsia="Arial" w:hAnsi="Arial"/>
                <w:sz w:val="14"/>
                <w:szCs w:val="14"/>
                <w:color w:val="auto"/>
              </w:rPr>
              <w:t>—</w:t>
            </w:r>
          </w:p>
        </w:tc>
        <w:tc>
          <w:tcPr>
            <w:tcW w:w="260" w:type="dxa"/>
            <w:vAlign w:val="bottom"/>
            <w:shd w:val="clear" w:color="auto" w:fill="D4F1F5"/>
          </w:tcPr>
          <w:p>
            <w:pPr>
              <w:spacing w:after="0"/>
              <w:rPr>
                <w:sz w:val="13"/>
                <w:szCs w:val="13"/>
                <w:color w:val="auto"/>
              </w:rPr>
            </w:pPr>
          </w:p>
        </w:tc>
        <w:tc>
          <w:tcPr>
            <w:tcW w:w="940" w:type="dxa"/>
            <w:vAlign w:val="bottom"/>
            <w:shd w:val="clear" w:color="auto" w:fill="D4F1F5"/>
          </w:tcPr>
          <w:p>
            <w:pPr>
              <w:spacing w:after="0"/>
              <w:rPr>
                <w:sz w:val="13"/>
                <w:szCs w:val="13"/>
                <w:color w:val="auto"/>
              </w:rPr>
            </w:pPr>
          </w:p>
        </w:tc>
        <w:tc>
          <w:tcPr>
            <w:tcW w:w="0" w:type="dxa"/>
            <w:vAlign w:val="bottom"/>
          </w:tcPr>
          <w:p>
            <w:pPr>
              <w:spacing w:after="0"/>
              <w:rPr>
                <w:sz w:val="1"/>
                <w:szCs w:val="1"/>
                <w:color w:val="auto"/>
              </w:rPr>
            </w:pPr>
          </w:p>
        </w:tc>
      </w:tr>
      <w:tr>
        <w:trPr>
          <w:trHeight w:val="185"/>
        </w:trPr>
        <w:tc>
          <w:tcPr>
            <w:tcW w:w="4080" w:type="dxa"/>
            <w:vAlign w:val="bottom"/>
            <w:shd w:val="clear" w:color="auto" w:fill="D4F1F5"/>
          </w:tcPr>
          <w:p>
            <w:pPr>
              <w:ind w:left="480"/>
              <w:spacing w:after="0"/>
              <w:rPr>
                <w:sz w:val="20"/>
                <w:szCs w:val="20"/>
                <w:color w:val="auto"/>
              </w:rPr>
            </w:pPr>
            <w:r>
              <w:rPr>
                <w:rFonts w:ascii="Arial" w:cs="Arial" w:eastAsia="Arial" w:hAnsi="Arial"/>
                <w:sz w:val="14"/>
                <w:szCs w:val="14"/>
                <w:color w:val="auto"/>
              </w:rPr>
              <w:t>not subject to rate recovery</w:t>
            </w:r>
          </w:p>
        </w:tc>
        <w:tc>
          <w:tcPr>
            <w:tcW w:w="820" w:type="dxa"/>
            <w:vAlign w:val="bottom"/>
            <w:shd w:val="clear" w:color="auto" w:fill="D4F1F5"/>
          </w:tcPr>
          <w:p>
            <w:pPr>
              <w:spacing w:after="0"/>
              <w:rPr>
                <w:sz w:val="16"/>
                <w:szCs w:val="16"/>
                <w:color w:val="auto"/>
              </w:rPr>
            </w:pPr>
          </w:p>
        </w:tc>
        <w:tc>
          <w:tcPr>
            <w:tcW w:w="320" w:type="dxa"/>
            <w:vAlign w:val="bottom"/>
            <w:shd w:val="clear" w:color="auto" w:fill="D4F1F5"/>
          </w:tcPr>
          <w:p>
            <w:pPr>
              <w:spacing w:after="0"/>
              <w:rPr>
                <w:sz w:val="16"/>
                <w:szCs w:val="16"/>
                <w:color w:val="auto"/>
              </w:rPr>
            </w:pPr>
          </w:p>
        </w:tc>
        <w:tc>
          <w:tcPr>
            <w:tcW w:w="480" w:type="dxa"/>
            <w:vAlign w:val="bottom"/>
            <w:shd w:val="clear" w:color="auto" w:fill="D4F1F5"/>
          </w:tcPr>
          <w:p>
            <w:pPr>
              <w:spacing w:after="0"/>
              <w:rPr>
                <w:sz w:val="16"/>
                <w:szCs w:val="16"/>
                <w:color w:val="auto"/>
              </w:rPr>
            </w:pPr>
          </w:p>
        </w:tc>
        <w:tc>
          <w:tcPr>
            <w:tcW w:w="680" w:type="dxa"/>
            <w:vAlign w:val="bottom"/>
            <w:vMerge w:val="continue"/>
            <w:shd w:val="clear" w:color="auto" w:fill="D4F1F5"/>
          </w:tcPr>
          <w:p>
            <w:pPr>
              <w:spacing w:after="0"/>
              <w:rPr>
                <w:sz w:val="16"/>
                <w:szCs w:val="16"/>
                <w:color w:val="auto"/>
              </w:rPr>
            </w:pPr>
          </w:p>
        </w:tc>
        <w:tc>
          <w:tcPr>
            <w:tcW w:w="320" w:type="dxa"/>
            <w:vAlign w:val="bottom"/>
            <w:shd w:val="clear" w:color="auto" w:fill="D4F1F5"/>
          </w:tcPr>
          <w:p>
            <w:pPr>
              <w:spacing w:after="0"/>
              <w:rPr>
                <w:sz w:val="16"/>
                <w:szCs w:val="16"/>
                <w:color w:val="auto"/>
              </w:rPr>
            </w:pPr>
          </w:p>
        </w:tc>
        <w:tc>
          <w:tcPr>
            <w:tcW w:w="980" w:type="dxa"/>
            <w:vAlign w:val="bottom"/>
            <w:shd w:val="clear" w:color="auto" w:fill="D4F1F5"/>
          </w:tcPr>
          <w:p>
            <w:pPr>
              <w:spacing w:after="0"/>
              <w:rPr>
                <w:sz w:val="16"/>
                <w:szCs w:val="16"/>
                <w:color w:val="auto"/>
              </w:rPr>
            </w:pPr>
          </w:p>
        </w:tc>
        <w:tc>
          <w:tcPr>
            <w:tcW w:w="120" w:type="dxa"/>
            <w:vAlign w:val="bottom"/>
            <w:shd w:val="clear" w:color="auto" w:fill="D4F1F5"/>
          </w:tcPr>
          <w:p>
            <w:pPr>
              <w:spacing w:after="0"/>
              <w:rPr>
                <w:sz w:val="16"/>
                <w:szCs w:val="16"/>
                <w:color w:val="auto"/>
              </w:rPr>
            </w:pPr>
          </w:p>
        </w:tc>
        <w:tc>
          <w:tcPr>
            <w:tcW w:w="1040" w:type="dxa"/>
            <w:vAlign w:val="bottom"/>
            <w:shd w:val="clear" w:color="auto" w:fill="D4F1F5"/>
          </w:tcPr>
          <w:p>
            <w:pPr>
              <w:spacing w:after="0"/>
              <w:rPr>
                <w:sz w:val="16"/>
                <w:szCs w:val="16"/>
                <w:color w:val="auto"/>
              </w:rPr>
            </w:pPr>
          </w:p>
        </w:tc>
        <w:tc>
          <w:tcPr>
            <w:tcW w:w="160" w:type="dxa"/>
            <w:vAlign w:val="bottom"/>
            <w:shd w:val="clear" w:color="auto" w:fill="D4F1F5"/>
          </w:tcPr>
          <w:p>
            <w:pPr>
              <w:spacing w:after="0"/>
              <w:rPr>
                <w:sz w:val="16"/>
                <w:szCs w:val="16"/>
                <w:color w:val="auto"/>
              </w:rPr>
            </w:pPr>
          </w:p>
        </w:tc>
        <w:tc>
          <w:tcPr>
            <w:tcW w:w="1020" w:type="dxa"/>
            <w:vAlign w:val="bottom"/>
            <w:vMerge w:val="continue"/>
            <w:shd w:val="clear" w:color="auto" w:fill="D4F1F5"/>
          </w:tcPr>
          <w:p>
            <w:pPr>
              <w:spacing w:after="0"/>
              <w:rPr>
                <w:sz w:val="16"/>
                <w:szCs w:val="16"/>
                <w:color w:val="auto"/>
              </w:rPr>
            </w:pPr>
          </w:p>
        </w:tc>
        <w:tc>
          <w:tcPr>
            <w:tcW w:w="260" w:type="dxa"/>
            <w:vAlign w:val="bottom"/>
            <w:shd w:val="clear" w:color="auto" w:fill="D4F1F5"/>
          </w:tcPr>
          <w:p>
            <w:pPr>
              <w:spacing w:after="0"/>
              <w:rPr>
                <w:sz w:val="16"/>
                <w:szCs w:val="16"/>
                <w:color w:val="auto"/>
              </w:rPr>
            </w:pPr>
          </w:p>
        </w:tc>
        <w:tc>
          <w:tcPr>
            <w:tcW w:w="940" w:type="dxa"/>
            <w:vAlign w:val="bottom"/>
            <w:shd w:val="clear" w:color="auto" w:fill="D4F1F5"/>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4080" w:type="dxa"/>
            <w:vAlign w:val="bottom"/>
          </w:tcPr>
          <w:p>
            <w:pPr>
              <w:ind w:left="220"/>
              <w:spacing w:after="0" w:line="153" w:lineRule="exact"/>
              <w:rPr>
                <w:sz w:val="20"/>
                <w:szCs w:val="20"/>
                <w:color w:val="auto"/>
              </w:rPr>
            </w:pPr>
            <w:r>
              <w:rPr>
                <w:rFonts w:ascii="Arial" w:cs="Arial" w:eastAsia="Arial" w:hAnsi="Arial"/>
                <w:sz w:val="14"/>
                <w:szCs w:val="14"/>
                <w:color w:val="auto"/>
              </w:rPr>
              <w:t>Additional cash collateral for commodity contracts</w:t>
            </w:r>
          </w:p>
        </w:tc>
        <w:tc>
          <w:tcPr>
            <w:tcW w:w="820" w:type="dxa"/>
            <w:vAlign w:val="bottom"/>
          </w:tcPr>
          <w:p>
            <w:pPr>
              <w:spacing w:after="0"/>
              <w:rPr>
                <w:sz w:val="13"/>
                <w:szCs w:val="13"/>
                <w:color w:val="auto"/>
              </w:rPr>
            </w:pPr>
          </w:p>
        </w:tc>
        <w:tc>
          <w:tcPr>
            <w:tcW w:w="320" w:type="dxa"/>
            <w:vAlign w:val="bottom"/>
            <w:vMerge w:val="restart"/>
          </w:tcPr>
          <w:p>
            <w:pPr>
              <w:jc w:val="right"/>
              <w:ind w:right="28"/>
              <w:spacing w:after="0"/>
              <w:rPr>
                <w:sz w:val="20"/>
                <w:szCs w:val="20"/>
                <w:color w:val="auto"/>
              </w:rPr>
            </w:pPr>
            <w:r>
              <w:rPr>
                <w:rFonts w:ascii="Arial" w:cs="Arial" w:eastAsia="Arial" w:hAnsi="Arial"/>
                <w:sz w:val="14"/>
                <w:szCs w:val="14"/>
                <w:color w:val="auto"/>
              </w:rPr>
              <w:t>23</w:t>
            </w:r>
          </w:p>
        </w:tc>
        <w:tc>
          <w:tcPr>
            <w:tcW w:w="4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980" w:type="dxa"/>
            <w:vAlign w:val="bottom"/>
            <w:vMerge w:val="restart"/>
          </w:tcPr>
          <w:p>
            <w:pPr>
              <w:jc w:val="right"/>
              <w:ind w:right="8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1040" w:type="dxa"/>
            <w:vAlign w:val="bottom"/>
            <w:vMerge w:val="restart"/>
          </w:tcPr>
          <w:p>
            <w:pPr>
              <w:jc w:val="right"/>
              <w:ind w:right="48"/>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40" w:type="dxa"/>
            <w:vAlign w:val="bottom"/>
            <w:vMerge w:val="restart"/>
          </w:tcPr>
          <w:p>
            <w:pPr>
              <w:jc w:val="right"/>
              <w:ind w:right="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5"/>
        </w:trPr>
        <w:tc>
          <w:tcPr>
            <w:tcW w:w="4080" w:type="dxa"/>
            <w:vAlign w:val="bottom"/>
            <w:tcBorders>
              <w:bottom w:val="single" w:sz="8" w:color="D4F1F5"/>
            </w:tcBorders>
          </w:tcPr>
          <w:p>
            <w:pPr>
              <w:ind w:left="480"/>
              <w:spacing w:after="0"/>
              <w:rPr>
                <w:sz w:val="20"/>
                <w:szCs w:val="20"/>
                <w:color w:val="auto"/>
              </w:rPr>
            </w:pPr>
            <w:r>
              <w:rPr>
                <w:rFonts w:ascii="Arial" w:cs="Arial" w:eastAsia="Arial" w:hAnsi="Arial"/>
                <w:sz w:val="14"/>
                <w:szCs w:val="14"/>
                <w:color w:val="auto"/>
              </w:rPr>
              <w:t>subject to rate recovery</w:t>
            </w:r>
          </w:p>
        </w:tc>
        <w:tc>
          <w:tcPr>
            <w:tcW w:w="82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vMerge w:val="continue"/>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4080" w:type="dxa"/>
            <w:vAlign w:val="bottom"/>
            <w:tcBorders>
              <w:bottom w:val="single" w:sz="8" w:color="auto"/>
            </w:tcBorders>
            <w:shd w:val="clear" w:color="auto" w:fill="D4F1F5"/>
          </w:tcPr>
          <w:p>
            <w:pPr>
              <w:ind w:left="220"/>
              <w:spacing w:after="0"/>
              <w:rPr>
                <w:sz w:val="20"/>
                <w:szCs w:val="20"/>
                <w:color w:val="auto"/>
              </w:rPr>
            </w:pPr>
            <w:r>
              <w:rPr>
                <w:rFonts w:ascii="Arial" w:cs="Arial" w:eastAsia="Arial" w:hAnsi="Arial"/>
                <w:sz w:val="14"/>
                <w:szCs w:val="14"/>
                <w:color w:val="auto"/>
              </w:rPr>
              <w:t>Total</w:t>
            </w:r>
          </w:p>
        </w:tc>
        <w:tc>
          <w:tcPr>
            <w:tcW w:w="820" w:type="dxa"/>
            <w:vAlign w:val="bottom"/>
            <w:tcBorders>
              <w:bottom w:val="single" w:sz="8" w:color="auto"/>
            </w:tcBorders>
            <w:shd w:val="clear" w:color="auto" w:fill="D4F1F5"/>
          </w:tcPr>
          <w:p>
            <w:pPr>
              <w:jc w:val="right"/>
              <w:ind w:right="668"/>
              <w:spacing w:after="0"/>
              <w:rPr>
                <w:sz w:val="20"/>
                <w:szCs w:val="20"/>
                <w:color w:val="auto"/>
              </w:rPr>
            </w:pPr>
            <w:r>
              <w:rPr>
                <w:rFonts w:ascii="Arial" w:cs="Arial" w:eastAsia="Arial" w:hAnsi="Arial"/>
                <w:sz w:val="14"/>
                <w:szCs w:val="14"/>
                <w:color w:val="auto"/>
                <w:w w:val="76"/>
              </w:rPr>
              <w:t>$</w:t>
            </w:r>
          </w:p>
        </w:tc>
        <w:tc>
          <w:tcPr>
            <w:tcW w:w="320" w:type="dxa"/>
            <w:vAlign w:val="bottom"/>
            <w:tcBorders>
              <w:bottom w:val="single" w:sz="8" w:color="auto"/>
            </w:tcBorders>
            <w:shd w:val="clear" w:color="auto" w:fill="D4F1F5"/>
          </w:tcPr>
          <w:p>
            <w:pPr>
              <w:jc w:val="right"/>
              <w:ind w:right="28"/>
              <w:spacing w:after="0"/>
              <w:rPr>
                <w:sz w:val="20"/>
                <w:szCs w:val="20"/>
                <w:color w:val="auto"/>
              </w:rPr>
            </w:pPr>
            <w:r>
              <w:rPr>
                <w:rFonts w:ascii="Arial" w:cs="Arial" w:eastAsia="Arial" w:hAnsi="Arial"/>
                <w:sz w:val="14"/>
                <w:szCs w:val="14"/>
                <w:color w:val="auto"/>
              </w:rPr>
              <w:t>44</w:t>
            </w:r>
          </w:p>
        </w:tc>
        <w:tc>
          <w:tcPr>
            <w:tcW w:w="480" w:type="dxa"/>
            <w:vAlign w:val="bottom"/>
            <w:tcBorders>
              <w:bottom w:val="single" w:sz="8" w:color="auto"/>
            </w:tcBorders>
            <w:shd w:val="clear" w:color="auto" w:fill="D4F1F5"/>
          </w:tcPr>
          <w:p>
            <w:pPr>
              <w:jc w:val="right"/>
              <w:ind w:right="248"/>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shd w:val="clear" w:color="auto" w:fill="D4F1F5"/>
          </w:tcPr>
          <w:p>
            <w:pPr>
              <w:jc w:val="right"/>
              <w:spacing w:after="0"/>
              <w:rPr>
                <w:sz w:val="20"/>
                <w:szCs w:val="20"/>
                <w:color w:val="auto"/>
              </w:rPr>
            </w:pPr>
            <w:r>
              <w:rPr>
                <w:rFonts w:ascii="Arial" w:cs="Arial" w:eastAsia="Arial" w:hAnsi="Arial"/>
                <w:sz w:val="14"/>
                <w:szCs w:val="14"/>
                <w:color w:val="auto"/>
              </w:rPr>
              <w:t>309</w:t>
            </w:r>
          </w:p>
        </w:tc>
        <w:tc>
          <w:tcPr>
            <w:tcW w:w="320" w:type="dxa"/>
            <w:vAlign w:val="bottom"/>
            <w:tcBorders>
              <w:bottom w:val="single" w:sz="8" w:color="auto"/>
            </w:tcBorders>
            <w:shd w:val="clear" w:color="auto" w:fill="D4F1F5"/>
          </w:tcPr>
          <w:p>
            <w:pPr>
              <w:jc w:val="right"/>
              <w:ind w:right="4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shd w:val="clear" w:color="auto" w:fill="D4F1F5"/>
          </w:tcPr>
          <w:p>
            <w:pPr>
              <w:jc w:val="right"/>
              <w:ind w:right="88"/>
              <w:spacing w:after="0"/>
              <w:rPr>
                <w:sz w:val="20"/>
                <w:szCs w:val="20"/>
                <w:color w:val="auto"/>
              </w:rPr>
            </w:pPr>
            <w:r>
              <w:rPr>
                <w:rFonts w:ascii="Arial" w:cs="Arial" w:eastAsia="Arial" w:hAnsi="Arial"/>
                <w:sz w:val="14"/>
                <w:szCs w:val="14"/>
                <w:color w:val="auto"/>
              </w:rPr>
              <w:t>9</w:t>
            </w:r>
          </w:p>
        </w:tc>
        <w:tc>
          <w:tcPr>
            <w:tcW w:w="120" w:type="dxa"/>
            <w:vAlign w:val="bottom"/>
            <w:tcBorders>
              <w:bottom w:val="single" w:sz="8" w:color="auto"/>
            </w:tcBorders>
            <w:shd w:val="clear" w:color="auto" w:fill="D4F1F5"/>
          </w:tcPr>
          <w:p>
            <w:pPr>
              <w:jc w:val="right"/>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shd w:val="clear" w:color="auto" w:fill="D4F1F5"/>
          </w:tcPr>
          <w:p>
            <w:pPr>
              <w:jc w:val="right"/>
              <w:ind w:right="8"/>
              <w:spacing w:after="0"/>
              <w:rPr>
                <w:sz w:val="20"/>
                <w:szCs w:val="20"/>
                <w:color w:val="auto"/>
              </w:rPr>
            </w:pPr>
            <w:r>
              <w:rPr>
                <w:rFonts w:ascii="Arial" w:cs="Arial" w:eastAsia="Arial" w:hAnsi="Arial"/>
                <w:sz w:val="14"/>
                <w:szCs w:val="14"/>
                <w:color w:val="auto"/>
              </w:rPr>
              <w:t>(62)</w:t>
            </w:r>
          </w:p>
        </w:tc>
        <w:tc>
          <w:tcPr>
            <w:tcW w:w="160" w:type="dxa"/>
            <w:vAlign w:val="bottom"/>
            <w:tcBorders>
              <w:bottom w:val="single" w:sz="8" w:color="auto"/>
            </w:tcBorders>
            <w:shd w:val="clear" w:color="auto" w:fill="D4F1F5"/>
          </w:tcPr>
          <w:p>
            <w:pPr>
              <w:jc w:val="right"/>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shd w:val="clear" w:color="auto" w:fill="D4F1F5"/>
          </w:tcPr>
          <w:p>
            <w:pPr>
              <w:jc w:val="right"/>
              <w:spacing w:after="0"/>
              <w:rPr>
                <w:sz w:val="20"/>
                <w:szCs w:val="20"/>
                <w:color w:val="auto"/>
              </w:rPr>
            </w:pPr>
            <w:r>
              <w:rPr>
                <w:rFonts w:ascii="Arial" w:cs="Arial" w:eastAsia="Arial" w:hAnsi="Arial"/>
                <w:sz w:val="14"/>
                <w:szCs w:val="14"/>
                <w:color w:val="auto"/>
              </w:rPr>
              <w:t>(69)</w:t>
            </w:r>
          </w:p>
        </w:tc>
        <w:tc>
          <w:tcPr>
            <w:tcW w:w="260" w:type="dxa"/>
            <w:vAlign w:val="bottom"/>
            <w:tcBorders>
              <w:bottom w:val="single" w:sz="8" w:color="auto"/>
            </w:tcBorders>
            <w:shd w:val="clear" w:color="auto" w:fill="D4F1F5"/>
          </w:tcPr>
          <w:p>
            <w:pPr>
              <w:jc w:val="right"/>
              <w:ind w:right="8"/>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shd w:val="clear" w:color="auto" w:fill="D4F1F5"/>
          </w:tcPr>
          <w:p>
            <w:pPr>
              <w:jc w:val="right"/>
              <w:spacing w:after="0"/>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201"/>
        </w:trPr>
        <w:tc>
          <w:tcPr>
            <w:tcW w:w="4080" w:type="dxa"/>
            <w:vAlign w:val="bottom"/>
          </w:tcPr>
          <w:p>
            <w:pPr>
              <w:ind w:left="20"/>
              <w:spacing w:after="0"/>
              <w:rPr>
                <w:sz w:val="20"/>
                <w:szCs w:val="20"/>
                <w:color w:val="auto"/>
              </w:rPr>
            </w:pPr>
            <w:r>
              <w:rPr>
                <w:rFonts w:ascii="Arial" w:cs="Arial" w:eastAsia="Arial" w:hAnsi="Arial"/>
                <w:sz w:val="14"/>
                <w:szCs w:val="14"/>
                <w:b w:val="1"/>
                <w:bCs w:val="1"/>
                <w:color w:val="auto"/>
              </w:rPr>
              <w:t>SDG&amp;E:</w:t>
            </w:r>
          </w:p>
        </w:tc>
        <w:tc>
          <w:tcPr>
            <w:tcW w:w="8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4080" w:type="dxa"/>
            <w:vAlign w:val="bottom"/>
            <w:shd w:val="clear" w:color="auto" w:fill="D4F1F5"/>
          </w:tcPr>
          <w:p>
            <w:pPr>
              <w:ind w:left="20"/>
              <w:spacing w:after="0"/>
              <w:rPr>
                <w:sz w:val="20"/>
                <w:szCs w:val="20"/>
                <w:color w:val="auto"/>
              </w:rPr>
            </w:pPr>
            <w:r>
              <w:rPr>
                <w:rFonts w:ascii="Arial" w:cs="Arial" w:eastAsia="Arial" w:hAnsi="Arial"/>
                <w:sz w:val="14"/>
                <w:szCs w:val="14"/>
                <w:color w:val="auto"/>
              </w:rPr>
              <w:t>Derivatives not designated as hedging instruments:</w:t>
            </w:r>
          </w:p>
        </w:tc>
        <w:tc>
          <w:tcPr>
            <w:tcW w:w="820" w:type="dxa"/>
            <w:vAlign w:val="bottom"/>
            <w:shd w:val="clear" w:color="auto" w:fill="D4F1F5"/>
          </w:tcPr>
          <w:p>
            <w:pPr>
              <w:spacing w:after="0"/>
              <w:rPr>
                <w:sz w:val="17"/>
                <w:szCs w:val="17"/>
                <w:color w:val="auto"/>
              </w:rPr>
            </w:pPr>
          </w:p>
        </w:tc>
        <w:tc>
          <w:tcPr>
            <w:tcW w:w="320" w:type="dxa"/>
            <w:vAlign w:val="bottom"/>
            <w:shd w:val="clear" w:color="auto" w:fill="D4F1F5"/>
          </w:tcPr>
          <w:p>
            <w:pPr>
              <w:spacing w:after="0"/>
              <w:rPr>
                <w:sz w:val="17"/>
                <w:szCs w:val="17"/>
                <w:color w:val="auto"/>
              </w:rPr>
            </w:pPr>
          </w:p>
        </w:tc>
        <w:tc>
          <w:tcPr>
            <w:tcW w:w="480" w:type="dxa"/>
            <w:vAlign w:val="bottom"/>
            <w:shd w:val="clear" w:color="auto" w:fill="D4F1F5"/>
          </w:tcPr>
          <w:p>
            <w:pPr>
              <w:spacing w:after="0"/>
              <w:rPr>
                <w:sz w:val="17"/>
                <w:szCs w:val="17"/>
                <w:color w:val="auto"/>
              </w:rPr>
            </w:pPr>
          </w:p>
        </w:tc>
        <w:tc>
          <w:tcPr>
            <w:tcW w:w="680" w:type="dxa"/>
            <w:vAlign w:val="bottom"/>
            <w:shd w:val="clear" w:color="auto" w:fill="D4F1F5"/>
          </w:tcPr>
          <w:p>
            <w:pPr>
              <w:spacing w:after="0"/>
              <w:rPr>
                <w:sz w:val="17"/>
                <w:szCs w:val="17"/>
                <w:color w:val="auto"/>
              </w:rPr>
            </w:pPr>
          </w:p>
        </w:tc>
        <w:tc>
          <w:tcPr>
            <w:tcW w:w="320" w:type="dxa"/>
            <w:vAlign w:val="bottom"/>
            <w:shd w:val="clear" w:color="auto" w:fill="D4F1F5"/>
          </w:tcPr>
          <w:p>
            <w:pPr>
              <w:spacing w:after="0"/>
              <w:rPr>
                <w:sz w:val="17"/>
                <w:szCs w:val="17"/>
                <w:color w:val="auto"/>
              </w:rPr>
            </w:pPr>
          </w:p>
        </w:tc>
        <w:tc>
          <w:tcPr>
            <w:tcW w:w="980" w:type="dxa"/>
            <w:vAlign w:val="bottom"/>
            <w:shd w:val="clear" w:color="auto" w:fill="D4F1F5"/>
          </w:tcPr>
          <w:p>
            <w:pPr>
              <w:spacing w:after="0"/>
              <w:rPr>
                <w:sz w:val="17"/>
                <w:szCs w:val="17"/>
                <w:color w:val="auto"/>
              </w:rPr>
            </w:pPr>
          </w:p>
        </w:tc>
        <w:tc>
          <w:tcPr>
            <w:tcW w:w="120" w:type="dxa"/>
            <w:vAlign w:val="bottom"/>
            <w:shd w:val="clear" w:color="auto" w:fill="D4F1F5"/>
          </w:tcPr>
          <w:p>
            <w:pPr>
              <w:spacing w:after="0"/>
              <w:rPr>
                <w:sz w:val="17"/>
                <w:szCs w:val="17"/>
                <w:color w:val="auto"/>
              </w:rPr>
            </w:pPr>
          </w:p>
        </w:tc>
        <w:tc>
          <w:tcPr>
            <w:tcW w:w="1040" w:type="dxa"/>
            <w:vAlign w:val="bottom"/>
            <w:shd w:val="clear" w:color="auto" w:fill="D4F1F5"/>
          </w:tcPr>
          <w:p>
            <w:pPr>
              <w:spacing w:after="0"/>
              <w:rPr>
                <w:sz w:val="17"/>
                <w:szCs w:val="17"/>
                <w:color w:val="auto"/>
              </w:rPr>
            </w:pPr>
          </w:p>
        </w:tc>
        <w:tc>
          <w:tcPr>
            <w:tcW w:w="160" w:type="dxa"/>
            <w:vAlign w:val="bottom"/>
            <w:shd w:val="clear" w:color="auto" w:fill="D4F1F5"/>
          </w:tcPr>
          <w:p>
            <w:pPr>
              <w:spacing w:after="0"/>
              <w:rPr>
                <w:sz w:val="17"/>
                <w:szCs w:val="17"/>
                <w:color w:val="auto"/>
              </w:rPr>
            </w:pPr>
          </w:p>
        </w:tc>
        <w:tc>
          <w:tcPr>
            <w:tcW w:w="1020" w:type="dxa"/>
            <w:vAlign w:val="bottom"/>
            <w:shd w:val="clear" w:color="auto" w:fill="D4F1F5"/>
          </w:tcPr>
          <w:p>
            <w:pPr>
              <w:spacing w:after="0"/>
              <w:rPr>
                <w:sz w:val="17"/>
                <w:szCs w:val="17"/>
                <w:color w:val="auto"/>
              </w:rPr>
            </w:pPr>
          </w:p>
        </w:tc>
        <w:tc>
          <w:tcPr>
            <w:tcW w:w="260" w:type="dxa"/>
            <w:vAlign w:val="bottom"/>
            <w:shd w:val="clear" w:color="auto" w:fill="D4F1F5"/>
          </w:tcPr>
          <w:p>
            <w:pPr>
              <w:spacing w:after="0"/>
              <w:rPr>
                <w:sz w:val="17"/>
                <w:szCs w:val="17"/>
                <w:color w:val="auto"/>
              </w:rPr>
            </w:pPr>
          </w:p>
        </w:tc>
        <w:tc>
          <w:tcPr>
            <w:tcW w:w="940" w:type="dxa"/>
            <w:vAlign w:val="bottom"/>
            <w:shd w:val="clear" w:color="auto" w:fill="D4F1F5"/>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4080" w:type="dxa"/>
            <w:vAlign w:val="bottom"/>
          </w:tcPr>
          <w:p>
            <w:pPr>
              <w:ind w:left="220"/>
              <w:spacing w:after="0"/>
              <w:rPr>
                <w:sz w:val="20"/>
                <w:szCs w:val="20"/>
                <w:color w:val="auto"/>
              </w:rPr>
            </w:pPr>
            <w:r>
              <w:rPr>
                <w:rFonts w:ascii="Arial" w:cs="Arial" w:eastAsia="Arial" w:hAnsi="Arial"/>
                <w:sz w:val="14"/>
                <w:szCs w:val="14"/>
                <w:color w:val="auto"/>
              </w:rPr>
              <w:t>Commodity contracts subject to rate recovery</w:t>
            </w:r>
          </w:p>
        </w:tc>
        <w:tc>
          <w:tcPr>
            <w:tcW w:w="820" w:type="dxa"/>
            <w:vAlign w:val="bottom"/>
          </w:tcPr>
          <w:p>
            <w:pPr>
              <w:jc w:val="right"/>
              <w:ind w:right="668"/>
              <w:spacing w:after="0"/>
              <w:rPr>
                <w:sz w:val="20"/>
                <w:szCs w:val="20"/>
                <w:color w:val="auto"/>
              </w:rPr>
            </w:pPr>
            <w:r>
              <w:rPr>
                <w:rFonts w:ascii="Arial" w:cs="Arial" w:eastAsia="Arial" w:hAnsi="Arial"/>
                <w:sz w:val="14"/>
                <w:szCs w:val="14"/>
                <w:color w:val="auto"/>
                <w:w w:val="76"/>
              </w:rPr>
              <w:t>$</w:t>
            </w:r>
          </w:p>
        </w:tc>
        <w:tc>
          <w:tcPr>
            <w:tcW w:w="320" w:type="dxa"/>
            <w:vAlign w:val="bottom"/>
          </w:tcPr>
          <w:p>
            <w:pPr>
              <w:jc w:val="right"/>
              <w:ind w:right="28"/>
              <w:spacing w:after="0"/>
              <w:rPr>
                <w:sz w:val="20"/>
                <w:szCs w:val="20"/>
                <w:color w:val="auto"/>
              </w:rPr>
            </w:pPr>
            <w:r>
              <w:rPr>
                <w:rFonts w:ascii="Arial" w:cs="Arial" w:eastAsia="Arial" w:hAnsi="Arial"/>
                <w:sz w:val="14"/>
                <w:szCs w:val="14"/>
                <w:color w:val="auto"/>
              </w:rPr>
              <w:t>4</w:t>
            </w:r>
          </w:p>
        </w:tc>
        <w:tc>
          <w:tcPr>
            <w:tcW w:w="4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88"/>
              <w:spacing w:after="0"/>
              <w:rPr>
                <w:sz w:val="20"/>
                <w:szCs w:val="20"/>
                <w:color w:val="auto"/>
              </w:rPr>
            </w:pPr>
            <w:r>
              <w:rPr>
                <w:rFonts w:ascii="Arial" w:cs="Arial" w:eastAsia="Arial" w:hAnsi="Arial"/>
                <w:sz w:val="14"/>
                <w:szCs w:val="14"/>
                <w:color w:val="auto"/>
              </w:rPr>
              <w:t>8</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8"/>
              <w:spacing w:after="0"/>
              <w:rPr>
                <w:sz w:val="20"/>
                <w:szCs w:val="20"/>
                <w:color w:val="auto"/>
              </w:rPr>
            </w:pPr>
            <w:r>
              <w:rPr>
                <w:rFonts w:ascii="Arial" w:cs="Arial" w:eastAsia="Arial" w:hAnsi="Arial"/>
                <w:sz w:val="14"/>
                <w:szCs w:val="14"/>
                <w:color w:val="auto"/>
              </w:rPr>
              <w:t>(12)</w:t>
            </w:r>
          </w:p>
        </w:tc>
        <w:tc>
          <w:tcPr>
            <w:tcW w:w="1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(5)</w:t>
            </w:r>
          </w:p>
        </w:tc>
        <w:tc>
          <w:tcPr>
            <w:tcW w:w="0" w:type="dxa"/>
            <w:vAlign w:val="bottom"/>
          </w:tcPr>
          <w:p>
            <w:pPr>
              <w:spacing w:after="0"/>
              <w:rPr>
                <w:sz w:val="1"/>
                <w:szCs w:val="1"/>
                <w:color w:val="auto"/>
              </w:rPr>
            </w:pPr>
          </w:p>
        </w:tc>
      </w:tr>
      <w:tr>
        <w:trPr>
          <w:trHeight w:val="207"/>
        </w:trPr>
        <w:tc>
          <w:tcPr>
            <w:tcW w:w="4080" w:type="dxa"/>
            <w:vAlign w:val="bottom"/>
            <w:shd w:val="clear" w:color="auto" w:fill="D4F1F5"/>
          </w:tcPr>
          <w:p>
            <w:pPr>
              <w:ind w:left="480"/>
              <w:spacing w:after="0"/>
              <w:rPr>
                <w:sz w:val="20"/>
                <w:szCs w:val="20"/>
                <w:color w:val="auto"/>
              </w:rPr>
            </w:pPr>
            <w:r>
              <w:rPr>
                <w:rFonts w:ascii="Arial" w:cs="Arial" w:eastAsia="Arial" w:hAnsi="Arial"/>
                <w:sz w:val="14"/>
                <w:szCs w:val="14"/>
                <w:color w:val="auto"/>
              </w:rPr>
              <w:t>Associated offsetting commodity contracts</w:t>
            </w:r>
          </w:p>
        </w:tc>
        <w:tc>
          <w:tcPr>
            <w:tcW w:w="820" w:type="dxa"/>
            <w:vAlign w:val="bottom"/>
            <w:shd w:val="clear" w:color="auto" w:fill="D4F1F5"/>
          </w:tcPr>
          <w:p>
            <w:pPr>
              <w:spacing w:after="0"/>
              <w:rPr>
                <w:sz w:val="17"/>
                <w:szCs w:val="17"/>
                <w:color w:val="auto"/>
              </w:rPr>
            </w:pPr>
          </w:p>
        </w:tc>
        <w:tc>
          <w:tcPr>
            <w:tcW w:w="320" w:type="dxa"/>
            <w:vAlign w:val="bottom"/>
            <w:shd w:val="clear" w:color="auto" w:fill="D4F1F5"/>
          </w:tcPr>
          <w:p>
            <w:pPr>
              <w:jc w:val="right"/>
              <w:ind w:right="28"/>
              <w:spacing w:after="0"/>
              <w:rPr>
                <w:sz w:val="20"/>
                <w:szCs w:val="20"/>
                <w:color w:val="auto"/>
              </w:rPr>
            </w:pPr>
            <w:r>
              <w:rPr>
                <w:rFonts w:ascii="Arial" w:cs="Arial" w:eastAsia="Arial" w:hAnsi="Arial"/>
                <w:sz w:val="14"/>
                <w:szCs w:val="14"/>
                <w:color w:val="auto"/>
              </w:rPr>
              <w:t>—</w:t>
            </w:r>
          </w:p>
        </w:tc>
        <w:tc>
          <w:tcPr>
            <w:tcW w:w="480" w:type="dxa"/>
            <w:vAlign w:val="bottom"/>
            <w:shd w:val="clear" w:color="auto" w:fill="D4F1F5"/>
          </w:tcPr>
          <w:p>
            <w:pPr>
              <w:spacing w:after="0"/>
              <w:rPr>
                <w:sz w:val="17"/>
                <w:szCs w:val="17"/>
                <w:color w:val="auto"/>
              </w:rPr>
            </w:pPr>
          </w:p>
        </w:tc>
        <w:tc>
          <w:tcPr>
            <w:tcW w:w="680" w:type="dxa"/>
            <w:vAlign w:val="bottom"/>
            <w:shd w:val="clear" w:color="auto" w:fill="D4F1F5"/>
          </w:tcPr>
          <w:p>
            <w:pPr>
              <w:spacing w:after="0"/>
              <w:rPr>
                <w:sz w:val="17"/>
                <w:szCs w:val="17"/>
                <w:color w:val="auto"/>
              </w:rPr>
            </w:pPr>
          </w:p>
        </w:tc>
        <w:tc>
          <w:tcPr>
            <w:tcW w:w="320" w:type="dxa"/>
            <w:vAlign w:val="bottom"/>
            <w:shd w:val="clear" w:color="auto" w:fill="D4F1F5"/>
          </w:tcPr>
          <w:p>
            <w:pPr>
              <w:spacing w:after="0"/>
              <w:rPr>
                <w:sz w:val="17"/>
                <w:szCs w:val="17"/>
                <w:color w:val="auto"/>
              </w:rPr>
            </w:pPr>
          </w:p>
        </w:tc>
        <w:tc>
          <w:tcPr>
            <w:tcW w:w="980" w:type="dxa"/>
            <w:vAlign w:val="bottom"/>
            <w:shd w:val="clear" w:color="auto" w:fill="D4F1F5"/>
          </w:tcPr>
          <w:p>
            <w:pPr>
              <w:jc w:val="right"/>
              <w:ind w:right="48"/>
              <w:spacing w:after="0"/>
              <w:rPr>
                <w:sz w:val="20"/>
                <w:szCs w:val="20"/>
                <w:color w:val="auto"/>
              </w:rPr>
            </w:pPr>
            <w:r>
              <w:rPr>
                <w:rFonts w:ascii="Arial" w:cs="Arial" w:eastAsia="Arial" w:hAnsi="Arial"/>
                <w:sz w:val="14"/>
                <w:szCs w:val="14"/>
                <w:color w:val="auto"/>
              </w:rPr>
              <w:t>(1)</w:t>
            </w:r>
          </w:p>
        </w:tc>
        <w:tc>
          <w:tcPr>
            <w:tcW w:w="120" w:type="dxa"/>
            <w:vAlign w:val="bottom"/>
            <w:shd w:val="clear" w:color="auto" w:fill="D4F1F5"/>
          </w:tcPr>
          <w:p>
            <w:pPr>
              <w:spacing w:after="0"/>
              <w:rPr>
                <w:sz w:val="17"/>
                <w:szCs w:val="17"/>
                <w:color w:val="auto"/>
              </w:rPr>
            </w:pPr>
          </w:p>
        </w:tc>
        <w:tc>
          <w:tcPr>
            <w:tcW w:w="1040" w:type="dxa"/>
            <w:vAlign w:val="bottom"/>
            <w:shd w:val="clear" w:color="auto" w:fill="D4F1F5"/>
          </w:tcPr>
          <w:p>
            <w:pPr>
              <w:jc w:val="right"/>
              <w:ind w:right="48"/>
              <w:spacing w:after="0"/>
              <w:rPr>
                <w:sz w:val="20"/>
                <w:szCs w:val="20"/>
                <w:color w:val="auto"/>
              </w:rPr>
            </w:pPr>
            <w:r>
              <w:rPr>
                <w:rFonts w:ascii="Arial" w:cs="Arial" w:eastAsia="Arial" w:hAnsi="Arial"/>
                <w:sz w:val="14"/>
                <w:szCs w:val="14"/>
                <w:color w:val="auto"/>
              </w:rPr>
              <w:t>—</w:t>
            </w:r>
          </w:p>
        </w:tc>
        <w:tc>
          <w:tcPr>
            <w:tcW w:w="160" w:type="dxa"/>
            <w:vAlign w:val="bottom"/>
            <w:shd w:val="clear" w:color="auto" w:fill="D4F1F5"/>
          </w:tcPr>
          <w:p>
            <w:pPr>
              <w:spacing w:after="0"/>
              <w:rPr>
                <w:sz w:val="17"/>
                <w:szCs w:val="17"/>
                <w:color w:val="auto"/>
              </w:rPr>
            </w:pPr>
          </w:p>
        </w:tc>
        <w:tc>
          <w:tcPr>
            <w:tcW w:w="1020" w:type="dxa"/>
            <w:vAlign w:val="bottom"/>
            <w:shd w:val="clear" w:color="auto" w:fill="D4F1F5"/>
          </w:tcPr>
          <w:p>
            <w:pPr>
              <w:spacing w:after="0"/>
              <w:rPr>
                <w:sz w:val="17"/>
                <w:szCs w:val="17"/>
                <w:color w:val="auto"/>
              </w:rPr>
            </w:pPr>
          </w:p>
        </w:tc>
        <w:tc>
          <w:tcPr>
            <w:tcW w:w="260" w:type="dxa"/>
            <w:vAlign w:val="bottom"/>
            <w:shd w:val="clear" w:color="auto" w:fill="D4F1F5"/>
          </w:tcPr>
          <w:p>
            <w:pPr>
              <w:spacing w:after="0"/>
              <w:rPr>
                <w:sz w:val="17"/>
                <w:szCs w:val="17"/>
                <w:color w:val="auto"/>
              </w:rPr>
            </w:pPr>
          </w:p>
        </w:tc>
        <w:tc>
          <w:tcPr>
            <w:tcW w:w="940" w:type="dxa"/>
            <w:vAlign w:val="bottom"/>
            <w:shd w:val="clear" w:color="auto" w:fill="D4F1F5"/>
          </w:tcPr>
          <w:p>
            <w:pPr>
              <w:jc w:val="right"/>
              <w:ind w:right="8"/>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98"/>
        </w:trPr>
        <w:tc>
          <w:tcPr>
            <w:tcW w:w="4080" w:type="dxa"/>
            <w:vAlign w:val="bottom"/>
            <w:tcBorders>
              <w:bottom w:val="single" w:sz="8" w:color="D4F1F5"/>
            </w:tcBorders>
          </w:tcPr>
          <w:p>
            <w:pPr>
              <w:ind w:left="480"/>
              <w:spacing w:after="0"/>
              <w:rPr>
                <w:sz w:val="20"/>
                <w:szCs w:val="20"/>
                <w:color w:val="auto"/>
              </w:rPr>
            </w:pPr>
            <w:r>
              <w:rPr>
                <w:rFonts w:ascii="Arial" w:cs="Arial" w:eastAsia="Arial" w:hAnsi="Arial"/>
                <w:sz w:val="14"/>
                <w:szCs w:val="14"/>
                <w:color w:val="auto"/>
              </w:rPr>
              <w:t>Associated offsetting cash collateral</w:t>
            </w:r>
          </w:p>
        </w:tc>
        <w:tc>
          <w:tcPr>
            <w:tcW w:w="82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48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12</w:t>
            </w:r>
          </w:p>
        </w:tc>
        <w:tc>
          <w:tcPr>
            <w:tcW w:w="16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200"/>
        </w:trPr>
        <w:tc>
          <w:tcPr>
            <w:tcW w:w="4080" w:type="dxa"/>
            <w:vAlign w:val="bottom"/>
            <w:shd w:val="clear" w:color="auto" w:fill="D4F1F5"/>
          </w:tcPr>
          <w:p>
            <w:pPr>
              <w:ind w:left="20"/>
              <w:spacing w:after="0"/>
              <w:rPr>
                <w:sz w:val="20"/>
                <w:szCs w:val="20"/>
                <w:color w:val="auto"/>
              </w:rPr>
            </w:pPr>
            <w:r>
              <w:rPr>
                <w:rFonts w:ascii="Arial" w:cs="Arial" w:eastAsia="Arial" w:hAnsi="Arial"/>
                <w:sz w:val="14"/>
                <w:szCs w:val="14"/>
                <w:color w:val="auto"/>
              </w:rPr>
              <w:t>Net amounts presented on the balance sheet</w:t>
            </w:r>
          </w:p>
        </w:tc>
        <w:tc>
          <w:tcPr>
            <w:tcW w:w="820" w:type="dxa"/>
            <w:vAlign w:val="bottom"/>
            <w:shd w:val="clear" w:color="auto" w:fill="D4F1F5"/>
          </w:tcPr>
          <w:p>
            <w:pPr>
              <w:spacing w:after="0"/>
              <w:rPr>
                <w:sz w:val="17"/>
                <w:szCs w:val="17"/>
                <w:color w:val="auto"/>
              </w:rPr>
            </w:pPr>
          </w:p>
        </w:tc>
        <w:tc>
          <w:tcPr>
            <w:tcW w:w="320" w:type="dxa"/>
            <w:vAlign w:val="bottom"/>
            <w:shd w:val="clear" w:color="auto" w:fill="D4F1F5"/>
          </w:tcPr>
          <w:p>
            <w:pPr>
              <w:jc w:val="right"/>
              <w:ind w:right="28"/>
              <w:spacing w:after="0"/>
              <w:rPr>
                <w:sz w:val="20"/>
                <w:szCs w:val="20"/>
                <w:color w:val="auto"/>
              </w:rPr>
            </w:pPr>
            <w:r>
              <w:rPr>
                <w:rFonts w:ascii="Arial" w:cs="Arial" w:eastAsia="Arial" w:hAnsi="Arial"/>
                <w:sz w:val="14"/>
                <w:szCs w:val="14"/>
                <w:color w:val="auto"/>
              </w:rPr>
              <w:t>4</w:t>
            </w:r>
          </w:p>
        </w:tc>
        <w:tc>
          <w:tcPr>
            <w:tcW w:w="480" w:type="dxa"/>
            <w:vAlign w:val="bottom"/>
            <w:shd w:val="clear" w:color="auto" w:fill="D4F1F5"/>
          </w:tcPr>
          <w:p>
            <w:pPr>
              <w:spacing w:after="0"/>
              <w:rPr>
                <w:sz w:val="17"/>
                <w:szCs w:val="17"/>
                <w:color w:val="auto"/>
              </w:rPr>
            </w:pPr>
          </w:p>
        </w:tc>
        <w:tc>
          <w:tcPr>
            <w:tcW w:w="680" w:type="dxa"/>
            <w:vAlign w:val="bottom"/>
            <w:shd w:val="clear" w:color="auto" w:fill="D4F1F5"/>
          </w:tcPr>
          <w:p>
            <w:pPr>
              <w:spacing w:after="0"/>
              <w:rPr>
                <w:sz w:val="17"/>
                <w:szCs w:val="17"/>
                <w:color w:val="auto"/>
              </w:rPr>
            </w:pPr>
          </w:p>
        </w:tc>
        <w:tc>
          <w:tcPr>
            <w:tcW w:w="320" w:type="dxa"/>
            <w:vAlign w:val="bottom"/>
            <w:shd w:val="clear" w:color="auto" w:fill="D4F1F5"/>
          </w:tcPr>
          <w:p>
            <w:pPr>
              <w:spacing w:after="0"/>
              <w:rPr>
                <w:sz w:val="17"/>
                <w:szCs w:val="17"/>
                <w:color w:val="auto"/>
              </w:rPr>
            </w:pPr>
          </w:p>
        </w:tc>
        <w:tc>
          <w:tcPr>
            <w:tcW w:w="980" w:type="dxa"/>
            <w:vAlign w:val="bottom"/>
            <w:shd w:val="clear" w:color="auto" w:fill="D4F1F5"/>
          </w:tcPr>
          <w:p>
            <w:pPr>
              <w:jc w:val="right"/>
              <w:ind w:right="88"/>
              <w:spacing w:after="0"/>
              <w:rPr>
                <w:sz w:val="20"/>
                <w:szCs w:val="20"/>
                <w:color w:val="auto"/>
              </w:rPr>
            </w:pPr>
            <w:r>
              <w:rPr>
                <w:rFonts w:ascii="Arial" w:cs="Arial" w:eastAsia="Arial" w:hAnsi="Arial"/>
                <w:sz w:val="14"/>
                <w:szCs w:val="14"/>
                <w:color w:val="auto"/>
              </w:rPr>
              <w:t>7</w:t>
            </w:r>
          </w:p>
        </w:tc>
        <w:tc>
          <w:tcPr>
            <w:tcW w:w="120" w:type="dxa"/>
            <w:vAlign w:val="bottom"/>
            <w:shd w:val="clear" w:color="auto" w:fill="D4F1F5"/>
          </w:tcPr>
          <w:p>
            <w:pPr>
              <w:spacing w:after="0"/>
              <w:rPr>
                <w:sz w:val="17"/>
                <w:szCs w:val="17"/>
                <w:color w:val="auto"/>
              </w:rPr>
            </w:pPr>
          </w:p>
        </w:tc>
        <w:tc>
          <w:tcPr>
            <w:tcW w:w="1040" w:type="dxa"/>
            <w:vAlign w:val="bottom"/>
            <w:shd w:val="clear" w:color="auto" w:fill="D4F1F5"/>
          </w:tcPr>
          <w:p>
            <w:pPr>
              <w:jc w:val="right"/>
              <w:ind w:right="48"/>
              <w:spacing w:after="0"/>
              <w:rPr>
                <w:sz w:val="20"/>
                <w:szCs w:val="20"/>
                <w:color w:val="auto"/>
              </w:rPr>
            </w:pPr>
            <w:r>
              <w:rPr>
                <w:rFonts w:ascii="Arial" w:cs="Arial" w:eastAsia="Arial" w:hAnsi="Arial"/>
                <w:sz w:val="14"/>
                <w:szCs w:val="14"/>
                <w:color w:val="auto"/>
              </w:rPr>
              <w:t>—</w:t>
            </w:r>
          </w:p>
        </w:tc>
        <w:tc>
          <w:tcPr>
            <w:tcW w:w="160" w:type="dxa"/>
            <w:vAlign w:val="bottom"/>
            <w:shd w:val="clear" w:color="auto" w:fill="D4F1F5"/>
          </w:tcPr>
          <w:p>
            <w:pPr>
              <w:spacing w:after="0"/>
              <w:rPr>
                <w:sz w:val="17"/>
                <w:szCs w:val="17"/>
                <w:color w:val="auto"/>
              </w:rPr>
            </w:pPr>
          </w:p>
        </w:tc>
        <w:tc>
          <w:tcPr>
            <w:tcW w:w="1020" w:type="dxa"/>
            <w:vAlign w:val="bottom"/>
            <w:shd w:val="clear" w:color="auto" w:fill="D4F1F5"/>
          </w:tcPr>
          <w:p>
            <w:pPr>
              <w:spacing w:after="0"/>
              <w:rPr>
                <w:sz w:val="17"/>
                <w:szCs w:val="17"/>
                <w:color w:val="auto"/>
              </w:rPr>
            </w:pPr>
          </w:p>
        </w:tc>
        <w:tc>
          <w:tcPr>
            <w:tcW w:w="260" w:type="dxa"/>
            <w:vAlign w:val="bottom"/>
            <w:shd w:val="clear" w:color="auto" w:fill="D4F1F5"/>
          </w:tcPr>
          <w:p>
            <w:pPr>
              <w:spacing w:after="0"/>
              <w:rPr>
                <w:sz w:val="17"/>
                <w:szCs w:val="17"/>
                <w:color w:val="auto"/>
              </w:rPr>
            </w:pPr>
          </w:p>
        </w:tc>
        <w:tc>
          <w:tcPr>
            <w:tcW w:w="940" w:type="dxa"/>
            <w:vAlign w:val="bottom"/>
            <w:shd w:val="clear" w:color="auto" w:fill="D4F1F5"/>
          </w:tcPr>
          <w:p>
            <w:pPr>
              <w:jc w:val="right"/>
              <w:ind w:right="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3"/>
        </w:trPr>
        <w:tc>
          <w:tcPr>
            <w:tcW w:w="4080" w:type="dxa"/>
            <w:vAlign w:val="bottom"/>
          </w:tcPr>
          <w:p>
            <w:pPr>
              <w:ind w:left="220"/>
              <w:spacing w:after="0" w:line="153" w:lineRule="exact"/>
              <w:rPr>
                <w:sz w:val="20"/>
                <w:szCs w:val="20"/>
                <w:color w:val="auto"/>
              </w:rPr>
            </w:pPr>
            <w:r>
              <w:rPr>
                <w:rFonts w:ascii="Arial" w:cs="Arial" w:eastAsia="Arial" w:hAnsi="Arial"/>
                <w:sz w:val="14"/>
                <w:szCs w:val="14"/>
                <w:color w:val="auto"/>
              </w:rPr>
              <w:t>Additional cash collateral for commodity contracts</w:t>
            </w:r>
          </w:p>
        </w:tc>
        <w:tc>
          <w:tcPr>
            <w:tcW w:w="820" w:type="dxa"/>
            <w:vAlign w:val="bottom"/>
          </w:tcPr>
          <w:p>
            <w:pPr>
              <w:spacing w:after="0"/>
              <w:rPr>
                <w:sz w:val="13"/>
                <w:szCs w:val="13"/>
                <w:color w:val="auto"/>
              </w:rPr>
            </w:pPr>
          </w:p>
        </w:tc>
        <w:tc>
          <w:tcPr>
            <w:tcW w:w="320" w:type="dxa"/>
            <w:vAlign w:val="bottom"/>
            <w:vMerge w:val="restart"/>
          </w:tcPr>
          <w:p>
            <w:pPr>
              <w:jc w:val="right"/>
              <w:ind w:right="28"/>
              <w:spacing w:after="0"/>
              <w:rPr>
                <w:sz w:val="20"/>
                <w:szCs w:val="20"/>
                <w:color w:val="auto"/>
              </w:rPr>
            </w:pPr>
            <w:r>
              <w:rPr>
                <w:rFonts w:ascii="Arial" w:cs="Arial" w:eastAsia="Arial" w:hAnsi="Arial"/>
                <w:sz w:val="14"/>
                <w:szCs w:val="14"/>
                <w:color w:val="auto"/>
              </w:rPr>
              <w:t>13</w:t>
            </w:r>
          </w:p>
        </w:tc>
        <w:tc>
          <w:tcPr>
            <w:tcW w:w="4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980" w:type="dxa"/>
            <w:vAlign w:val="bottom"/>
            <w:vMerge w:val="restart"/>
          </w:tcPr>
          <w:p>
            <w:pPr>
              <w:jc w:val="right"/>
              <w:ind w:right="8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1040" w:type="dxa"/>
            <w:vAlign w:val="bottom"/>
            <w:vMerge w:val="restart"/>
          </w:tcPr>
          <w:p>
            <w:pPr>
              <w:jc w:val="right"/>
              <w:ind w:right="48"/>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40" w:type="dxa"/>
            <w:vAlign w:val="bottom"/>
            <w:vMerge w:val="restart"/>
          </w:tcPr>
          <w:p>
            <w:pPr>
              <w:jc w:val="right"/>
              <w:ind w:right="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5"/>
        </w:trPr>
        <w:tc>
          <w:tcPr>
            <w:tcW w:w="4080" w:type="dxa"/>
            <w:vAlign w:val="bottom"/>
            <w:tcBorders>
              <w:bottom w:val="single" w:sz="8" w:color="D4F1F5"/>
            </w:tcBorders>
          </w:tcPr>
          <w:p>
            <w:pPr>
              <w:ind w:left="480"/>
              <w:spacing w:after="0"/>
              <w:rPr>
                <w:sz w:val="20"/>
                <w:szCs w:val="20"/>
                <w:color w:val="auto"/>
              </w:rPr>
            </w:pPr>
            <w:r>
              <w:rPr>
                <w:rFonts w:ascii="Arial" w:cs="Arial" w:eastAsia="Arial" w:hAnsi="Arial"/>
                <w:sz w:val="14"/>
                <w:szCs w:val="14"/>
                <w:color w:val="auto"/>
              </w:rPr>
              <w:t>subject to rate recovery</w:t>
            </w:r>
          </w:p>
        </w:tc>
        <w:tc>
          <w:tcPr>
            <w:tcW w:w="82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vMerge w:val="continue"/>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4080" w:type="dxa"/>
            <w:vAlign w:val="bottom"/>
            <w:tcBorders>
              <w:bottom w:val="single" w:sz="8" w:color="auto"/>
            </w:tcBorders>
            <w:shd w:val="clear" w:color="auto" w:fill="D4F1F5"/>
          </w:tcPr>
          <w:p>
            <w:pPr>
              <w:ind w:left="220"/>
              <w:spacing w:after="0"/>
              <w:rPr>
                <w:sz w:val="20"/>
                <w:szCs w:val="20"/>
                <w:color w:val="auto"/>
              </w:rPr>
            </w:pPr>
            <w:r>
              <w:rPr>
                <w:rFonts w:ascii="Arial" w:cs="Arial" w:eastAsia="Arial" w:hAnsi="Arial"/>
                <w:sz w:val="14"/>
                <w:szCs w:val="14"/>
                <w:color w:val="auto"/>
              </w:rPr>
              <w:t>Total</w:t>
            </w:r>
          </w:p>
        </w:tc>
        <w:tc>
          <w:tcPr>
            <w:tcW w:w="820" w:type="dxa"/>
            <w:vAlign w:val="bottom"/>
            <w:tcBorders>
              <w:bottom w:val="single" w:sz="8" w:color="auto"/>
            </w:tcBorders>
            <w:shd w:val="clear" w:color="auto" w:fill="D4F1F5"/>
          </w:tcPr>
          <w:p>
            <w:pPr>
              <w:jc w:val="right"/>
              <w:ind w:right="668"/>
              <w:spacing w:after="0"/>
              <w:rPr>
                <w:sz w:val="20"/>
                <w:szCs w:val="20"/>
                <w:color w:val="auto"/>
              </w:rPr>
            </w:pPr>
            <w:r>
              <w:rPr>
                <w:rFonts w:ascii="Arial" w:cs="Arial" w:eastAsia="Arial" w:hAnsi="Arial"/>
                <w:sz w:val="14"/>
                <w:szCs w:val="14"/>
                <w:color w:val="auto"/>
                <w:w w:val="76"/>
              </w:rPr>
              <w:t>$</w:t>
            </w:r>
          </w:p>
        </w:tc>
        <w:tc>
          <w:tcPr>
            <w:tcW w:w="320" w:type="dxa"/>
            <w:vAlign w:val="bottom"/>
            <w:tcBorders>
              <w:bottom w:val="single" w:sz="8" w:color="auto"/>
            </w:tcBorders>
            <w:shd w:val="clear" w:color="auto" w:fill="D4F1F5"/>
          </w:tcPr>
          <w:p>
            <w:pPr>
              <w:jc w:val="right"/>
              <w:ind w:right="28"/>
              <w:spacing w:after="0"/>
              <w:rPr>
                <w:sz w:val="20"/>
                <w:szCs w:val="20"/>
                <w:color w:val="auto"/>
              </w:rPr>
            </w:pPr>
            <w:r>
              <w:rPr>
                <w:rFonts w:ascii="Arial" w:cs="Arial" w:eastAsia="Arial" w:hAnsi="Arial"/>
                <w:sz w:val="14"/>
                <w:szCs w:val="14"/>
                <w:color w:val="auto"/>
              </w:rPr>
              <w:t>17</w:t>
            </w:r>
          </w:p>
        </w:tc>
        <w:tc>
          <w:tcPr>
            <w:tcW w:w="480" w:type="dxa"/>
            <w:vAlign w:val="bottom"/>
            <w:tcBorders>
              <w:bottom w:val="single" w:sz="8" w:color="auto"/>
            </w:tcBorders>
            <w:shd w:val="clear" w:color="auto" w:fill="D4F1F5"/>
          </w:tcPr>
          <w:p>
            <w:pPr>
              <w:spacing w:after="0"/>
              <w:rPr>
                <w:sz w:val="17"/>
                <w:szCs w:val="17"/>
                <w:color w:val="auto"/>
              </w:rPr>
            </w:pPr>
          </w:p>
        </w:tc>
        <w:tc>
          <w:tcPr>
            <w:tcW w:w="680" w:type="dxa"/>
            <w:vAlign w:val="bottom"/>
            <w:tcBorders>
              <w:bottom w:val="single" w:sz="8" w:color="auto"/>
            </w:tcBorders>
            <w:shd w:val="clear" w:color="auto" w:fill="D4F1F5"/>
          </w:tcPr>
          <w:p>
            <w:pPr>
              <w:spacing w:after="0"/>
              <w:rPr>
                <w:sz w:val="17"/>
                <w:szCs w:val="17"/>
                <w:color w:val="auto"/>
              </w:rPr>
            </w:pPr>
          </w:p>
        </w:tc>
        <w:tc>
          <w:tcPr>
            <w:tcW w:w="320" w:type="dxa"/>
            <w:vAlign w:val="bottom"/>
            <w:tcBorders>
              <w:bottom w:val="single" w:sz="8" w:color="auto"/>
            </w:tcBorders>
            <w:shd w:val="clear" w:color="auto" w:fill="D4F1F5"/>
          </w:tcPr>
          <w:p>
            <w:pPr>
              <w:jc w:val="right"/>
              <w:ind w:right="4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shd w:val="clear" w:color="auto" w:fill="D4F1F5"/>
          </w:tcPr>
          <w:p>
            <w:pPr>
              <w:jc w:val="right"/>
              <w:ind w:right="88"/>
              <w:spacing w:after="0"/>
              <w:rPr>
                <w:sz w:val="20"/>
                <w:szCs w:val="20"/>
                <w:color w:val="auto"/>
              </w:rPr>
            </w:pPr>
            <w:r>
              <w:rPr>
                <w:rFonts w:ascii="Arial" w:cs="Arial" w:eastAsia="Arial" w:hAnsi="Arial"/>
                <w:sz w:val="14"/>
                <w:szCs w:val="14"/>
                <w:color w:val="auto"/>
              </w:rPr>
              <w:t>7</w:t>
            </w:r>
          </w:p>
        </w:tc>
        <w:tc>
          <w:tcPr>
            <w:tcW w:w="120" w:type="dxa"/>
            <w:vAlign w:val="bottom"/>
            <w:tcBorders>
              <w:bottom w:val="single" w:sz="8" w:color="auto"/>
            </w:tcBorders>
            <w:shd w:val="clear" w:color="auto" w:fill="D4F1F5"/>
          </w:tcPr>
          <w:p>
            <w:pPr>
              <w:jc w:val="right"/>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shd w:val="clear" w:color="auto" w:fill="D4F1F5"/>
          </w:tcPr>
          <w:p>
            <w:pPr>
              <w:jc w:val="right"/>
              <w:ind w:right="48"/>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auto"/>
            </w:tcBorders>
            <w:shd w:val="clear" w:color="auto" w:fill="D4F1F5"/>
          </w:tcPr>
          <w:p>
            <w:pPr>
              <w:spacing w:after="0"/>
              <w:rPr>
                <w:sz w:val="17"/>
                <w:szCs w:val="17"/>
                <w:color w:val="auto"/>
              </w:rPr>
            </w:pPr>
          </w:p>
        </w:tc>
        <w:tc>
          <w:tcPr>
            <w:tcW w:w="1020" w:type="dxa"/>
            <w:vAlign w:val="bottom"/>
            <w:tcBorders>
              <w:bottom w:val="single" w:sz="8" w:color="auto"/>
            </w:tcBorders>
            <w:shd w:val="clear" w:color="auto" w:fill="D4F1F5"/>
          </w:tcPr>
          <w:p>
            <w:pPr>
              <w:spacing w:after="0"/>
              <w:rPr>
                <w:sz w:val="17"/>
                <w:szCs w:val="17"/>
                <w:color w:val="auto"/>
              </w:rPr>
            </w:pPr>
          </w:p>
        </w:tc>
        <w:tc>
          <w:tcPr>
            <w:tcW w:w="260" w:type="dxa"/>
            <w:vAlign w:val="bottom"/>
            <w:tcBorders>
              <w:bottom w:val="single" w:sz="8" w:color="auto"/>
            </w:tcBorders>
            <w:shd w:val="clear" w:color="auto" w:fill="D4F1F5"/>
          </w:tcPr>
          <w:p>
            <w:pPr>
              <w:jc w:val="right"/>
              <w:ind w:right="8"/>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shd w:val="clear" w:color="auto" w:fill="D4F1F5"/>
          </w:tcPr>
          <w:p>
            <w:pPr>
              <w:jc w:val="right"/>
              <w:ind w:right="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2"/>
        </w:trPr>
        <w:tc>
          <w:tcPr>
            <w:tcW w:w="4080" w:type="dxa"/>
            <w:vAlign w:val="bottom"/>
          </w:tcPr>
          <w:p>
            <w:pPr>
              <w:ind w:left="20"/>
              <w:spacing w:after="0"/>
              <w:rPr>
                <w:sz w:val="20"/>
                <w:szCs w:val="20"/>
                <w:color w:val="auto"/>
              </w:rPr>
            </w:pPr>
            <w:r>
              <w:rPr>
                <w:rFonts w:ascii="Arial" w:cs="Arial" w:eastAsia="Arial" w:hAnsi="Arial"/>
                <w:sz w:val="14"/>
                <w:szCs w:val="14"/>
                <w:b w:val="1"/>
                <w:bCs w:val="1"/>
                <w:color w:val="auto"/>
              </w:rPr>
              <w:t>SoCalGas:</w:t>
            </w:r>
          </w:p>
        </w:tc>
        <w:tc>
          <w:tcPr>
            <w:tcW w:w="8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80" w:type="dxa"/>
            <w:vAlign w:val="bottom"/>
            <w:shd w:val="clear" w:color="auto" w:fill="D4F1F5"/>
          </w:tcPr>
          <w:p>
            <w:pPr>
              <w:ind w:left="20"/>
              <w:spacing w:after="0"/>
              <w:rPr>
                <w:sz w:val="20"/>
                <w:szCs w:val="20"/>
                <w:color w:val="auto"/>
              </w:rPr>
            </w:pPr>
            <w:r>
              <w:rPr>
                <w:rFonts w:ascii="Arial" w:cs="Arial" w:eastAsia="Arial" w:hAnsi="Arial"/>
                <w:sz w:val="14"/>
                <w:szCs w:val="14"/>
                <w:color w:val="auto"/>
              </w:rPr>
              <w:t>Derivatives not designated as hedging instruments:</w:t>
            </w:r>
          </w:p>
        </w:tc>
        <w:tc>
          <w:tcPr>
            <w:tcW w:w="820" w:type="dxa"/>
            <w:vAlign w:val="bottom"/>
            <w:shd w:val="clear" w:color="auto" w:fill="D4F1F5"/>
          </w:tcPr>
          <w:p>
            <w:pPr>
              <w:spacing w:after="0"/>
              <w:rPr>
                <w:sz w:val="17"/>
                <w:szCs w:val="17"/>
                <w:color w:val="auto"/>
              </w:rPr>
            </w:pPr>
          </w:p>
        </w:tc>
        <w:tc>
          <w:tcPr>
            <w:tcW w:w="320" w:type="dxa"/>
            <w:vAlign w:val="bottom"/>
            <w:shd w:val="clear" w:color="auto" w:fill="D4F1F5"/>
          </w:tcPr>
          <w:p>
            <w:pPr>
              <w:spacing w:after="0"/>
              <w:rPr>
                <w:sz w:val="17"/>
                <w:szCs w:val="17"/>
                <w:color w:val="auto"/>
              </w:rPr>
            </w:pPr>
          </w:p>
        </w:tc>
        <w:tc>
          <w:tcPr>
            <w:tcW w:w="480" w:type="dxa"/>
            <w:vAlign w:val="bottom"/>
            <w:shd w:val="clear" w:color="auto" w:fill="D4F1F5"/>
          </w:tcPr>
          <w:p>
            <w:pPr>
              <w:spacing w:after="0"/>
              <w:rPr>
                <w:sz w:val="17"/>
                <w:szCs w:val="17"/>
                <w:color w:val="auto"/>
              </w:rPr>
            </w:pPr>
          </w:p>
        </w:tc>
        <w:tc>
          <w:tcPr>
            <w:tcW w:w="680" w:type="dxa"/>
            <w:vAlign w:val="bottom"/>
            <w:shd w:val="clear" w:color="auto" w:fill="D4F1F5"/>
          </w:tcPr>
          <w:p>
            <w:pPr>
              <w:spacing w:after="0"/>
              <w:rPr>
                <w:sz w:val="17"/>
                <w:szCs w:val="17"/>
                <w:color w:val="auto"/>
              </w:rPr>
            </w:pPr>
          </w:p>
        </w:tc>
        <w:tc>
          <w:tcPr>
            <w:tcW w:w="320" w:type="dxa"/>
            <w:vAlign w:val="bottom"/>
            <w:shd w:val="clear" w:color="auto" w:fill="D4F1F5"/>
          </w:tcPr>
          <w:p>
            <w:pPr>
              <w:spacing w:after="0"/>
              <w:rPr>
                <w:sz w:val="17"/>
                <w:szCs w:val="17"/>
                <w:color w:val="auto"/>
              </w:rPr>
            </w:pPr>
          </w:p>
        </w:tc>
        <w:tc>
          <w:tcPr>
            <w:tcW w:w="980" w:type="dxa"/>
            <w:vAlign w:val="bottom"/>
            <w:shd w:val="clear" w:color="auto" w:fill="D4F1F5"/>
          </w:tcPr>
          <w:p>
            <w:pPr>
              <w:spacing w:after="0"/>
              <w:rPr>
                <w:sz w:val="17"/>
                <w:szCs w:val="17"/>
                <w:color w:val="auto"/>
              </w:rPr>
            </w:pPr>
          </w:p>
        </w:tc>
        <w:tc>
          <w:tcPr>
            <w:tcW w:w="120" w:type="dxa"/>
            <w:vAlign w:val="bottom"/>
            <w:shd w:val="clear" w:color="auto" w:fill="D4F1F5"/>
          </w:tcPr>
          <w:p>
            <w:pPr>
              <w:spacing w:after="0"/>
              <w:rPr>
                <w:sz w:val="17"/>
                <w:szCs w:val="17"/>
                <w:color w:val="auto"/>
              </w:rPr>
            </w:pPr>
          </w:p>
        </w:tc>
        <w:tc>
          <w:tcPr>
            <w:tcW w:w="1040" w:type="dxa"/>
            <w:vAlign w:val="bottom"/>
            <w:shd w:val="clear" w:color="auto" w:fill="D4F1F5"/>
          </w:tcPr>
          <w:p>
            <w:pPr>
              <w:spacing w:after="0"/>
              <w:rPr>
                <w:sz w:val="17"/>
                <w:szCs w:val="17"/>
                <w:color w:val="auto"/>
              </w:rPr>
            </w:pPr>
          </w:p>
        </w:tc>
        <w:tc>
          <w:tcPr>
            <w:tcW w:w="160" w:type="dxa"/>
            <w:vAlign w:val="bottom"/>
            <w:shd w:val="clear" w:color="auto" w:fill="D4F1F5"/>
          </w:tcPr>
          <w:p>
            <w:pPr>
              <w:spacing w:after="0"/>
              <w:rPr>
                <w:sz w:val="17"/>
                <w:szCs w:val="17"/>
                <w:color w:val="auto"/>
              </w:rPr>
            </w:pPr>
          </w:p>
        </w:tc>
        <w:tc>
          <w:tcPr>
            <w:tcW w:w="1020" w:type="dxa"/>
            <w:vAlign w:val="bottom"/>
            <w:shd w:val="clear" w:color="auto" w:fill="D4F1F5"/>
          </w:tcPr>
          <w:p>
            <w:pPr>
              <w:spacing w:after="0"/>
              <w:rPr>
                <w:sz w:val="17"/>
                <w:szCs w:val="17"/>
                <w:color w:val="auto"/>
              </w:rPr>
            </w:pPr>
          </w:p>
        </w:tc>
        <w:tc>
          <w:tcPr>
            <w:tcW w:w="260" w:type="dxa"/>
            <w:vAlign w:val="bottom"/>
            <w:shd w:val="clear" w:color="auto" w:fill="D4F1F5"/>
          </w:tcPr>
          <w:p>
            <w:pPr>
              <w:spacing w:after="0"/>
              <w:rPr>
                <w:sz w:val="17"/>
                <w:szCs w:val="17"/>
                <w:color w:val="auto"/>
              </w:rPr>
            </w:pPr>
          </w:p>
        </w:tc>
        <w:tc>
          <w:tcPr>
            <w:tcW w:w="940" w:type="dxa"/>
            <w:vAlign w:val="bottom"/>
            <w:shd w:val="clear" w:color="auto" w:fill="D4F1F5"/>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4080" w:type="dxa"/>
            <w:vAlign w:val="bottom"/>
          </w:tcPr>
          <w:p>
            <w:pPr>
              <w:ind w:left="220"/>
              <w:spacing w:after="0"/>
              <w:rPr>
                <w:sz w:val="20"/>
                <w:szCs w:val="20"/>
                <w:color w:val="auto"/>
              </w:rPr>
            </w:pPr>
            <w:r>
              <w:rPr>
                <w:rFonts w:ascii="Arial" w:cs="Arial" w:eastAsia="Arial" w:hAnsi="Arial"/>
                <w:sz w:val="14"/>
                <w:szCs w:val="14"/>
                <w:color w:val="auto"/>
              </w:rPr>
              <w:t>Commodity contracts subject to rate recovery</w:t>
            </w:r>
          </w:p>
        </w:tc>
        <w:tc>
          <w:tcPr>
            <w:tcW w:w="820" w:type="dxa"/>
            <w:vAlign w:val="bottom"/>
          </w:tcPr>
          <w:p>
            <w:pPr>
              <w:jc w:val="right"/>
              <w:ind w:right="668"/>
              <w:spacing w:after="0"/>
              <w:rPr>
                <w:sz w:val="20"/>
                <w:szCs w:val="20"/>
                <w:color w:val="auto"/>
              </w:rPr>
            </w:pPr>
            <w:r>
              <w:rPr>
                <w:rFonts w:ascii="Arial" w:cs="Arial" w:eastAsia="Arial" w:hAnsi="Arial"/>
                <w:sz w:val="14"/>
                <w:szCs w:val="14"/>
                <w:color w:val="auto"/>
                <w:w w:val="76"/>
              </w:rPr>
              <w:t>$</w:t>
            </w:r>
          </w:p>
        </w:tc>
        <w:tc>
          <w:tcPr>
            <w:tcW w:w="320" w:type="dxa"/>
            <w:vAlign w:val="bottom"/>
          </w:tcPr>
          <w:p>
            <w:pPr>
              <w:jc w:val="right"/>
              <w:ind w:right="28"/>
              <w:spacing w:after="0"/>
              <w:rPr>
                <w:sz w:val="20"/>
                <w:szCs w:val="20"/>
                <w:color w:val="auto"/>
              </w:rPr>
            </w:pPr>
            <w:r>
              <w:rPr>
                <w:rFonts w:ascii="Arial" w:cs="Arial" w:eastAsia="Arial" w:hAnsi="Arial"/>
                <w:sz w:val="14"/>
                <w:szCs w:val="14"/>
                <w:color w:val="auto"/>
              </w:rPr>
              <w:t>21</w:t>
            </w:r>
          </w:p>
        </w:tc>
        <w:tc>
          <w:tcPr>
            <w:tcW w:w="4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88"/>
              <w:spacing w:after="0"/>
              <w:rPr>
                <w:sz w:val="20"/>
                <w:szCs w:val="20"/>
                <w:color w:val="auto"/>
              </w:rPr>
            </w:pPr>
            <w:r>
              <w:rPr>
                <w:rFonts w:ascii="Arial" w:cs="Arial" w:eastAsia="Arial" w:hAnsi="Arial"/>
                <w:sz w:val="14"/>
                <w:szCs w:val="14"/>
                <w:color w:val="auto"/>
              </w:rPr>
              <w:t>3</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8"/>
              <w:spacing w:after="0"/>
              <w:rPr>
                <w:sz w:val="20"/>
                <w:szCs w:val="20"/>
                <w:color w:val="auto"/>
              </w:rPr>
            </w:pPr>
            <w:r>
              <w:rPr>
                <w:rFonts w:ascii="Arial" w:cs="Arial" w:eastAsia="Arial" w:hAnsi="Arial"/>
                <w:sz w:val="14"/>
                <w:szCs w:val="14"/>
                <w:color w:val="auto"/>
              </w:rPr>
              <w:t>(122)</w:t>
            </w:r>
          </w:p>
        </w:tc>
        <w:tc>
          <w:tcPr>
            <w:tcW w:w="1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(5)</w:t>
            </w:r>
          </w:p>
        </w:tc>
        <w:tc>
          <w:tcPr>
            <w:tcW w:w="0" w:type="dxa"/>
            <w:vAlign w:val="bottom"/>
          </w:tcPr>
          <w:p>
            <w:pPr>
              <w:spacing w:after="0"/>
              <w:rPr>
                <w:sz w:val="1"/>
                <w:szCs w:val="1"/>
                <w:color w:val="auto"/>
              </w:rPr>
            </w:pPr>
          </w:p>
        </w:tc>
      </w:tr>
      <w:tr>
        <w:trPr>
          <w:trHeight w:val="207"/>
        </w:trPr>
        <w:tc>
          <w:tcPr>
            <w:tcW w:w="4080" w:type="dxa"/>
            <w:vAlign w:val="bottom"/>
            <w:shd w:val="clear" w:color="auto" w:fill="D4F1F5"/>
          </w:tcPr>
          <w:p>
            <w:pPr>
              <w:ind w:left="480"/>
              <w:spacing w:after="0"/>
              <w:rPr>
                <w:sz w:val="20"/>
                <w:szCs w:val="20"/>
                <w:color w:val="auto"/>
              </w:rPr>
            </w:pPr>
            <w:r>
              <w:rPr>
                <w:rFonts w:ascii="Arial" w:cs="Arial" w:eastAsia="Arial" w:hAnsi="Arial"/>
                <w:sz w:val="14"/>
                <w:szCs w:val="14"/>
                <w:color w:val="auto"/>
              </w:rPr>
              <w:t>Associated offsetting commodity contracts</w:t>
            </w:r>
          </w:p>
        </w:tc>
        <w:tc>
          <w:tcPr>
            <w:tcW w:w="820" w:type="dxa"/>
            <w:vAlign w:val="bottom"/>
            <w:shd w:val="clear" w:color="auto" w:fill="D4F1F5"/>
          </w:tcPr>
          <w:p>
            <w:pPr>
              <w:spacing w:after="0"/>
              <w:rPr>
                <w:sz w:val="17"/>
                <w:szCs w:val="17"/>
                <w:color w:val="auto"/>
              </w:rPr>
            </w:pPr>
          </w:p>
        </w:tc>
        <w:tc>
          <w:tcPr>
            <w:tcW w:w="320" w:type="dxa"/>
            <w:vAlign w:val="bottom"/>
            <w:shd w:val="clear" w:color="auto" w:fill="D4F1F5"/>
          </w:tcPr>
          <w:p>
            <w:pPr>
              <w:jc w:val="right"/>
              <w:spacing w:after="0"/>
              <w:rPr>
                <w:sz w:val="20"/>
                <w:szCs w:val="20"/>
                <w:color w:val="auto"/>
              </w:rPr>
            </w:pPr>
            <w:r>
              <w:rPr>
                <w:rFonts w:ascii="Arial" w:cs="Arial" w:eastAsia="Arial" w:hAnsi="Arial"/>
                <w:sz w:val="14"/>
                <w:szCs w:val="14"/>
                <w:color w:val="auto"/>
              </w:rPr>
              <w:t>(4)</w:t>
            </w:r>
          </w:p>
        </w:tc>
        <w:tc>
          <w:tcPr>
            <w:tcW w:w="480" w:type="dxa"/>
            <w:vAlign w:val="bottom"/>
            <w:shd w:val="clear" w:color="auto" w:fill="D4F1F5"/>
          </w:tcPr>
          <w:p>
            <w:pPr>
              <w:spacing w:after="0"/>
              <w:rPr>
                <w:sz w:val="17"/>
                <w:szCs w:val="17"/>
                <w:color w:val="auto"/>
              </w:rPr>
            </w:pPr>
          </w:p>
        </w:tc>
        <w:tc>
          <w:tcPr>
            <w:tcW w:w="680" w:type="dxa"/>
            <w:vAlign w:val="bottom"/>
            <w:shd w:val="clear" w:color="auto" w:fill="D4F1F5"/>
          </w:tcPr>
          <w:p>
            <w:pPr>
              <w:spacing w:after="0"/>
              <w:rPr>
                <w:sz w:val="17"/>
                <w:szCs w:val="17"/>
                <w:color w:val="auto"/>
              </w:rPr>
            </w:pPr>
          </w:p>
        </w:tc>
        <w:tc>
          <w:tcPr>
            <w:tcW w:w="320" w:type="dxa"/>
            <w:vAlign w:val="bottom"/>
            <w:shd w:val="clear" w:color="auto" w:fill="D4F1F5"/>
          </w:tcPr>
          <w:p>
            <w:pPr>
              <w:spacing w:after="0"/>
              <w:rPr>
                <w:sz w:val="17"/>
                <w:szCs w:val="17"/>
                <w:color w:val="auto"/>
              </w:rPr>
            </w:pPr>
          </w:p>
        </w:tc>
        <w:tc>
          <w:tcPr>
            <w:tcW w:w="980" w:type="dxa"/>
            <w:vAlign w:val="bottom"/>
            <w:shd w:val="clear" w:color="auto" w:fill="D4F1F5"/>
          </w:tcPr>
          <w:p>
            <w:pPr>
              <w:jc w:val="right"/>
              <w:ind w:right="48"/>
              <w:spacing w:after="0"/>
              <w:rPr>
                <w:sz w:val="20"/>
                <w:szCs w:val="20"/>
                <w:color w:val="auto"/>
              </w:rPr>
            </w:pPr>
            <w:r>
              <w:rPr>
                <w:rFonts w:ascii="Arial" w:cs="Arial" w:eastAsia="Arial" w:hAnsi="Arial"/>
                <w:sz w:val="14"/>
                <w:szCs w:val="14"/>
                <w:color w:val="auto"/>
              </w:rPr>
              <w:t>(1)</w:t>
            </w:r>
          </w:p>
        </w:tc>
        <w:tc>
          <w:tcPr>
            <w:tcW w:w="120" w:type="dxa"/>
            <w:vAlign w:val="bottom"/>
            <w:shd w:val="clear" w:color="auto" w:fill="D4F1F5"/>
          </w:tcPr>
          <w:p>
            <w:pPr>
              <w:spacing w:after="0"/>
              <w:rPr>
                <w:sz w:val="17"/>
                <w:szCs w:val="17"/>
                <w:color w:val="auto"/>
              </w:rPr>
            </w:pPr>
          </w:p>
        </w:tc>
        <w:tc>
          <w:tcPr>
            <w:tcW w:w="1040" w:type="dxa"/>
            <w:vAlign w:val="bottom"/>
            <w:shd w:val="clear" w:color="auto" w:fill="D4F1F5"/>
          </w:tcPr>
          <w:p>
            <w:pPr>
              <w:jc w:val="right"/>
              <w:ind w:right="48"/>
              <w:spacing w:after="0"/>
              <w:rPr>
                <w:sz w:val="20"/>
                <w:szCs w:val="20"/>
                <w:color w:val="auto"/>
              </w:rPr>
            </w:pPr>
            <w:r>
              <w:rPr>
                <w:rFonts w:ascii="Arial" w:cs="Arial" w:eastAsia="Arial" w:hAnsi="Arial"/>
                <w:sz w:val="14"/>
                <w:szCs w:val="14"/>
                <w:color w:val="auto"/>
              </w:rPr>
              <w:t>4</w:t>
            </w:r>
          </w:p>
        </w:tc>
        <w:tc>
          <w:tcPr>
            <w:tcW w:w="160" w:type="dxa"/>
            <w:vAlign w:val="bottom"/>
            <w:shd w:val="clear" w:color="auto" w:fill="D4F1F5"/>
          </w:tcPr>
          <w:p>
            <w:pPr>
              <w:spacing w:after="0"/>
              <w:rPr>
                <w:sz w:val="17"/>
                <w:szCs w:val="17"/>
                <w:color w:val="auto"/>
              </w:rPr>
            </w:pPr>
          </w:p>
        </w:tc>
        <w:tc>
          <w:tcPr>
            <w:tcW w:w="1020" w:type="dxa"/>
            <w:vAlign w:val="bottom"/>
            <w:shd w:val="clear" w:color="auto" w:fill="D4F1F5"/>
          </w:tcPr>
          <w:p>
            <w:pPr>
              <w:spacing w:after="0"/>
              <w:rPr>
                <w:sz w:val="17"/>
                <w:szCs w:val="17"/>
                <w:color w:val="auto"/>
              </w:rPr>
            </w:pPr>
          </w:p>
        </w:tc>
        <w:tc>
          <w:tcPr>
            <w:tcW w:w="260" w:type="dxa"/>
            <w:vAlign w:val="bottom"/>
            <w:shd w:val="clear" w:color="auto" w:fill="D4F1F5"/>
          </w:tcPr>
          <w:p>
            <w:pPr>
              <w:spacing w:after="0"/>
              <w:rPr>
                <w:sz w:val="17"/>
                <w:szCs w:val="17"/>
                <w:color w:val="auto"/>
              </w:rPr>
            </w:pPr>
          </w:p>
        </w:tc>
        <w:tc>
          <w:tcPr>
            <w:tcW w:w="940" w:type="dxa"/>
            <w:vAlign w:val="bottom"/>
            <w:shd w:val="clear" w:color="auto" w:fill="D4F1F5"/>
          </w:tcPr>
          <w:p>
            <w:pPr>
              <w:jc w:val="right"/>
              <w:ind w:right="8"/>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98"/>
        </w:trPr>
        <w:tc>
          <w:tcPr>
            <w:tcW w:w="4080" w:type="dxa"/>
            <w:vAlign w:val="bottom"/>
            <w:tcBorders>
              <w:bottom w:val="single" w:sz="8" w:color="D4F1F5"/>
            </w:tcBorders>
          </w:tcPr>
          <w:p>
            <w:pPr>
              <w:ind w:left="480"/>
              <w:spacing w:after="0"/>
              <w:rPr>
                <w:sz w:val="20"/>
                <w:szCs w:val="20"/>
                <w:color w:val="auto"/>
              </w:rPr>
            </w:pPr>
            <w:r>
              <w:rPr>
                <w:rFonts w:ascii="Arial" w:cs="Arial" w:eastAsia="Arial" w:hAnsi="Arial"/>
                <w:sz w:val="14"/>
                <w:szCs w:val="14"/>
                <w:color w:val="auto"/>
              </w:rPr>
              <w:t>Associated offsetting cash collateral</w:t>
            </w:r>
          </w:p>
        </w:tc>
        <w:tc>
          <w:tcPr>
            <w:tcW w:w="82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48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56</w:t>
            </w:r>
          </w:p>
        </w:tc>
        <w:tc>
          <w:tcPr>
            <w:tcW w:w="16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0"/>
        </w:trPr>
        <w:tc>
          <w:tcPr>
            <w:tcW w:w="4080" w:type="dxa"/>
            <w:vAlign w:val="bottom"/>
            <w:shd w:val="clear" w:color="auto" w:fill="D4F1F5"/>
          </w:tcPr>
          <w:p>
            <w:pPr>
              <w:ind w:left="20"/>
              <w:spacing w:after="0"/>
              <w:rPr>
                <w:sz w:val="20"/>
                <w:szCs w:val="20"/>
                <w:color w:val="auto"/>
              </w:rPr>
            </w:pPr>
            <w:r>
              <w:rPr>
                <w:rFonts w:ascii="Arial" w:cs="Arial" w:eastAsia="Arial" w:hAnsi="Arial"/>
                <w:sz w:val="14"/>
                <w:szCs w:val="14"/>
                <w:color w:val="auto"/>
              </w:rPr>
              <w:t>Net amounts presented on the balance sheet</w:t>
            </w:r>
          </w:p>
        </w:tc>
        <w:tc>
          <w:tcPr>
            <w:tcW w:w="820" w:type="dxa"/>
            <w:vAlign w:val="bottom"/>
            <w:shd w:val="clear" w:color="auto" w:fill="D4F1F5"/>
          </w:tcPr>
          <w:p>
            <w:pPr>
              <w:spacing w:after="0"/>
              <w:rPr>
                <w:sz w:val="17"/>
                <w:szCs w:val="17"/>
                <w:color w:val="auto"/>
              </w:rPr>
            </w:pPr>
          </w:p>
        </w:tc>
        <w:tc>
          <w:tcPr>
            <w:tcW w:w="320" w:type="dxa"/>
            <w:vAlign w:val="bottom"/>
            <w:shd w:val="clear" w:color="auto" w:fill="D4F1F5"/>
          </w:tcPr>
          <w:p>
            <w:pPr>
              <w:jc w:val="right"/>
              <w:ind w:right="28"/>
              <w:spacing w:after="0"/>
              <w:rPr>
                <w:sz w:val="20"/>
                <w:szCs w:val="20"/>
                <w:color w:val="auto"/>
              </w:rPr>
            </w:pPr>
            <w:r>
              <w:rPr>
                <w:rFonts w:ascii="Arial" w:cs="Arial" w:eastAsia="Arial" w:hAnsi="Arial"/>
                <w:sz w:val="14"/>
                <w:szCs w:val="14"/>
                <w:color w:val="auto"/>
              </w:rPr>
              <w:t>17</w:t>
            </w:r>
          </w:p>
        </w:tc>
        <w:tc>
          <w:tcPr>
            <w:tcW w:w="480" w:type="dxa"/>
            <w:vAlign w:val="bottom"/>
            <w:shd w:val="clear" w:color="auto" w:fill="D4F1F5"/>
          </w:tcPr>
          <w:p>
            <w:pPr>
              <w:spacing w:after="0"/>
              <w:rPr>
                <w:sz w:val="17"/>
                <w:szCs w:val="17"/>
                <w:color w:val="auto"/>
              </w:rPr>
            </w:pPr>
          </w:p>
        </w:tc>
        <w:tc>
          <w:tcPr>
            <w:tcW w:w="680" w:type="dxa"/>
            <w:vAlign w:val="bottom"/>
            <w:shd w:val="clear" w:color="auto" w:fill="D4F1F5"/>
          </w:tcPr>
          <w:p>
            <w:pPr>
              <w:spacing w:after="0"/>
              <w:rPr>
                <w:sz w:val="17"/>
                <w:szCs w:val="17"/>
                <w:color w:val="auto"/>
              </w:rPr>
            </w:pPr>
          </w:p>
        </w:tc>
        <w:tc>
          <w:tcPr>
            <w:tcW w:w="320" w:type="dxa"/>
            <w:vAlign w:val="bottom"/>
            <w:shd w:val="clear" w:color="auto" w:fill="D4F1F5"/>
          </w:tcPr>
          <w:p>
            <w:pPr>
              <w:spacing w:after="0"/>
              <w:rPr>
                <w:sz w:val="17"/>
                <w:szCs w:val="17"/>
                <w:color w:val="auto"/>
              </w:rPr>
            </w:pPr>
          </w:p>
        </w:tc>
        <w:tc>
          <w:tcPr>
            <w:tcW w:w="980" w:type="dxa"/>
            <w:vAlign w:val="bottom"/>
            <w:shd w:val="clear" w:color="auto" w:fill="D4F1F5"/>
          </w:tcPr>
          <w:p>
            <w:pPr>
              <w:jc w:val="right"/>
              <w:ind w:right="88"/>
              <w:spacing w:after="0"/>
              <w:rPr>
                <w:sz w:val="20"/>
                <w:szCs w:val="20"/>
                <w:color w:val="auto"/>
              </w:rPr>
            </w:pPr>
            <w:r>
              <w:rPr>
                <w:rFonts w:ascii="Arial" w:cs="Arial" w:eastAsia="Arial" w:hAnsi="Arial"/>
                <w:sz w:val="14"/>
                <w:szCs w:val="14"/>
                <w:color w:val="auto"/>
              </w:rPr>
              <w:t>2</w:t>
            </w:r>
          </w:p>
        </w:tc>
        <w:tc>
          <w:tcPr>
            <w:tcW w:w="120" w:type="dxa"/>
            <w:vAlign w:val="bottom"/>
            <w:shd w:val="clear" w:color="auto" w:fill="D4F1F5"/>
          </w:tcPr>
          <w:p>
            <w:pPr>
              <w:spacing w:after="0"/>
              <w:rPr>
                <w:sz w:val="17"/>
                <w:szCs w:val="17"/>
                <w:color w:val="auto"/>
              </w:rPr>
            </w:pPr>
          </w:p>
        </w:tc>
        <w:tc>
          <w:tcPr>
            <w:tcW w:w="1040" w:type="dxa"/>
            <w:vAlign w:val="bottom"/>
            <w:shd w:val="clear" w:color="auto" w:fill="D4F1F5"/>
          </w:tcPr>
          <w:p>
            <w:pPr>
              <w:jc w:val="right"/>
              <w:ind w:right="8"/>
              <w:spacing w:after="0"/>
              <w:rPr>
                <w:sz w:val="20"/>
                <w:szCs w:val="20"/>
                <w:color w:val="auto"/>
              </w:rPr>
            </w:pPr>
            <w:r>
              <w:rPr>
                <w:rFonts w:ascii="Arial" w:cs="Arial" w:eastAsia="Arial" w:hAnsi="Arial"/>
                <w:sz w:val="14"/>
                <w:szCs w:val="14"/>
                <w:color w:val="auto"/>
              </w:rPr>
              <w:t>(62)</w:t>
            </w:r>
          </w:p>
        </w:tc>
        <w:tc>
          <w:tcPr>
            <w:tcW w:w="160" w:type="dxa"/>
            <w:vAlign w:val="bottom"/>
            <w:shd w:val="clear" w:color="auto" w:fill="D4F1F5"/>
          </w:tcPr>
          <w:p>
            <w:pPr>
              <w:spacing w:after="0"/>
              <w:rPr>
                <w:sz w:val="17"/>
                <w:szCs w:val="17"/>
                <w:color w:val="auto"/>
              </w:rPr>
            </w:pPr>
          </w:p>
        </w:tc>
        <w:tc>
          <w:tcPr>
            <w:tcW w:w="1020" w:type="dxa"/>
            <w:vAlign w:val="bottom"/>
            <w:shd w:val="clear" w:color="auto" w:fill="D4F1F5"/>
          </w:tcPr>
          <w:p>
            <w:pPr>
              <w:spacing w:after="0"/>
              <w:rPr>
                <w:sz w:val="17"/>
                <w:szCs w:val="17"/>
                <w:color w:val="auto"/>
              </w:rPr>
            </w:pPr>
          </w:p>
        </w:tc>
        <w:tc>
          <w:tcPr>
            <w:tcW w:w="260" w:type="dxa"/>
            <w:vAlign w:val="bottom"/>
            <w:shd w:val="clear" w:color="auto" w:fill="D4F1F5"/>
          </w:tcPr>
          <w:p>
            <w:pPr>
              <w:spacing w:after="0"/>
              <w:rPr>
                <w:sz w:val="17"/>
                <w:szCs w:val="17"/>
                <w:color w:val="auto"/>
              </w:rPr>
            </w:pPr>
          </w:p>
        </w:tc>
        <w:tc>
          <w:tcPr>
            <w:tcW w:w="940" w:type="dxa"/>
            <w:vAlign w:val="bottom"/>
            <w:shd w:val="clear" w:color="auto" w:fill="D4F1F5"/>
          </w:tcPr>
          <w:p>
            <w:pPr>
              <w:jc w:val="right"/>
              <w:spacing w:after="0"/>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153"/>
        </w:trPr>
        <w:tc>
          <w:tcPr>
            <w:tcW w:w="4080" w:type="dxa"/>
            <w:vAlign w:val="bottom"/>
          </w:tcPr>
          <w:p>
            <w:pPr>
              <w:ind w:left="220"/>
              <w:spacing w:after="0" w:line="153" w:lineRule="exact"/>
              <w:rPr>
                <w:sz w:val="20"/>
                <w:szCs w:val="20"/>
                <w:color w:val="auto"/>
              </w:rPr>
            </w:pPr>
            <w:r>
              <w:rPr>
                <w:rFonts w:ascii="Arial" w:cs="Arial" w:eastAsia="Arial" w:hAnsi="Arial"/>
                <w:sz w:val="14"/>
                <w:szCs w:val="14"/>
                <w:color w:val="auto"/>
              </w:rPr>
              <w:t>Additional cash collateral for commodity contracts</w:t>
            </w:r>
          </w:p>
        </w:tc>
        <w:tc>
          <w:tcPr>
            <w:tcW w:w="820" w:type="dxa"/>
            <w:vAlign w:val="bottom"/>
          </w:tcPr>
          <w:p>
            <w:pPr>
              <w:spacing w:after="0"/>
              <w:rPr>
                <w:sz w:val="13"/>
                <w:szCs w:val="13"/>
                <w:color w:val="auto"/>
              </w:rPr>
            </w:pPr>
          </w:p>
        </w:tc>
        <w:tc>
          <w:tcPr>
            <w:tcW w:w="320" w:type="dxa"/>
            <w:vAlign w:val="bottom"/>
            <w:vMerge w:val="restart"/>
          </w:tcPr>
          <w:p>
            <w:pPr>
              <w:jc w:val="right"/>
              <w:ind w:right="28"/>
              <w:spacing w:after="0"/>
              <w:rPr>
                <w:sz w:val="20"/>
                <w:szCs w:val="20"/>
                <w:color w:val="auto"/>
              </w:rPr>
            </w:pPr>
            <w:r>
              <w:rPr>
                <w:rFonts w:ascii="Arial" w:cs="Arial" w:eastAsia="Arial" w:hAnsi="Arial"/>
                <w:sz w:val="14"/>
                <w:szCs w:val="14"/>
                <w:color w:val="auto"/>
              </w:rPr>
              <w:t>10</w:t>
            </w:r>
          </w:p>
        </w:tc>
        <w:tc>
          <w:tcPr>
            <w:tcW w:w="4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980" w:type="dxa"/>
            <w:vAlign w:val="bottom"/>
            <w:vMerge w:val="restart"/>
          </w:tcPr>
          <w:p>
            <w:pPr>
              <w:jc w:val="right"/>
              <w:ind w:right="8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1040" w:type="dxa"/>
            <w:vAlign w:val="bottom"/>
            <w:vMerge w:val="restart"/>
          </w:tcPr>
          <w:p>
            <w:pPr>
              <w:jc w:val="right"/>
              <w:ind w:right="48"/>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40" w:type="dxa"/>
            <w:vAlign w:val="bottom"/>
            <w:vMerge w:val="restart"/>
          </w:tcPr>
          <w:p>
            <w:pPr>
              <w:jc w:val="right"/>
              <w:ind w:right="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5"/>
        </w:trPr>
        <w:tc>
          <w:tcPr>
            <w:tcW w:w="4080" w:type="dxa"/>
            <w:vAlign w:val="bottom"/>
            <w:tcBorders>
              <w:bottom w:val="single" w:sz="8" w:color="D4F1F5"/>
            </w:tcBorders>
          </w:tcPr>
          <w:p>
            <w:pPr>
              <w:ind w:left="480"/>
              <w:spacing w:after="0"/>
              <w:rPr>
                <w:sz w:val="20"/>
                <w:szCs w:val="20"/>
                <w:color w:val="auto"/>
              </w:rPr>
            </w:pPr>
            <w:r>
              <w:rPr>
                <w:rFonts w:ascii="Arial" w:cs="Arial" w:eastAsia="Arial" w:hAnsi="Arial"/>
                <w:sz w:val="14"/>
                <w:szCs w:val="14"/>
                <w:color w:val="auto"/>
              </w:rPr>
              <w:t>subject to rate recovery</w:t>
            </w:r>
          </w:p>
        </w:tc>
        <w:tc>
          <w:tcPr>
            <w:tcW w:w="82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vMerge w:val="continue"/>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4080" w:type="dxa"/>
            <w:vAlign w:val="bottom"/>
            <w:tcBorders>
              <w:bottom w:val="single" w:sz="8" w:color="auto"/>
            </w:tcBorders>
            <w:shd w:val="clear" w:color="auto" w:fill="D4F1F5"/>
          </w:tcPr>
          <w:p>
            <w:pPr>
              <w:ind w:left="220"/>
              <w:spacing w:after="0"/>
              <w:rPr>
                <w:sz w:val="20"/>
                <w:szCs w:val="20"/>
                <w:color w:val="auto"/>
              </w:rPr>
            </w:pPr>
            <w:r>
              <w:rPr>
                <w:rFonts w:ascii="Arial" w:cs="Arial" w:eastAsia="Arial" w:hAnsi="Arial"/>
                <w:sz w:val="14"/>
                <w:szCs w:val="14"/>
                <w:color w:val="auto"/>
              </w:rPr>
              <w:t>Total</w:t>
            </w:r>
          </w:p>
        </w:tc>
        <w:tc>
          <w:tcPr>
            <w:tcW w:w="820" w:type="dxa"/>
            <w:vAlign w:val="bottom"/>
            <w:tcBorders>
              <w:bottom w:val="single" w:sz="8" w:color="auto"/>
            </w:tcBorders>
            <w:shd w:val="clear" w:color="auto" w:fill="D4F1F5"/>
          </w:tcPr>
          <w:p>
            <w:pPr>
              <w:jc w:val="right"/>
              <w:ind w:right="668"/>
              <w:spacing w:after="0"/>
              <w:rPr>
                <w:sz w:val="20"/>
                <w:szCs w:val="20"/>
                <w:color w:val="auto"/>
              </w:rPr>
            </w:pPr>
            <w:r>
              <w:rPr>
                <w:rFonts w:ascii="Arial" w:cs="Arial" w:eastAsia="Arial" w:hAnsi="Arial"/>
                <w:sz w:val="14"/>
                <w:szCs w:val="14"/>
                <w:color w:val="auto"/>
                <w:w w:val="76"/>
              </w:rPr>
              <w:t>$</w:t>
            </w:r>
          </w:p>
        </w:tc>
        <w:tc>
          <w:tcPr>
            <w:tcW w:w="320" w:type="dxa"/>
            <w:vAlign w:val="bottom"/>
            <w:tcBorders>
              <w:bottom w:val="single" w:sz="8" w:color="auto"/>
            </w:tcBorders>
            <w:shd w:val="clear" w:color="auto" w:fill="D4F1F5"/>
          </w:tcPr>
          <w:p>
            <w:pPr>
              <w:jc w:val="right"/>
              <w:ind w:right="28"/>
              <w:spacing w:after="0"/>
              <w:rPr>
                <w:sz w:val="20"/>
                <w:szCs w:val="20"/>
                <w:color w:val="auto"/>
              </w:rPr>
            </w:pPr>
            <w:r>
              <w:rPr>
                <w:rFonts w:ascii="Arial" w:cs="Arial" w:eastAsia="Arial" w:hAnsi="Arial"/>
                <w:sz w:val="14"/>
                <w:szCs w:val="14"/>
                <w:color w:val="auto"/>
              </w:rPr>
              <w:t>27</w:t>
            </w:r>
          </w:p>
        </w:tc>
        <w:tc>
          <w:tcPr>
            <w:tcW w:w="480" w:type="dxa"/>
            <w:vAlign w:val="bottom"/>
            <w:tcBorders>
              <w:bottom w:val="single" w:sz="8" w:color="auto"/>
            </w:tcBorders>
            <w:shd w:val="clear" w:color="auto" w:fill="D4F1F5"/>
          </w:tcPr>
          <w:p>
            <w:pPr>
              <w:spacing w:after="0"/>
              <w:rPr>
                <w:sz w:val="17"/>
                <w:szCs w:val="17"/>
                <w:color w:val="auto"/>
              </w:rPr>
            </w:pPr>
          </w:p>
        </w:tc>
        <w:tc>
          <w:tcPr>
            <w:tcW w:w="680" w:type="dxa"/>
            <w:vAlign w:val="bottom"/>
            <w:tcBorders>
              <w:bottom w:val="single" w:sz="8" w:color="auto"/>
            </w:tcBorders>
            <w:shd w:val="clear" w:color="auto" w:fill="D4F1F5"/>
          </w:tcPr>
          <w:p>
            <w:pPr>
              <w:spacing w:after="0"/>
              <w:rPr>
                <w:sz w:val="17"/>
                <w:szCs w:val="17"/>
                <w:color w:val="auto"/>
              </w:rPr>
            </w:pPr>
          </w:p>
        </w:tc>
        <w:tc>
          <w:tcPr>
            <w:tcW w:w="320" w:type="dxa"/>
            <w:vAlign w:val="bottom"/>
            <w:tcBorders>
              <w:bottom w:val="single" w:sz="8" w:color="auto"/>
            </w:tcBorders>
            <w:shd w:val="clear" w:color="auto" w:fill="D4F1F5"/>
          </w:tcPr>
          <w:p>
            <w:pPr>
              <w:jc w:val="right"/>
              <w:ind w:right="4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shd w:val="clear" w:color="auto" w:fill="D4F1F5"/>
          </w:tcPr>
          <w:p>
            <w:pPr>
              <w:jc w:val="right"/>
              <w:ind w:right="88"/>
              <w:spacing w:after="0"/>
              <w:rPr>
                <w:sz w:val="20"/>
                <w:szCs w:val="20"/>
                <w:color w:val="auto"/>
              </w:rPr>
            </w:pPr>
            <w:r>
              <w:rPr>
                <w:rFonts w:ascii="Arial" w:cs="Arial" w:eastAsia="Arial" w:hAnsi="Arial"/>
                <w:sz w:val="14"/>
                <w:szCs w:val="14"/>
                <w:color w:val="auto"/>
              </w:rPr>
              <w:t>2</w:t>
            </w:r>
          </w:p>
        </w:tc>
        <w:tc>
          <w:tcPr>
            <w:tcW w:w="120" w:type="dxa"/>
            <w:vAlign w:val="bottom"/>
            <w:tcBorders>
              <w:bottom w:val="single" w:sz="8" w:color="auto"/>
            </w:tcBorders>
            <w:shd w:val="clear" w:color="auto" w:fill="D4F1F5"/>
          </w:tcPr>
          <w:p>
            <w:pPr>
              <w:jc w:val="right"/>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shd w:val="clear" w:color="auto" w:fill="D4F1F5"/>
          </w:tcPr>
          <w:p>
            <w:pPr>
              <w:jc w:val="right"/>
              <w:ind w:right="8"/>
              <w:spacing w:after="0"/>
              <w:rPr>
                <w:sz w:val="20"/>
                <w:szCs w:val="20"/>
                <w:color w:val="auto"/>
              </w:rPr>
            </w:pPr>
            <w:r>
              <w:rPr>
                <w:rFonts w:ascii="Arial" w:cs="Arial" w:eastAsia="Arial" w:hAnsi="Arial"/>
                <w:sz w:val="14"/>
                <w:szCs w:val="14"/>
                <w:color w:val="auto"/>
              </w:rPr>
              <w:t>(62)</w:t>
            </w:r>
          </w:p>
        </w:tc>
        <w:tc>
          <w:tcPr>
            <w:tcW w:w="160" w:type="dxa"/>
            <w:vAlign w:val="bottom"/>
            <w:tcBorders>
              <w:bottom w:val="single" w:sz="8" w:color="auto"/>
            </w:tcBorders>
            <w:shd w:val="clear" w:color="auto" w:fill="D4F1F5"/>
          </w:tcPr>
          <w:p>
            <w:pPr>
              <w:spacing w:after="0"/>
              <w:rPr>
                <w:sz w:val="17"/>
                <w:szCs w:val="17"/>
                <w:color w:val="auto"/>
              </w:rPr>
            </w:pPr>
          </w:p>
        </w:tc>
        <w:tc>
          <w:tcPr>
            <w:tcW w:w="1020" w:type="dxa"/>
            <w:vAlign w:val="bottom"/>
            <w:tcBorders>
              <w:bottom w:val="single" w:sz="8" w:color="auto"/>
            </w:tcBorders>
            <w:shd w:val="clear" w:color="auto" w:fill="D4F1F5"/>
          </w:tcPr>
          <w:p>
            <w:pPr>
              <w:spacing w:after="0"/>
              <w:rPr>
                <w:sz w:val="17"/>
                <w:szCs w:val="17"/>
                <w:color w:val="auto"/>
              </w:rPr>
            </w:pPr>
          </w:p>
        </w:tc>
        <w:tc>
          <w:tcPr>
            <w:tcW w:w="260" w:type="dxa"/>
            <w:vAlign w:val="bottom"/>
            <w:tcBorders>
              <w:bottom w:val="single" w:sz="8" w:color="auto"/>
            </w:tcBorders>
            <w:shd w:val="clear" w:color="auto" w:fill="D4F1F5"/>
          </w:tcPr>
          <w:p>
            <w:pPr>
              <w:jc w:val="right"/>
              <w:ind w:right="8"/>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shd w:val="clear" w:color="auto" w:fill="D4F1F5"/>
          </w:tcPr>
          <w:p>
            <w:pPr>
              <w:jc w:val="right"/>
              <w:spacing w:after="0"/>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150495</wp:posOffset>
            </wp:positionV>
            <wp:extent cx="715772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right="300"/>
        <w:spacing w:after="0" w:line="297" w:lineRule="auto"/>
        <w:rPr>
          <w:sz w:val="20"/>
          <w:szCs w:val="20"/>
          <w:color w:val="auto"/>
        </w:rPr>
      </w:pPr>
      <w:r>
        <w:rPr>
          <w:rFonts w:ascii="Times New Roman" w:cs="Times New Roman" w:eastAsia="Times New Roman" w:hAnsi="Times New Roman"/>
          <w:sz w:val="18"/>
          <w:szCs w:val="18"/>
          <w:color w:val="auto"/>
        </w:rPr>
        <w:t>The following table includes the effects of derivative instruments designated as hedges on the Condensed Consolidated Statements of Operations and in OCI and AOCI.</w:t>
      </w:r>
    </w:p>
    <w:p>
      <w:pPr>
        <w:spacing w:after="0" w:line="86"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FFFFFF"/>
        </w:rPr>
        <w:t>HEDGE IMPACTS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-115570</wp:posOffset>
            </wp:positionV>
            <wp:extent cx="7132320" cy="26543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32320" cy="265430"/>
                    </a:xfrm>
                    <a:prstGeom prst="rect">
                      <a:avLst/>
                    </a:prstGeom>
                    <a:noFill/>
                  </pic:spPr>
                </pic:pic>
              </a:graphicData>
            </a:graphic>
          </wp:anchor>
        </w:drawing>
      </w:r>
    </w:p>
    <w:p>
      <w:pPr>
        <w:spacing w:after="0" w:line="19" w:lineRule="exact"/>
        <w:rPr>
          <w:sz w:val="20"/>
          <w:szCs w:val="20"/>
          <w:color w:val="auto"/>
        </w:rPr>
      </w:pPr>
    </w:p>
    <w:p>
      <w:pPr>
        <w:ind w:left="20"/>
        <w:spacing w:after="0"/>
        <w:rPr>
          <w:sz w:val="20"/>
          <w:szCs w:val="20"/>
          <w:color w:val="auto"/>
        </w:rPr>
      </w:pPr>
      <w:r>
        <w:rPr>
          <w:rFonts w:ascii="Arial" w:cs="Arial" w:eastAsia="Arial" w:hAnsi="Arial"/>
          <w:sz w:val="14"/>
          <w:szCs w:val="14"/>
          <w:i w:val="1"/>
          <w:iCs w:val="1"/>
          <w:color w:val="FFFFFF"/>
        </w:rPr>
        <w:t>(Dollars in millions)</w:t>
      </w:r>
    </w:p>
    <w:p>
      <w:pPr>
        <w:spacing w:after="0" w:line="53"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27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60" w:type="dxa"/>
            <w:vAlign w:val="bottom"/>
            <w:gridSpan w:val="2"/>
          </w:tcPr>
          <w:p>
            <w:pPr>
              <w:jc w:val="center"/>
              <w:ind w:right="428"/>
              <w:spacing w:after="0"/>
              <w:rPr>
                <w:sz w:val="20"/>
                <w:szCs w:val="20"/>
                <w:color w:val="auto"/>
              </w:rPr>
            </w:pPr>
            <w:r>
              <w:rPr>
                <w:rFonts w:ascii="Arial" w:cs="Arial" w:eastAsia="Arial" w:hAnsi="Arial"/>
                <w:sz w:val="14"/>
                <w:szCs w:val="14"/>
                <w:color w:val="auto"/>
              </w:rPr>
              <w:t>Pretax gain (loss)</w:t>
            </w:r>
          </w:p>
        </w:tc>
        <w:tc>
          <w:tcPr>
            <w:tcW w:w="360" w:type="dxa"/>
            <w:vAlign w:val="bottom"/>
          </w:tcPr>
          <w:p>
            <w:pPr>
              <w:spacing w:after="0"/>
              <w:rPr>
                <w:sz w:val="15"/>
                <w:szCs w:val="15"/>
                <w:color w:val="auto"/>
              </w:rPr>
            </w:pPr>
          </w:p>
        </w:tc>
        <w:tc>
          <w:tcPr>
            <w:tcW w:w="27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640" w:type="dxa"/>
            <w:vAlign w:val="bottom"/>
            <w:gridSpan w:val="3"/>
          </w:tcPr>
          <w:p>
            <w:pPr>
              <w:jc w:val="center"/>
              <w:ind w:right="248"/>
              <w:spacing w:after="0"/>
              <w:rPr>
                <w:sz w:val="20"/>
                <w:szCs w:val="20"/>
                <w:color w:val="auto"/>
              </w:rPr>
            </w:pPr>
            <w:r>
              <w:rPr>
                <w:rFonts w:ascii="Arial" w:cs="Arial" w:eastAsia="Arial" w:hAnsi="Arial"/>
                <w:sz w:val="14"/>
                <w:szCs w:val="14"/>
                <w:color w:val="auto"/>
              </w:rPr>
              <w:t>Pretax gain (loss) reclassified</w:t>
            </w:r>
          </w:p>
        </w:tc>
        <w:tc>
          <w:tcPr>
            <w:tcW w:w="0" w:type="dxa"/>
            <w:vAlign w:val="bottom"/>
          </w:tcPr>
          <w:p>
            <w:pPr>
              <w:spacing w:after="0"/>
              <w:rPr>
                <w:sz w:val="1"/>
                <w:szCs w:val="1"/>
                <w:color w:val="auto"/>
              </w:rPr>
            </w:pPr>
          </w:p>
        </w:tc>
      </w:tr>
      <w:tr>
        <w:trPr>
          <w:trHeight w:val="194"/>
        </w:trPr>
        <w:tc>
          <w:tcPr>
            <w:tcW w:w="2720" w:type="dxa"/>
            <w:vAlign w:val="bottom"/>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2"/>
          </w:tcPr>
          <w:p>
            <w:pPr>
              <w:jc w:val="center"/>
              <w:ind w:right="448"/>
              <w:spacing w:after="0"/>
              <w:rPr>
                <w:sz w:val="20"/>
                <w:szCs w:val="20"/>
                <w:color w:val="auto"/>
              </w:rPr>
            </w:pPr>
            <w:r>
              <w:rPr>
                <w:rFonts w:ascii="Arial" w:cs="Arial" w:eastAsia="Arial" w:hAnsi="Arial"/>
                <w:sz w:val="14"/>
                <w:szCs w:val="14"/>
                <w:color w:val="auto"/>
              </w:rPr>
              <w:t>recognized in OCI</w:t>
            </w:r>
          </w:p>
        </w:tc>
        <w:tc>
          <w:tcPr>
            <w:tcW w:w="360" w:type="dxa"/>
            <w:vAlign w:val="bottom"/>
            <w:tcBorders>
              <w:bottom w:val="single" w:sz="8" w:color="auto"/>
            </w:tcBorders>
          </w:tcPr>
          <w:p>
            <w:pPr>
              <w:spacing w:after="0"/>
              <w:rPr>
                <w:sz w:val="16"/>
                <w:szCs w:val="16"/>
                <w:color w:val="auto"/>
              </w:rPr>
            </w:pPr>
          </w:p>
        </w:tc>
        <w:tc>
          <w:tcPr>
            <w:tcW w:w="27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640" w:type="dxa"/>
            <w:vAlign w:val="bottom"/>
            <w:tcBorders>
              <w:bottom w:val="single" w:sz="8" w:color="auto"/>
            </w:tcBorders>
            <w:gridSpan w:val="3"/>
          </w:tcPr>
          <w:p>
            <w:pPr>
              <w:jc w:val="center"/>
              <w:ind w:right="228"/>
              <w:spacing w:after="0"/>
              <w:rPr>
                <w:sz w:val="20"/>
                <w:szCs w:val="20"/>
                <w:color w:val="auto"/>
              </w:rPr>
            </w:pPr>
            <w:r>
              <w:rPr>
                <w:rFonts w:ascii="Arial" w:cs="Arial" w:eastAsia="Arial" w:hAnsi="Arial"/>
                <w:sz w:val="14"/>
                <w:szCs w:val="14"/>
                <w:color w:val="auto"/>
              </w:rPr>
              <w:t>from AOCI into earnings</w:t>
            </w:r>
          </w:p>
        </w:tc>
        <w:tc>
          <w:tcPr>
            <w:tcW w:w="0" w:type="dxa"/>
            <w:vAlign w:val="bottom"/>
          </w:tcPr>
          <w:p>
            <w:pPr>
              <w:spacing w:after="0"/>
              <w:rPr>
                <w:sz w:val="1"/>
                <w:szCs w:val="1"/>
                <w:color w:val="auto"/>
              </w:rPr>
            </w:pPr>
          </w:p>
        </w:tc>
      </w:tr>
      <w:tr>
        <w:trPr>
          <w:trHeight w:val="209"/>
        </w:trPr>
        <w:tc>
          <w:tcPr>
            <w:tcW w:w="2720" w:type="dxa"/>
            <w:vAlign w:val="bottom"/>
          </w:tcPr>
          <w:p>
            <w:pPr>
              <w:spacing w:after="0"/>
              <w:rPr>
                <w:sz w:val="18"/>
                <w:szCs w:val="18"/>
                <w:color w:val="auto"/>
              </w:rPr>
            </w:pPr>
          </w:p>
        </w:tc>
        <w:tc>
          <w:tcPr>
            <w:tcW w:w="2540" w:type="dxa"/>
            <w:vAlign w:val="bottom"/>
            <w:tcBorders>
              <w:bottom w:val="single" w:sz="8" w:color="auto"/>
            </w:tcBorders>
            <w:gridSpan w:val="3"/>
          </w:tcPr>
          <w:p>
            <w:pPr>
              <w:jc w:val="center"/>
              <w:ind w:left="288"/>
              <w:spacing w:after="0"/>
              <w:rPr>
                <w:sz w:val="20"/>
                <w:szCs w:val="20"/>
                <w:color w:val="auto"/>
              </w:rPr>
            </w:pPr>
            <w:r>
              <w:rPr>
                <w:rFonts w:ascii="Arial" w:cs="Arial" w:eastAsia="Arial" w:hAnsi="Arial"/>
                <w:sz w:val="14"/>
                <w:szCs w:val="14"/>
                <w:color w:val="auto"/>
              </w:rPr>
              <w:t>Three months ended March 31,</w:t>
            </w:r>
          </w:p>
        </w:tc>
        <w:tc>
          <w:tcPr>
            <w:tcW w:w="360" w:type="dxa"/>
            <w:vAlign w:val="bottom"/>
            <w:tcBorders>
              <w:bottom w:val="single" w:sz="8" w:color="auto"/>
            </w:tcBorders>
          </w:tcPr>
          <w:p>
            <w:pPr>
              <w:spacing w:after="0"/>
              <w:rPr>
                <w:sz w:val="18"/>
                <w:szCs w:val="18"/>
                <w:color w:val="auto"/>
              </w:rPr>
            </w:pPr>
          </w:p>
        </w:tc>
        <w:tc>
          <w:tcPr>
            <w:tcW w:w="27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2640" w:type="dxa"/>
            <w:vAlign w:val="bottom"/>
            <w:tcBorders>
              <w:bottom w:val="single" w:sz="8" w:color="auto"/>
            </w:tcBorders>
            <w:gridSpan w:val="3"/>
          </w:tcPr>
          <w:p>
            <w:pPr>
              <w:jc w:val="center"/>
              <w:ind w:right="208"/>
              <w:spacing w:after="0"/>
              <w:rPr>
                <w:sz w:val="20"/>
                <w:szCs w:val="20"/>
                <w:color w:val="auto"/>
              </w:rPr>
            </w:pPr>
            <w:r>
              <w:rPr>
                <w:rFonts w:ascii="Arial" w:cs="Arial" w:eastAsia="Arial" w:hAnsi="Arial"/>
                <w:sz w:val="14"/>
                <w:szCs w:val="14"/>
                <w:color w:val="auto"/>
              </w:rPr>
              <w:t>Three months ended March 31,</w:t>
            </w:r>
          </w:p>
        </w:tc>
        <w:tc>
          <w:tcPr>
            <w:tcW w:w="0" w:type="dxa"/>
            <w:vAlign w:val="bottom"/>
          </w:tcPr>
          <w:p>
            <w:pPr>
              <w:spacing w:after="0"/>
              <w:rPr>
                <w:sz w:val="1"/>
                <w:szCs w:val="1"/>
                <w:color w:val="auto"/>
              </w:rPr>
            </w:pPr>
          </w:p>
        </w:tc>
      </w:tr>
      <w:tr>
        <w:trPr>
          <w:trHeight w:val="210"/>
        </w:trPr>
        <w:tc>
          <w:tcPr>
            <w:tcW w:w="27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2026</w:t>
            </w:r>
          </w:p>
        </w:tc>
        <w:tc>
          <w:tcPr>
            <w:tcW w:w="5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2025</w:t>
            </w:r>
          </w:p>
        </w:tc>
        <w:tc>
          <w:tcPr>
            <w:tcW w:w="360" w:type="dxa"/>
            <w:vAlign w:val="bottom"/>
            <w:tcBorders>
              <w:bottom w:val="single" w:sz="8" w:color="auto"/>
            </w:tcBorders>
          </w:tcPr>
          <w:p>
            <w:pPr>
              <w:spacing w:after="0"/>
              <w:rPr>
                <w:sz w:val="18"/>
                <w:szCs w:val="18"/>
                <w:color w:val="auto"/>
              </w:rPr>
            </w:pPr>
          </w:p>
        </w:tc>
        <w:tc>
          <w:tcPr>
            <w:tcW w:w="2700" w:type="dxa"/>
            <w:vAlign w:val="bottom"/>
            <w:tcBorders>
              <w:bottom w:val="single" w:sz="8" w:color="auto"/>
            </w:tcBorders>
          </w:tcPr>
          <w:p>
            <w:pPr>
              <w:ind w:left="1080"/>
              <w:spacing w:after="0"/>
              <w:rPr>
                <w:sz w:val="20"/>
                <w:szCs w:val="20"/>
                <w:color w:val="auto"/>
              </w:rPr>
            </w:pPr>
            <w:r>
              <w:rPr>
                <w:rFonts w:ascii="Arial" w:cs="Arial" w:eastAsia="Arial" w:hAnsi="Arial"/>
                <w:sz w:val="14"/>
                <w:szCs w:val="14"/>
                <w:color w:val="auto"/>
              </w:rPr>
              <w:t>Location</w:t>
            </w:r>
          </w:p>
        </w:tc>
        <w:tc>
          <w:tcPr>
            <w:tcW w:w="2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508"/>
              <w:spacing w:after="0"/>
              <w:rPr>
                <w:sz w:val="20"/>
                <w:szCs w:val="20"/>
                <w:color w:val="auto"/>
              </w:rPr>
            </w:pPr>
            <w:r>
              <w:rPr>
                <w:rFonts w:ascii="Arial" w:cs="Arial" w:eastAsia="Arial" w:hAnsi="Arial"/>
                <w:sz w:val="14"/>
                <w:szCs w:val="14"/>
                <w:color w:val="auto"/>
              </w:rPr>
              <w:t>2026</w:t>
            </w:r>
          </w:p>
        </w:tc>
        <w:tc>
          <w:tcPr>
            <w:tcW w:w="3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color w:val="auto"/>
              </w:rPr>
              <w:t>2025</w:t>
            </w:r>
          </w:p>
        </w:tc>
        <w:tc>
          <w:tcPr>
            <w:tcW w:w="0" w:type="dxa"/>
            <w:vAlign w:val="bottom"/>
          </w:tcPr>
          <w:p>
            <w:pPr>
              <w:spacing w:after="0"/>
              <w:rPr>
                <w:sz w:val="1"/>
                <w:szCs w:val="1"/>
                <w:color w:val="auto"/>
              </w:rPr>
            </w:pPr>
          </w:p>
        </w:tc>
      </w:tr>
      <w:tr>
        <w:trPr>
          <w:trHeight w:val="200"/>
        </w:trPr>
        <w:tc>
          <w:tcPr>
            <w:tcW w:w="2720" w:type="dxa"/>
            <w:vAlign w:val="bottom"/>
            <w:shd w:val="clear" w:color="auto" w:fill="D4F1F5"/>
          </w:tcPr>
          <w:p>
            <w:pPr>
              <w:ind w:left="20"/>
              <w:spacing w:after="0"/>
              <w:rPr>
                <w:sz w:val="20"/>
                <w:szCs w:val="20"/>
                <w:color w:val="auto"/>
              </w:rPr>
            </w:pPr>
            <w:r>
              <w:rPr>
                <w:rFonts w:ascii="Arial" w:cs="Arial" w:eastAsia="Arial" w:hAnsi="Arial"/>
                <w:sz w:val="14"/>
                <w:szCs w:val="14"/>
                <w:b w:val="1"/>
                <w:bCs w:val="1"/>
                <w:color w:val="auto"/>
              </w:rPr>
              <w:t>Sempra:</w:t>
            </w:r>
          </w:p>
        </w:tc>
        <w:tc>
          <w:tcPr>
            <w:tcW w:w="880" w:type="dxa"/>
            <w:vAlign w:val="bottom"/>
            <w:shd w:val="clear" w:color="auto" w:fill="D4F1F5"/>
          </w:tcPr>
          <w:p>
            <w:pPr>
              <w:spacing w:after="0"/>
              <w:rPr>
                <w:sz w:val="17"/>
                <w:szCs w:val="17"/>
                <w:color w:val="auto"/>
              </w:rPr>
            </w:pPr>
          </w:p>
        </w:tc>
        <w:tc>
          <w:tcPr>
            <w:tcW w:w="560" w:type="dxa"/>
            <w:vAlign w:val="bottom"/>
            <w:shd w:val="clear" w:color="auto" w:fill="D4F1F5"/>
          </w:tcPr>
          <w:p>
            <w:pPr>
              <w:spacing w:after="0"/>
              <w:rPr>
                <w:sz w:val="17"/>
                <w:szCs w:val="17"/>
                <w:color w:val="auto"/>
              </w:rPr>
            </w:pPr>
          </w:p>
        </w:tc>
        <w:tc>
          <w:tcPr>
            <w:tcW w:w="1100" w:type="dxa"/>
            <w:vAlign w:val="bottom"/>
            <w:shd w:val="clear" w:color="auto" w:fill="D4F1F5"/>
          </w:tcPr>
          <w:p>
            <w:pPr>
              <w:spacing w:after="0"/>
              <w:rPr>
                <w:sz w:val="17"/>
                <w:szCs w:val="17"/>
                <w:color w:val="auto"/>
              </w:rPr>
            </w:pPr>
          </w:p>
        </w:tc>
        <w:tc>
          <w:tcPr>
            <w:tcW w:w="360" w:type="dxa"/>
            <w:vAlign w:val="bottom"/>
            <w:shd w:val="clear" w:color="auto" w:fill="D4F1F5"/>
          </w:tcPr>
          <w:p>
            <w:pPr>
              <w:spacing w:after="0"/>
              <w:rPr>
                <w:sz w:val="17"/>
                <w:szCs w:val="17"/>
                <w:color w:val="auto"/>
              </w:rPr>
            </w:pPr>
          </w:p>
        </w:tc>
        <w:tc>
          <w:tcPr>
            <w:tcW w:w="2700" w:type="dxa"/>
            <w:vAlign w:val="bottom"/>
            <w:shd w:val="clear" w:color="auto" w:fill="D4F1F5"/>
          </w:tcPr>
          <w:p>
            <w:pPr>
              <w:spacing w:after="0"/>
              <w:rPr>
                <w:sz w:val="17"/>
                <w:szCs w:val="17"/>
                <w:color w:val="auto"/>
              </w:rPr>
            </w:pPr>
          </w:p>
        </w:tc>
        <w:tc>
          <w:tcPr>
            <w:tcW w:w="280" w:type="dxa"/>
            <w:vAlign w:val="bottom"/>
            <w:shd w:val="clear" w:color="auto" w:fill="D4F1F5"/>
          </w:tcPr>
          <w:p>
            <w:pPr>
              <w:spacing w:after="0"/>
              <w:rPr>
                <w:sz w:val="17"/>
                <w:szCs w:val="17"/>
                <w:color w:val="auto"/>
              </w:rPr>
            </w:pPr>
          </w:p>
        </w:tc>
        <w:tc>
          <w:tcPr>
            <w:tcW w:w="1160" w:type="dxa"/>
            <w:vAlign w:val="bottom"/>
            <w:shd w:val="clear" w:color="auto" w:fill="D4F1F5"/>
          </w:tcPr>
          <w:p>
            <w:pPr>
              <w:spacing w:after="0"/>
              <w:rPr>
                <w:sz w:val="17"/>
                <w:szCs w:val="17"/>
                <w:color w:val="auto"/>
              </w:rPr>
            </w:pPr>
          </w:p>
        </w:tc>
        <w:tc>
          <w:tcPr>
            <w:tcW w:w="380" w:type="dxa"/>
            <w:vAlign w:val="bottom"/>
            <w:shd w:val="clear" w:color="auto" w:fill="D4F1F5"/>
          </w:tcPr>
          <w:p>
            <w:pPr>
              <w:spacing w:after="0"/>
              <w:rPr>
                <w:sz w:val="17"/>
                <w:szCs w:val="17"/>
                <w:color w:val="auto"/>
              </w:rPr>
            </w:pPr>
          </w:p>
        </w:tc>
        <w:tc>
          <w:tcPr>
            <w:tcW w:w="1100" w:type="dxa"/>
            <w:vAlign w:val="bottom"/>
            <w:shd w:val="clear" w:color="auto" w:fill="D4F1F5"/>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720" w:type="dxa"/>
            <w:vAlign w:val="bottom"/>
          </w:tcPr>
          <w:p>
            <w:pPr>
              <w:ind w:left="140"/>
              <w:spacing w:after="0"/>
              <w:rPr>
                <w:sz w:val="20"/>
                <w:szCs w:val="20"/>
                <w:color w:val="auto"/>
              </w:rPr>
            </w:pPr>
            <w:r>
              <w:rPr>
                <w:rFonts w:ascii="Arial" w:cs="Arial" w:eastAsia="Arial" w:hAnsi="Arial"/>
                <w:sz w:val="14"/>
                <w:szCs w:val="14"/>
                <w:color w:val="auto"/>
              </w:rPr>
              <w:t>Cash flow hedges:</w:t>
            </w:r>
          </w:p>
        </w:tc>
        <w:tc>
          <w:tcPr>
            <w:tcW w:w="8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7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720" w:type="dxa"/>
            <w:vAlign w:val="bottom"/>
            <w:shd w:val="clear" w:color="auto" w:fill="D4F1F5"/>
          </w:tcPr>
          <w:p>
            <w:pPr>
              <w:ind w:left="240"/>
              <w:spacing w:after="0"/>
              <w:rPr>
                <w:sz w:val="20"/>
                <w:szCs w:val="20"/>
                <w:color w:val="auto"/>
              </w:rPr>
            </w:pPr>
            <w:r>
              <w:rPr>
                <w:rFonts w:ascii="Arial" w:cs="Arial" w:eastAsia="Arial" w:hAnsi="Arial"/>
                <w:sz w:val="14"/>
                <w:szCs w:val="14"/>
                <w:color w:val="auto"/>
              </w:rPr>
              <w:t>Interest rate instruments</w:t>
            </w:r>
          </w:p>
        </w:tc>
        <w:tc>
          <w:tcPr>
            <w:tcW w:w="880" w:type="dxa"/>
            <w:vAlign w:val="bottom"/>
            <w:shd w:val="clear" w:color="auto" w:fill="D4F1F5"/>
          </w:tcPr>
          <w:p>
            <w:pPr>
              <w:jc w:val="right"/>
              <w:ind w:right="708"/>
              <w:spacing w:after="0"/>
              <w:rPr>
                <w:sz w:val="20"/>
                <w:szCs w:val="20"/>
                <w:color w:val="auto"/>
              </w:rPr>
            </w:pPr>
            <w:r>
              <w:rPr>
                <w:rFonts w:ascii="Arial" w:cs="Arial" w:eastAsia="Arial" w:hAnsi="Arial"/>
                <w:sz w:val="14"/>
                <w:szCs w:val="14"/>
                <w:color w:val="auto"/>
              </w:rPr>
              <w:t>$</w:t>
            </w:r>
          </w:p>
        </w:tc>
        <w:tc>
          <w:tcPr>
            <w:tcW w:w="560" w:type="dxa"/>
            <w:vAlign w:val="bottom"/>
            <w:shd w:val="clear" w:color="auto" w:fill="D4F1F5"/>
          </w:tcPr>
          <w:p>
            <w:pPr>
              <w:jc w:val="right"/>
              <w:ind w:right="28"/>
              <w:spacing w:after="0"/>
              <w:rPr>
                <w:sz w:val="20"/>
                <w:szCs w:val="20"/>
                <w:color w:val="auto"/>
              </w:rPr>
            </w:pPr>
            <w:r>
              <w:rPr>
                <w:rFonts w:ascii="Arial" w:cs="Arial" w:eastAsia="Arial" w:hAnsi="Arial"/>
                <w:sz w:val="14"/>
                <w:szCs w:val="14"/>
                <w:color w:val="auto"/>
              </w:rPr>
              <w:t>2</w:t>
            </w:r>
          </w:p>
        </w:tc>
        <w:tc>
          <w:tcPr>
            <w:tcW w:w="1100" w:type="dxa"/>
            <w:vAlign w:val="bottom"/>
            <w:shd w:val="clear" w:color="auto" w:fill="D4F1F5"/>
          </w:tcPr>
          <w:p>
            <w:pPr>
              <w:jc w:val="right"/>
              <w:ind w:right="868"/>
              <w:spacing w:after="0"/>
              <w:rPr>
                <w:sz w:val="20"/>
                <w:szCs w:val="20"/>
                <w:color w:val="auto"/>
              </w:rPr>
            </w:pPr>
            <w:r>
              <w:rPr>
                <w:rFonts w:ascii="Arial" w:cs="Arial" w:eastAsia="Arial" w:hAnsi="Arial"/>
                <w:sz w:val="14"/>
                <w:szCs w:val="14"/>
                <w:color w:val="auto"/>
              </w:rPr>
              <w:t>$</w:t>
            </w:r>
          </w:p>
        </w:tc>
        <w:tc>
          <w:tcPr>
            <w:tcW w:w="360" w:type="dxa"/>
            <w:vAlign w:val="bottom"/>
            <w:shd w:val="clear" w:color="auto" w:fill="D4F1F5"/>
          </w:tcPr>
          <w:p>
            <w:pPr>
              <w:jc w:val="right"/>
              <w:spacing w:after="0"/>
              <w:rPr>
                <w:sz w:val="20"/>
                <w:szCs w:val="20"/>
                <w:color w:val="auto"/>
              </w:rPr>
            </w:pPr>
            <w:r>
              <w:rPr>
                <w:rFonts w:ascii="Arial" w:cs="Arial" w:eastAsia="Arial" w:hAnsi="Arial"/>
                <w:sz w:val="14"/>
                <w:szCs w:val="14"/>
                <w:color w:val="auto"/>
              </w:rPr>
              <w:t>(3)</w:t>
            </w:r>
          </w:p>
        </w:tc>
        <w:tc>
          <w:tcPr>
            <w:tcW w:w="2700" w:type="dxa"/>
            <w:vAlign w:val="bottom"/>
            <w:shd w:val="clear" w:color="auto" w:fill="D4F1F5"/>
          </w:tcPr>
          <w:p>
            <w:pPr>
              <w:ind w:left="140"/>
              <w:spacing w:after="0"/>
              <w:rPr>
                <w:sz w:val="20"/>
                <w:szCs w:val="20"/>
                <w:color w:val="auto"/>
              </w:rPr>
            </w:pPr>
            <w:r>
              <w:rPr>
                <w:rFonts w:ascii="Arial" w:cs="Arial" w:eastAsia="Arial" w:hAnsi="Arial"/>
                <w:sz w:val="14"/>
                <w:szCs w:val="14"/>
                <w:color w:val="auto"/>
              </w:rPr>
              <w:t>Interest expense</w:t>
            </w:r>
          </w:p>
        </w:tc>
        <w:tc>
          <w:tcPr>
            <w:tcW w:w="280" w:type="dxa"/>
            <w:vAlign w:val="bottom"/>
            <w:shd w:val="clear" w:color="auto" w:fill="D4F1F5"/>
          </w:tcPr>
          <w:p>
            <w:pPr>
              <w:jc w:val="right"/>
              <w:ind w:right="128"/>
              <w:spacing w:after="0"/>
              <w:rPr>
                <w:sz w:val="20"/>
                <w:szCs w:val="20"/>
                <w:color w:val="auto"/>
              </w:rPr>
            </w:pPr>
            <w:r>
              <w:rPr>
                <w:rFonts w:ascii="Arial" w:cs="Arial" w:eastAsia="Arial" w:hAnsi="Arial"/>
                <w:sz w:val="14"/>
                <w:szCs w:val="14"/>
                <w:color w:val="auto"/>
                <w:w w:val="76"/>
              </w:rPr>
              <w:t>$</w:t>
            </w:r>
          </w:p>
        </w:tc>
        <w:tc>
          <w:tcPr>
            <w:tcW w:w="1160" w:type="dxa"/>
            <w:vAlign w:val="bottom"/>
            <w:shd w:val="clear" w:color="auto" w:fill="D4F1F5"/>
          </w:tcPr>
          <w:p>
            <w:pPr>
              <w:jc w:val="right"/>
              <w:ind w:right="28"/>
              <w:spacing w:after="0"/>
              <w:rPr>
                <w:sz w:val="20"/>
                <w:szCs w:val="20"/>
                <w:color w:val="auto"/>
              </w:rPr>
            </w:pPr>
            <w:r>
              <w:rPr>
                <w:rFonts w:ascii="Arial" w:cs="Arial" w:eastAsia="Arial" w:hAnsi="Arial"/>
                <w:sz w:val="14"/>
                <w:szCs w:val="14"/>
                <w:color w:val="auto"/>
              </w:rPr>
              <w:t>1</w:t>
            </w:r>
          </w:p>
        </w:tc>
        <w:tc>
          <w:tcPr>
            <w:tcW w:w="380" w:type="dxa"/>
            <w:vAlign w:val="bottom"/>
            <w:shd w:val="clear" w:color="auto" w:fill="D4F1F5"/>
          </w:tcPr>
          <w:p>
            <w:pPr>
              <w:jc w:val="right"/>
              <w:ind w:right="148"/>
              <w:spacing w:after="0"/>
              <w:rPr>
                <w:sz w:val="20"/>
                <w:szCs w:val="20"/>
                <w:color w:val="auto"/>
              </w:rPr>
            </w:pPr>
            <w:r>
              <w:rPr>
                <w:rFonts w:ascii="Arial" w:cs="Arial" w:eastAsia="Arial" w:hAnsi="Arial"/>
                <w:sz w:val="14"/>
                <w:szCs w:val="14"/>
                <w:color w:val="auto"/>
              </w:rPr>
              <w:t>$</w:t>
            </w:r>
          </w:p>
        </w:tc>
        <w:tc>
          <w:tcPr>
            <w:tcW w:w="1100" w:type="dxa"/>
            <w:vAlign w:val="bottom"/>
            <w:shd w:val="clear" w:color="auto" w:fill="D4F1F5"/>
          </w:tcPr>
          <w:p>
            <w:pPr>
              <w:jc w:val="right"/>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198"/>
        </w:trPr>
        <w:tc>
          <w:tcPr>
            <w:tcW w:w="2720" w:type="dxa"/>
            <w:vAlign w:val="bottom"/>
          </w:tcPr>
          <w:p>
            <w:pPr>
              <w:ind w:left="240"/>
              <w:spacing w:after="0"/>
              <w:rPr>
                <w:sz w:val="20"/>
                <w:szCs w:val="20"/>
                <w:color w:val="auto"/>
              </w:rPr>
            </w:pPr>
            <w:r>
              <w:rPr>
                <w:rFonts w:ascii="Arial" w:cs="Arial" w:eastAsia="Arial" w:hAnsi="Arial"/>
                <w:sz w:val="14"/>
                <w:szCs w:val="14"/>
                <w:color w:val="auto"/>
              </w:rPr>
              <w:t>Interest rate instruments</w:t>
            </w:r>
          </w:p>
        </w:tc>
        <w:tc>
          <w:tcPr>
            <w:tcW w:w="880" w:type="dxa"/>
            <w:vAlign w:val="bottom"/>
          </w:tcPr>
          <w:p>
            <w:pPr>
              <w:spacing w:after="0"/>
              <w:rPr>
                <w:sz w:val="17"/>
                <w:szCs w:val="17"/>
                <w:color w:val="auto"/>
              </w:rPr>
            </w:pPr>
          </w:p>
        </w:tc>
        <w:tc>
          <w:tcPr>
            <w:tcW w:w="560" w:type="dxa"/>
            <w:vAlign w:val="bottom"/>
          </w:tcPr>
          <w:p>
            <w:pPr>
              <w:jc w:val="right"/>
              <w:ind w:right="28"/>
              <w:spacing w:after="0"/>
              <w:rPr>
                <w:sz w:val="20"/>
                <w:szCs w:val="20"/>
                <w:color w:val="auto"/>
              </w:rPr>
            </w:pPr>
            <w:r>
              <w:rPr>
                <w:rFonts w:ascii="Arial" w:cs="Arial" w:eastAsia="Arial" w:hAnsi="Arial"/>
                <w:sz w:val="14"/>
                <w:szCs w:val="14"/>
                <w:color w:val="auto"/>
              </w:rPr>
              <w:t>7</w:t>
            </w:r>
          </w:p>
        </w:tc>
        <w:tc>
          <w:tcPr>
            <w:tcW w:w="1100" w:type="dxa"/>
            <w:vAlign w:val="bottom"/>
          </w:tcPr>
          <w:p>
            <w:pPr>
              <w:spacing w:after="0"/>
              <w:rPr>
                <w:sz w:val="17"/>
                <w:szCs w:val="17"/>
                <w:color w:val="auto"/>
              </w:rPr>
            </w:pPr>
          </w:p>
        </w:tc>
        <w:tc>
          <w:tcPr>
            <w:tcW w:w="360" w:type="dxa"/>
            <w:vAlign w:val="bottom"/>
          </w:tcPr>
          <w:p>
            <w:pPr>
              <w:jc w:val="right"/>
              <w:spacing w:after="0"/>
              <w:rPr>
                <w:sz w:val="20"/>
                <w:szCs w:val="20"/>
                <w:color w:val="auto"/>
              </w:rPr>
            </w:pPr>
            <w:r>
              <w:rPr>
                <w:rFonts w:ascii="Arial" w:cs="Arial" w:eastAsia="Arial" w:hAnsi="Arial"/>
                <w:sz w:val="14"/>
                <w:szCs w:val="14"/>
                <w:color w:val="auto"/>
              </w:rPr>
              <w:t>(20)</w:t>
            </w:r>
          </w:p>
        </w:tc>
        <w:tc>
          <w:tcPr>
            <w:tcW w:w="2700" w:type="dxa"/>
            <w:vAlign w:val="bottom"/>
          </w:tcPr>
          <w:p>
            <w:pPr>
              <w:ind w:left="140"/>
              <w:spacing w:after="0"/>
              <w:rPr>
                <w:sz w:val="20"/>
                <w:szCs w:val="20"/>
                <w:color w:val="auto"/>
              </w:rPr>
            </w:pPr>
            <w:r>
              <w:rPr>
                <w:rFonts w:ascii="Arial" w:cs="Arial" w:eastAsia="Arial" w:hAnsi="Arial"/>
                <w:sz w:val="14"/>
                <w:szCs w:val="14"/>
                <w:color w:val="auto"/>
              </w:rPr>
              <w:t>Equity earnings</w:t>
            </w:r>
            <w:r>
              <w:rPr>
                <w:rFonts w:ascii="Arial" w:cs="Arial" w:eastAsia="Arial" w:hAnsi="Arial"/>
                <w:sz w:val="9"/>
                <w:szCs w:val="9"/>
                <w:color w:val="auto"/>
              </w:rPr>
              <w:t>(1)</w:t>
            </w:r>
          </w:p>
        </w:tc>
        <w:tc>
          <w:tcPr>
            <w:tcW w:w="280" w:type="dxa"/>
            <w:vAlign w:val="bottom"/>
          </w:tcPr>
          <w:p>
            <w:pPr>
              <w:spacing w:after="0"/>
              <w:rPr>
                <w:sz w:val="17"/>
                <w:szCs w:val="17"/>
                <w:color w:val="auto"/>
              </w:rPr>
            </w:pPr>
          </w:p>
        </w:tc>
        <w:tc>
          <w:tcPr>
            <w:tcW w:w="1160" w:type="dxa"/>
            <w:vAlign w:val="bottom"/>
          </w:tcPr>
          <w:p>
            <w:pPr>
              <w:jc w:val="right"/>
              <w:ind w:right="28"/>
              <w:spacing w:after="0"/>
              <w:rPr>
                <w:sz w:val="20"/>
                <w:szCs w:val="20"/>
                <w:color w:val="auto"/>
              </w:rPr>
            </w:pPr>
            <w:r>
              <w:rPr>
                <w:rFonts w:ascii="Arial" w:cs="Arial" w:eastAsia="Arial" w:hAnsi="Arial"/>
                <w:sz w:val="14"/>
                <w:szCs w:val="14"/>
                <w:color w:val="auto"/>
              </w:rPr>
              <w:t>1</w:t>
            </w:r>
          </w:p>
        </w:tc>
        <w:tc>
          <w:tcPr>
            <w:tcW w:w="38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5</w:t>
            </w:r>
          </w:p>
        </w:tc>
        <w:tc>
          <w:tcPr>
            <w:tcW w:w="0" w:type="dxa"/>
            <w:vAlign w:val="bottom"/>
          </w:tcPr>
          <w:p>
            <w:pPr>
              <w:spacing w:after="0"/>
              <w:rPr>
                <w:sz w:val="1"/>
                <w:szCs w:val="1"/>
                <w:color w:val="auto"/>
              </w:rPr>
            </w:pPr>
          </w:p>
        </w:tc>
      </w:tr>
      <w:tr>
        <w:trPr>
          <w:trHeight w:val="157"/>
        </w:trPr>
        <w:tc>
          <w:tcPr>
            <w:tcW w:w="2720" w:type="dxa"/>
            <w:vAlign w:val="bottom"/>
            <w:vMerge w:val="restart"/>
            <w:shd w:val="clear" w:color="auto" w:fill="D4F1F5"/>
          </w:tcPr>
          <w:p>
            <w:pPr>
              <w:ind w:left="240"/>
              <w:spacing w:after="0"/>
              <w:rPr>
                <w:sz w:val="20"/>
                <w:szCs w:val="20"/>
                <w:color w:val="auto"/>
              </w:rPr>
            </w:pPr>
            <w:r>
              <w:rPr>
                <w:rFonts w:ascii="Arial" w:cs="Arial" w:eastAsia="Arial" w:hAnsi="Arial"/>
                <w:sz w:val="14"/>
                <w:szCs w:val="14"/>
                <w:color w:val="auto"/>
              </w:rPr>
              <w:t>Foreign exchange instruments</w:t>
            </w:r>
          </w:p>
        </w:tc>
        <w:tc>
          <w:tcPr>
            <w:tcW w:w="880" w:type="dxa"/>
            <w:vAlign w:val="bottom"/>
            <w:shd w:val="clear" w:color="auto" w:fill="D4F1F5"/>
          </w:tcPr>
          <w:p>
            <w:pPr>
              <w:spacing w:after="0"/>
              <w:rPr>
                <w:sz w:val="13"/>
                <w:szCs w:val="13"/>
                <w:color w:val="auto"/>
              </w:rPr>
            </w:pPr>
          </w:p>
        </w:tc>
        <w:tc>
          <w:tcPr>
            <w:tcW w:w="560" w:type="dxa"/>
            <w:vAlign w:val="bottom"/>
            <w:vMerge w:val="restart"/>
            <w:shd w:val="clear" w:color="auto" w:fill="D4F1F5"/>
          </w:tcPr>
          <w:p>
            <w:pPr>
              <w:jc w:val="right"/>
              <w:ind w:right="28"/>
              <w:spacing w:after="0"/>
              <w:rPr>
                <w:sz w:val="20"/>
                <w:szCs w:val="20"/>
                <w:color w:val="auto"/>
              </w:rPr>
            </w:pPr>
            <w:r>
              <w:rPr>
                <w:rFonts w:ascii="Arial" w:cs="Arial" w:eastAsia="Arial" w:hAnsi="Arial"/>
                <w:sz w:val="14"/>
                <w:szCs w:val="14"/>
                <w:color w:val="auto"/>
              </w:rPr>
              <w:t>2</w:t>
            </w:r>
          </w:p>
        </w:tc>
        <w:tc>
          <w:tcPr>
            <w:tcW w:w="1100" w:type="dxa"/>
            <w:vAlign w:val="bottom"/>
            <w:shd w:val="clear" w:color="auto" w:fill="D4F1F5"/>
          </w:tcPr>
          <w:p>
            <w:pPr>
              <w:spacing w:after="0"/>
              <w:rPr>
                <w:sz w:val="13"/>
                <w:szCs w:val="13"/>
                <w:color w:val="auto"/>
              </w:rPr>
            </w:pPr>
          </w:p>
        </w:tc>
        <w:tc>
          <w:tcPr>
            <w:tcW w:w="360" w:type="dxa"/>
            <w:vAlign w:val="bottom"/>
            <w:vMerge w:val="restart"/>
            <w:shd w:val="clear" w:color="auto" w:fill="D4F1F5"/>
          </w:tcPr>
          <w:p>
            <w:pPr>
              <w:jc w:val="right"/>
              <w:spacing w:after="0"/>
              <w:rPr>
                <w:sz w:val="20"/>
                <w:szCs w:val="20"/>
                <w:color w:val="auto"/>
              </w:rPr>
            </w:pPr>
            <w:r>
              <w:rPr>
                <w:rFonts w:ascii="Arial" w:cs="Arial" w:eastAsia="Arial" w:hAnsi="Arial"/>
                <w:sz w:val="14"/>
                <w:szCs w:val="14"/>
                <w:color w:val="auto"/>
              </w:rPr>
              <w:t>(5)</w:t>
            </w:r>
          </w:p>
        </w:tc>
        <w:tc>
          <w:tcPr>
            <w:tcW w:w="2700" w:type="dxa"/>
            <w:vAlign w:val="bottom"/>
            <w:shd w:val="clear" w:color="auto" w:fill="D4F1F5"/>
          </w:tcPr>
          <w:p>
            <w:pPr>
              <w:ind w:left="140"/>
              <w:spacing w:after="0" w:line="157" w:lineRule="exact"/>
              <w:rPr>
                <w:sz w:val="20"/>
                <w:szCs w:val="20"/>
                <w:color w:val="auto"/>
              </w:rPr>
            </w:pPr>
            <w:r>
              <w:rPr>
                <w:rFonts w:ascii="Arial" w:cs="Arial" w:eastAsia="Arial" w:hAnsi="Arial"/>
                <w:sz w:val="14"/>
                <w:szCs w:val="14"/>
                <w:color w:val="auto"/>
              </w:rPr>
              <w:t>Revenues: Energy-</w:t>
            </w:r>
          </w:p>
        </w:tc>
        <w:tc>
          <w:tcPr>
            <w:tcW w:w="280" w:type="dxa"/>
            <w:vAlign w:val="bottom"/>
            <w:shd w:val="clear" w:color="auto" w:fill="D4F1F5"/>
          </w:tcPr>
          <w:p>
            <w:pPr>
              <w:spacing w:after="0"/>
              <w:rPr>
                <w:sz w:val="13"/>
                <w:szCs w:val="13"/>
                <w:color w:val="auto"/>
              </w:rPr>
            </w:pPr>
          </w:p>
        </w:tc>
        <w:tc>
          <w:tcPr>
            <w:tcW w:w="1160" w:type="dxa"/>
            <w:vAlign w:val="bottom"/>
            <w:vMerge w:val="restart"/>
            <w:shd w:val="clear" w:color="auto" w:fill="D4F1F5"/>
          </w:tcPr>
          <w:p>
            <w:pPr>
              <w:jc w:val="right"/>
              <w:ind w:right="28"/>
              <w:spacing w:after="0"/>
              <w:rPr>
                <w:sz w:val="20"/>
                <w:szCs w:val="20"/>
                <w:color w:val="auto"/>
              </w:rPr>
            </w:pPr>
            <w:r>
              <w:rPr>
                <w:rFonts w:ascii="Arial" w:cs="Arial" w:eastAsia="Arial" w:hAnsi="Arial"/>
                <w:sz w:val="14"/>
                <w:szCs w:val="14"/>
                <w:color w:val="auto"/>
              </w:rPr>
              <w:t>2</w:t>
            </w:r>
          </w:p>
        </w:tc>
        <w:tc>
          <w:tcPr>
            <w:tcW w:w="380" w:type="dxa"/>
            <w:vAlign w:val="bottom"/>
            <w:shd w:val="clear" w:color="auto" w:fill="D4F1F5"/>
          </w:tcPr>
          <w:p>
            <w:pPr>
              <w:spacing w:after="0"/>
              <w:rPr>
                <w:sz w:val="13"/>
                <w:szCs w:val="13"/>
                <w:color w:val="auto"/>
              </w:rPr>
            </w:pPr>
          </w:p>
        </w:tc>
        <w:tc>
          <w:tcPr>
            <w:tcW w:w="1100" w:type="dxa"/>
            <w:vAlign w:val="bottom"/>
            <w:vMerge w:val="restart"/>
            <w:shd w:val="clear" w:color="auto" w:fill="D4F1F5"/>
          </w:tcPr>
          <w:p>
            <w:pPr>
              <w:jc w:val="right"/>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185"/>
        </w:trPr>
        <w:tc>
          <w:tcPr>
            <w:tcW w:w="2720" w:type="dxa"/>
            <w:vAlign w:val="bottom"/>
            <w:vMerge w:val="continue"/>
            <w:shd w:val="clear" w:color="auto" w:fill="D4F1F5"/>
          </w:tcPr>
          <w:p>
            <w:pPr>
              <w:spacing w:after="0"/>
              <w:rPr>
                <w:sz w:val="16"/>
                <w:szCs w:val="16"/>
                <w:color w:val="auto"/>
              </w:rPr>
            </w:pPr>
          </w:p>
        </w:tc>
        <w:tc>
          <w:tcPr>
            <w:tcW w:w="880" w:type="dxa"/>
            <w:vAlign w:val="bottom"/>
            <w:shd w:val="clear" w:color="auto" w:fill="D4F1F5"/>
          </w:tcPr>
          <w:p>
            <w:pPr>
              <w:spacing w:after="0"/>
              <w:rPr>
                <w:sz w:val="16"/>
                <w:szCs w:val="16"/>
                <w:color w:val="auto"/>
              </w:rPr>
            </w:pPr>
          </w:p>
        </w:tc>
        <w:tc>
          <w:tcPr>
            <w:tcW w:w="560" w:type="dxa"/>
            <w:vAlign w:val="bottom"/>
            <w:vMerge w:val="continue"/>
            <w:shd w:val="clear" w:color="auto" w:fill="D4F1F5"/>
          </w:tcPr>
          <w:p>
            <w:pPr>
              <w:spacing w:after="0"/>
              <w:rPr>
                <w:sz w:val="16"/>
                <w:szCs w:val="16"/>
                <w:color w:val="auto"/>
              </w:rPr>
            </w:pPr>
          </w:p>
        </w:tc>
        <w:tc>
          <w:tcPr>
            <w:tcW w:w="1100" w:type="dxa"/>
            <w:vAlign w:val="bottom"/>
            <w:shd w:val="clear" w:color="auto" w:fill="D4F1F5"/>
          </w:tcPr>
          <w:p>
            <w:pPr>
              <w:spacing w:after="0"/>
              <w:rPr>
                <w:sz w:val="16"/>
                <w:szCs w:val="16"/>
                <w:color w:val="auto"/>
              </w:rPr>
            </w:pPr>
          </w:p>
        </w:tc>
        <w:tc>
          <w:tcPr>
            <w:tcW w:w="360" w:type="dxa"/>
            <w:vAlign w:val="bottom"/>
            <w:vMerge w:val="continue"/>
            <w:shd w:val="clear" w:color="auto" w:fill="D4F1F5"/>
          </w:tcPr>
          <w:p>
            <w:pPr>
              <w:spacing w:after="0"/>
              <w:rPr>
                <w:sz w:val="16"/>
                <w:szCs w:val="16"/>
                <w:color w:val="auto"/>
              </w:rPr>
            </w:pPr>
          </w:p>
        </w:tc>
        <w:tc>
          <w:tcPr>
            <w:tcW w:w="2700" w:type="dxa"/>
            <w:vAlign w:val="bottom"/>
            <w:shd w:val="clear" w:color="auto" w:fill="D4F1F5"/>
          </w:tcPr>
          <w:p>
            <w:pPr>
              <w:ind w:left="300"/>
              <w:spacing w:after="0"/>
              <w:rPr>
                <w:sz w:val="20"/>
                <w:szCs w:val="20"/>
                <w:color w:val="auto"/>
              </w:rPr>
            </w:pPr>
            <w:r>
              <w:rPr>
                <w:rFonts w:ascii="Arial" w:cs="Arial" w:eastAsia="Arial" w:hAnsi="Arial"/>
                <w:sz w:val="14"/>
                <w:szCs w:val="14"/>
                <w:color w:val="auto"/>
              </w:rPr>
              <w:t>related businesses</w:t>
            </w:r>
          </w:p>
        </w:tc>
        <w:tc>
          <w:tcPr>
            <w:tcW w:w="280" w:type="dxa"/>
            <w:vAlign w:val="bottom"/>
            <w:shd w:val="clear" w:color="auto" w:fill="D4F1F5"/>
          </w:tcPr>
          <w:p>
            <w:pPr>
              <w:spacing w:after="0"/>
              <w:rPr>
                <w:sz w:val="16"/>
                <w:szCs w:val="16"/>
                <w:color w:val="auto"/>
              </w:rPr>
            </w:pPr>
          </w:p>
        </w:tc>
        <w:tc>
          <w:tcPr>
            <w:tcW w:w="1160" w:type="dxa"/>
            <w:vAlign w:val="bottom"/>
            <w:vMerge w:val="continue"/>
            <w:shd w:val="clear" w:color="auto" w:fill="D4F1F5"/>
          </w:tcPr>
          <w:p>
            <w:pPr>
              <w:spacing w:after="0"/>
              <w:rPr>
                <w:sz w:val="16"/>
                <w:szCs w:val="16"/>
                <w:color w:val="auto"/>
              </w:rPr>
            </w:pPr>
          </w:p>
        </w:tc>
        <w:tc>
          <w:tcPr>
            <w:tcW w:w="380" w:type="dxa"/>
            <w:vAlign w:val="bottom"/>
            <w:shd w:val="clear" w:color="auto" w:fill="D4F1F5"/>
          </w:tcPr>
          <w:p>
            <w:pPr>
              <w:spacing w:after="0"/>
              <w:rPr>
                <w:sz w:val="16"/>
                <w:szCs w:val="16"/>
                <w:color w:val="auto"/>
              </w:rPr>
            </w:pPr>
          </w:p>
        </w:tc>
        <w:tc>
          <w:tcPr>
            <w:tcW w:w="1100" w:type="dxa"/>
            <w:vAlign w:val="bottom"/>
            <w:vMerge w:val="continue"/>
            <w:shd w:val="clear" w:color="auto" w:fill="D4F1F5"/>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2720" w:type="dxa"/>
            <w:vAlign w:val="bottom"/>
          </w:tcPr>
          <w:p>
            <w:pPr>
              <w:ind w:left="240"/>
              <w:spacing w:after="0"/>
              <w:rPr>
                <w:sz w:val="20"/>
                <w:szCs w:val="20"/>
                <w:color w:val="auto"/>
              </w:rPr>
            </w:pPr>
            <w:r>
              <w:rPr>
                <w:rFonts w:ascii="Arial" w:cs="Arial" w:eastAsia="Arial" w:hAnsi="Arial"/>
                <w:sz w:val="14"/>
                <w:szCs w:val="14"/>
                <w:color w:val="auto"/>
              </w:rPr>
              <w:t>Foreign exchange instruments</w:t>
            </w:r>
          </w:p>
        </w:tc>
        <w:tc>
          <w:tcPr>
            <w:tcW w:w="880" w:type="dxa"/>
            <w:vAlign w:val="bottom"/>
          </w:tcPr>
          <w:p>
            <w:pPr>
              <w:spacing w:after="0"/>
              <w:rPr>
                <w:sz w:val="17"/>
                <w:szCs w:val="17"/>
                <w:color w:val="auto"/>
              </w:rPr>
            </w:pPr>
          </w:p>
        </w:tc>
        <w:tc>
          <w:tcPr>
            <w:tcW w:w="560" w:type="dxa"/>
            <w:vAlign w:val="bottom"/>
          </w:tcPr>
          <w:p>
            <w:pPr>
              <w:jc w:val="right"/>
              <w:ind w:right="28"/>
              <w:spacing w:after="0"/>
              <w:rPr>
                <w:sz w:val="20"/>
                <w:szCs w:val="20"/>
                <w:color w:val="auto"/>
              </w:rPr>
            </w:pPr>
            <w:r>
              <w:rPr>
                <w:rFonts w:ascii="Arial" w:cs="Arial" w:eastAsia="Arial" w:hAnsi="Arial"/>
                <w:sz w:val="14"/>
                <w:szCs w:val="14"/>
                <w:color w:val="auto"/>
              </w:rPr>
              <w:t>2</w:t>
            </w:r>
          </w:p>
        </w:tc>
        <w:tc>
          <w:tcPr>
            <w:tcW w:w="1100" w:type="dxa"/>
            <w:vAlign w:val="bottom"/>
          </w:tcPr>
          <w:p>
            <w:pPr>
              <w:spacing w:after="0"/>
              <w:rPr>
                <w:sz w:val="17"/>
                <w:szCs w:val="17"/>
                <w:color w:val="auto"/>
              </w:rPr>
            </w:pPr>
          </w:p>
        </w:tc>
        <w:tc>
          <w:tcPr>
            <w:tcW w:w="360" w:type="dxa"/>
            <w:vAlign w:val="bottom"/>
          </w:tcPr>
          <w:p>
            <w:pPr>
              <w:jc w:val="right"/>
              <w:spacing w:after="0"/>
              <w:rPr>
                <w:sz w:val="20"/>
                <w:szCs w:val="20"/>
                <w:color w:val="auto"/>
              </w:rPr>
            </w:pPr>
            <w:r>
              <w:rPr>
                <w:rFonts w:ascii="Arial" w:cs="Arial" w:eastAsia="Arial" w:hAnsi="Arial"/>
                <w:sz w:val="14"/>
                <w:szCs w:val="14"/>
                <w:color w:val="auto"/>
              </w:rPr>
              <w:t>(4)</w:t>
            </w:r>
          </w:p>
        </w:tc>
        <w:tc>
          <w:tcPr>
            <w:tcW w:w="2700" w:type="dxa"/>
            <w:vAlign w:val="bottom"/>
          </w:tcPr>
          <w:p>
            <w:pPr>
              <w:ind w:left="140"/>
              <w:spacing w:after="0"/>
              <w:rPr>
                <w:sz w:val="20"/>
                <w:szCs w:val="20"/>
                <w:color w:val="auto"/>
              </w:rPr>
            </w:pPr>
            <w:r>
              <w:rPr>
                <w:rFonts w:ascii="Arial" w:cs="Arial" w:eastAsia="Arial" w:hAnsi="Arial"/>
                <w:sz w:val="14"/>
                <w:szCs w:val="14"/>
                <w:color w:val="auto"/>
              </w:rPr>
              <w:t>Equity earnings</w:t>
            </w:r>
            <w:r>
              <w:rPr>
                <w:rFonts w:ascii="Arial" w:cs="Arial" w:eastAsia="Arial" w:hAnsi="Arial"/>
                <w:sz w:val="9"/>
                <w:szCs w:val="9"/>
                <w:color w:val="auto"/>
              </w:rPr>
              <w:t>(1)</w:t>
            </w:r>
          </w:p>
        </w:tc>
        <w:tc>
          <w:tcPr>
            <w:tcW w:w="280" w:type="dxa"/>
            <w:vAlign w:val="bottom"/>
          </w:tcPr>
          <w:p>
            <w:pPr>
              <w:spacing w:after="0"/>
              <w:rPr>
                <w:sz w:val="17"/>
                <w:szCs w:val="17"/>
                <w:color w:val="auto"/>
              </w:rPr>
            </w:pPr>
          </w:p>
        </w:tc>
        <w:tc>
          <w:tcPr>
            <w:tcW w:w="1160" w:type="dxa"/>
            <w:vAlign w:val="bottom"/>
          </w:tcPr>
          <w:p>
            <w:pPr>
              <w:jc w:val="right"/>
              <w:ind w:right="28"/>
              <w:spacing w:after="0"/>
              <w:rPr>
                <w:sz w:val="20"/>
                <w:szCs w:val="20"/>
                <w:color w:val="auto"/>
              </w:rPr>
            </w:pPr>
            <w:r>
              <w:rPr>
                <w:rFonts w:ascii="Arial" w:cs="Arial" w:eastAsia="Arial" w:hAnsi="Arial"/>
                <w:sz w:val="14"/>
                <w:szCs w:val="14"/>
                <w:color w:val="auto"/>
              </w:rPr>
              <w:t>2</w:t>
            </w:r>
          </w:p>
        </w:tc>
        <w:tc>
          <w:tcPr>
            <w:tcW w:w="38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207"/>
        </w:trPr>
        <w:tc>
          <w:tcPr>
            <w:tcW w:w="2720" w:type="dxa"/>
            <w:vAlign w:val="bottom"/>
            <w:shd w:val="clear" w:color="auto" w:fill="D4F1F5"/>
          </w:tcPr>
          <w:p>
            <w:pPr>
              <w:ind w:left="140"/>
              <w:spacing w:after="0"/>
              <w:rPr>
                <w:sz w:val="20"/>
                <w:szCs w:val="20"/>
                <w:color w:val="auto"/>
              </w:rPr>
            </w:pPr>
            <w:r>
              <w:rPr>
                <w:rFonts w:ascii="Arial" w:cs="Arial" w:eastAsia="Arial" w:hAnsi="Arial"/>
                <w:sz w:val="14"/>
                <w:szCs w:val="14"/>
                <w:color w:val="auto"/>
              </w:rPr>
              <w:t>Fair value hedges:</w:t>
            </w:r>
          </w:p>
        </w:tc>
        <w:tc>
          <w:tcPr>
            <w:tcW w:w="880" w:type="dxa"/>
            <w:vAlign w:val="bottom"/>
            <w:shd w:val="clear" w:color="auto" w:fill="D4F1F5"/>
          </w:tcPr>
          <w:p>
            <w:pPr>
              <w:spacing w:after="0"/>
              <w:rPr>
                <w:sz w:val="17"/>
                <w:szCs w:val="17"/>
                <w:color w:val="auto"/>
              </w:rPr>
            </w:pPr>
          </w:p>
        </w:tc>
        <w:tc>
          <w:tcPr>
            <w:tcW w:w="560" w:type="dxa"/>
            <w:vAlign w:val="bottom"/>
            <w:shd w:val="clear" w:color="auto" w:fill="D4F1F5"/>
          </w:tcPr>
          <w:p>
            <w:pPr>
              <w:spacing w:after="0"/>
              <w:rPr>
                <w:sz w:val="17"/>
                <w:szCs w:val="17"/>
                <w:color w:val="auto"/>
              </w:rPr>
            </w:pPr>
          </w:p>
        </w:tc>
        <w:tc>
          <w:tcPr>
            <w:tcW w:w="1100" w:type="dxa"/>
            <w:vAlign w:val="bottom"/>
            <w:shd w:val="clear" w:color="auto" w:fill="D4F1F5"/>
          </w:tcPr>
          <w:p>
            <w:pPr>
              <w:spacing w:after="0"/>
              <w:rPr>
                <w:sz w:val="17"/>
                <w:szCs w:val="17"/>
                <w:color w:val="auto"/>
              </w:rPr>
            </w:pPr>
          </w:p>
        </w:tc>
        <w:tc>
          <w:tcPr>
            <w:tcW w:w="360" w:type="dxa"/>
            <w:vAlign w:val="bottom"/>
            <w:shd w:val="clear" w:color="auto" w:fill="D4F1F5"/>
          </w:tcPr>
          <w:p>
            <w:pPr>
              <w:spacing w:after="0"/>
              <w:rPr>
                <w:sz w:val="17"/>
                <w:szCs w:val="17"/>
                <w:color w:val="auto"/>
              </w:rPr>
            </w:pPr>
          </w:p>
        </w:tc>
        <w:tc>
          <w:tcPr>
            <w:tcW w:w="2700" w:type="dxa"/>
            <w:vAlign w:val="bottom"/>
            <w:shd w:val="clear" w:color="auto" w:fill="D4F1F5"/>
          </w:tcPr>
          <w:p>
            <w:pPr>
              <w:spacing w:after="0"/>
              <w:rPr>
                <w:sz w:val="17"/>
                <w:szCs w:val="17"/>
                <w:color w:val="auto"/>
              </w:rPr>
            </w:pPr>
          </w:p>
        </w:tc>
        <w:tc>
          <w:tcPr>
            <w:tcW w:w="280" w:type="dxa"/>
            <w:vAlign w:val="bottom"/>
            <w:shd w:val="clear" w:color="auto" w:fill="D4F1F5"/>
          </w:tcPr>
          <w:p>
            <w:pPr>
              <w:spacing w:after="0"/>
              <w:rPr>
                <w:sz w:val="17"/>
                <w:szCs w:val="17"/>
                <w:color w:val="auto"/>
              </w:rPr>
            </w:pPr>
          </w:p>
        </w:tc>
        <w:tc>
          <w:tcPr>
            <w:tcW w:w="1160" w:type="dxa"/>
            <w:vAlign w:val="bottom"/>
            <w:shd w:val="clear" w:color="auto" w:fill="D4F1F5"/>
          </w:tcPr>
          <w:p>
            <w:pPr>
              <w:spacing w:after="0"/>
              <w:rPr>
                <w:sz w:val="17"/>
                <w:szCs w:val="17"/>
                <w:color w:val="auto"/>
              </w:rPr>
            </w:pPr>
          </w:p>
        </w:tc>
        <w:tc>
          <w:tcPr>
            <w:tcW w:w="380" w:type="dxa"/>
            <w:vAlign w:val="bottom"/>
            <w:shd w:val="clear" w:color="auto" w:fill="D4F1F5"/>
          </w:tcPr>
          <w:p>
            <w:pPr>
              <w:spacing w:after="0"/>
              <w:rPr>
                <w:sz w:val="17"/>
                <w:szCs w:val="17"/>
                <w:color w:val="auto"/>
              </w:rPr>
            </w:pPr>
          </w:p>
        </w:tc>
        <w:tc>
          <w:tcPr>
            <w:tcW w:w="1100" w:type="dxa"/>
            <w:vAlign w:val="bottom"/>
            <w:shd w:val="clear" w:color="auto" w:fill="D4F1F5"/>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720" w:type="dxa"/>
            <w:vAlign w:val="bottom"/>
            <w:tcBorders>
              <w:bottom w:val="single" w:sz="8" w:color="D4F1F5"/>
            </w:tcBorders>
          </w:tcPr>
          <w:p>
            <w:pPr>
              <w:ind w:left="240"/>
              <w:spacing w:after="0"/>
              <w:rPr>
                <w:sz w:val="20"/>
                <w:szCs w:val="20"/>
                <w:color w:val="auto"/>
              </w:rPr>
            </w:pPr>
            <w:r>
              <w:rPr>
                <w:rFonts w:ascii="Arial" w:cs="Arial" w:eastAsia="Arial" w:hAnsi="Arial"/>
                <w:sz w:val="14"/>
                <w:szCs w:val="14"/>
                <w:color w:val="auto"/>
              </w:rPr>
              <w:t>Foreign exchange instruments</w:t>
            </w:r>
          </w:p>
        </w:tc>
        <w:tc>
          <w:tcPr>
            <w:tcW w:w="88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w:t>
            </w:r>
          </w:p>
        </w:tc>
        <w:tc>
          <w:tcPr>
            <w:tcW w:w="110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w:t>
            </w:r>
          </w:p>
        </w:tc>
        <w:tc>
          <w:tcPr>
            <w:tcW w:w="2700" w:type="dxa"/>
            <w:vAlign w:val="bottom"/>
            <w:tcBorders>
              <w:bottom w:val="single" w:sz="8" w:color="D4F1F5"/>
            </w:tcBorders>
          </w:tcPr>
          <w:p>
            <w:pPr>
              <w:ind w:left="140"/>
              <w:spacing w:after="0"/>
              <w:rPr>
                <w:sz w:val="20"/>
                <w:szCs w:val="20"/>
                <w:color w:val="auto"/>
              </w:rPr>
            </w:pPr>
            <w:r>
              <w:rPr>
                <w:rFonts w:ascii="Arial" w:cs="Arial" w:eastAsia="Arial" w:hAnsi="Arial"/>
                <w:sz w:val="14"/>
                <w:szCs w:val="14"/>
                <w:color w:val="auto"/>
              </w:rPr>
              <w:t>Equity earnings</w:t>
            </w:r>
            <w:r>
              <w:rPr>
                <w:rFonts w:ascii="Arial" w:cs="Arial" w:eastAsia="Arial" w:hAnsi="Arial"/>
                <w:sz w:val="9"/>
                <w:szCs w:val="9"/>
                <w:color w:val="auto"/>
              </w:rPr>
              <w:t>(1)</w:t>
            </w:r>
          </w:p>
        </w:tc>
        <w:tc>
          <w:tcPr>
            <w:tcW w:w="28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3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7"/>
        </w:trPr>
        <w:tc>
          <w:tcPr>
            <w:tcW w:w="2720" w:type="dxa"/>
            <w:vAlign w:val="bottom"/>
            <w:tcBorders>
              <w:bottom w:val="single" w:sz="8" w:color="auto"/>
            </w:tcBorders>
            <w:shd w:val="clear" w:color="auto" w:fill="D4F1F5"/>
          </w:tcPr>
          <w:p>
            <w:pPr>
              <w:ind w:left="140"/>
              <w:spacing w:after="0"/>
              <w:rPr>
                <w:sz w:val="20"/>
                <w:szCs w:val="20"/>
                <w:color w:val="auto"/>
              </w:rPr>
            </w:pPr>
            <w:r>
              <w:rPr>
                <w:rFonts w:ascii="Arial" w:cs="Arial" w:eastAsia="Arial" w:hAnsi="Arial"/>
                <w:sz w:val="14"/>
                <w:szCs w:val="14"/>
                <w:color w:val="auto"/>
              </w:rPr>
              <w:t>Total</w:t>
            </w:r>
          </w:p>
        </w:tc>
        <w:tc>
          <w:tcPr>
            <w:tcW w:w="880" w:type="dxa"/>
            <w:vAlign w:val="bottom"/>
            <w:tcBorders>
              <w:bottom w:val="single" w:sz="8" w:color="auto"/>
            </w:tcBorders>
            <w:shd w:val="clear" w:color="auto" w:fill="D4F1F5"/>
          </w:tcPr>
          <w:p>
            <w:pPr>
              <w:jc w:val="right"/>
              <w:ind w:right="708"/>
              <w:spacing w:after="0"/>
              <w:rPr>
                <w:sz w:val="20"/>
                <w:szCs w:val="20"/>
                <w:color w:val="auto"/>
              </w:rPr>
            </w:pPr>
            <w:r>
              <w:rPr>
                <w:rFonts w:ascii="Arial" w:cs="Arial" w:eastAsia="Arial" w:hAnsi="Arial"/>
                <w:sz w:val="14"/>
                <w:szCs w:val="14"/>
                <w:color w:val="auto"/>
              </w:rPr>
              <w:t>$</w:t>
            </w:r>
          </w:p>
        </w:tc>
        <w:tc>
          <w:tcPr>
            <w:tcW w:w="560" w:type="dxa"/>
            <w:vAlign w:val="bottom"/>
            <w:tcBorders>
              <w:bottom w:val="single" w:sz="8" w:color="auto"/>
            </w:tcBorders>
            <w:shd w:val="clear" w:color="auto" w:fill="D4F1F5"/>
          </w:tcPr>
          <w:p>
            <w:pPr>
              <w:jc w:val="right"/>
              <w:ind w:right="28"/>
              <w:spacing w:after="0"/>
              <w:rPr>
                <w:sz w:val="20"/>
                <w:szCs w:val="20"/>
                <w:color w:val="auto"/>
              </w:rPr>
            </w:pPr>
            <w:r>
              <w:rPr>
                <w:rFonts w:ascii="Arial" w:cs="Arial" w:eastAsia="Arial" w:hAnsi="Arial"/>
                <w:sz w:val="14"/>
                <w:szCs w:val="14"/>
                <w:color w:val="auto"/>
              </w:rPr>
              <w:t>11</w:t>
            </w:r>
          </w:p>
        </w:tc>
        <w:tc>
          <w:tcPr>
            <w:tcW w:w="1100" w:type="dxa"/>
            <w:vAlign w:val="bottom"/>
            <w:tcBorders>
              <w:bottom w:val="single" w:sz="8" w:color="auto"/>
            </w:tcBorders>
            <w:shd w:val="clear" w:color="auto" w:fill="D4F1F5"/>
          </w:tcPr>
          <w:p>
            <w:pPr>
              <w:jc w:val="right"/>
              <w:ind w:right="868"/>
              <w:spacing w:after="0"/>
              <w:rPr>
                <w:sz w:val="20"/>
                <w:szCs w:val="20"/>
                <w:color w:val="auto"/>
              </w:rPr>
            </w:pPr>
            <w:r>
              <w:rPr>
                <w:rFonts w:ascii="Arial" w:cs="Arial" w:eastAsia="Arial" w:hAnsi="Arial"/>
                <w:sz w:val="14"/>
                <w:szCs w:val="14"/>
                <w:color w:val="auto"/>
              </w:rPr>
              <w:t>$</w:t>
            </w:r>
          </w:p>
        </w:tc>
        <w:tc>
          <w:tcPr>
            <w:tcW w:w="360" w:type="dxa"/>
            <w:vAlign w:val="bottom"/>
            <w:tcBorders>
              <w:bottom w:val="single" w:sz="8" w:color="auto"/>
            </w:tcBorders>
            <w:shd w:val="clear" w:color="auto" w:fill="D4F1F5"/>
          </w:tcPr>
          <w:p>
            <w:pPr>
              <w:jc w:val="right"/>
              <w:spacing w:after="0"/>
              <w:rPr>
                <w:sz w:val="20"/>
                <w:szCs w:val="20"/>
                <w:color w:val="auto"/>
              </w:rPr>
            </w:pPr>
            <w:r>
              <w:rPr>
                <w:rFonts w:ascii="Arial" w:cs="Arial" w:eastAsia="Arial" w:hAnsi="Arial"/>
                <w:sz w:val="14"/>
                <w:szCs w:val="14"/>
                <w:color w:val="auto"/>
              </w:rPr>
              <w:t>(41)</w:t>
            </w:r>
          </w:p>
        </w:tc>
        <w:tc>
          <w:tcPr>
            <w:tcW w:w="2700" w:type="dxa"/>
            <w:vAlign w:val="bottom"/>
            <w:tcBorders>
              <w:bottom w:val="single" w:sz="8" w:color="auto"/>
            </w:tcBorders>
            <w:shd w:val="clear" w:color="auto" w:fill="D4F1F5"/>
          </w:tcPr>
          <w:p>
            <w:pPr>
              <w:spacing w:after="0"/>
              <w:rPr>
                <w:sz w:val="18"/>
                <w:szCs w:val="18"/>
                <w:color w:val="auto"/>
              </w:rPr>
            </w:pPr>
          </w:p>
        </w:tc>
        <w:tc>
          <w:tcPr>
            <w:tcW w:w="280" w:type="dxa"/>
            <w:vAlign w:val="bottom"/>
            <w:tcBorders>
              <w:bottom w:val="single" w:sz="8" w:color="auto"/>
            </w:tcBorders>
            <w:shd w:val="clear" w:color="auto" w:fill="D4F1F5"/>
          </w:tcPr>
          <w:p>
            <w:pPr>
              <w:jc w:val="right"/>
              <w:ind w:right="128"/>
              <w:spacing w:after="0"/>
              <w:rPr>
                <w:sz w:val="20"/>
                <w:szCs w:val="20"/>
                <w:color w:val="auto"/>
              </w:rPr>
            </w:pPr>
            <w:r>
              <w:rPr>
                <w:rFonts w:ascii="Arial" w:cs="Arial" w:eastAsia="Arial" w:hAnsi="Arial"/>
                <w:sz w:val="14"/>
                <w:szCs w:val="14"/>
                <w:color w:val="auto"/>
                <w:w w:val="76"/>
              </w:rPr>
              <w:t>$</w:t>
            </w:r>
          </w:p>
        </w:tc>
        <w:tc>
          <w:tcPr>
            <w:tcW w:w="1160" w:type="dxa"/>
            <w:vAlign w:val="bottom"/>
            <w:tcBorders>
              <w:bottom w:val="single" w:sz="8" w:color="auto"/>
            </w:tcBorders>
            <w:shd w:val="clear" w:color="auto" w:fill="D4F1F5"/>
          </w:tcPr>
          <w:p>
            <w:pPr>
              <w:jc w:val="right"/>
              <w:ind w:right="28"/>
              <w:spacing w:after="0"/>
              <w:rPr>
                <w:sz w:val="20"/>
                <w:szCs w:val="20"/>
                <w:color w:val="auto"/>
              </w:rPr>
            </w:pPr>
            <w:r>
              <w:rPr>
                <w:rFonts w:ascii="Arial" w:cs="Arial" w:eastAsia="Arial" w:hAnsi="Arial"/>
                <w:sz w:val="14"/>
                <w:szCs w:val="14"/>
                <w:color w:val="auto"/>
              </w:rPr>
              <w:t>6</w:t>
            </w:r>
          </w:p>
        </w:tc>
        <w:tc>
          <w:tcPr>
            <w:tcW w:w="380" w:type="dxa"/>
            <w:vAlign w:val="bottom"/>
            <w:tcBorders>
              <w:bottom w:val="single" w:sz="8" w:color="auto"/>
            </w:tcBorders>
            <w:shd w:val="clear" w:color="auto" w:fill="D4F1F5"/>
          </w:tcPr>
          <w:p>
            <w:pPr>
              <w:jc w:val="right"/>
              <w:ind w:right="148"/>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shd w:val="clear" w:color="auto" w:fill="D4F1F5"/>
          </w:tcPr>
          <w:p>
            <w:pPr>
              <w:jc w:val="right"/>
              <w:spacing w:after="0"/>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bl>
    <w:p>
      <w:pPr>
        <w:spacing w:after="0" w:line="129" w:lineRule="exact"/>
        <w:rPr>
          <w:sz w:val="20"/>
          <w:szCs w:val="20"/>
          <w:color w:val="auto"/>
        </w:rPr>
      </w:pPr>
    </w:p>
    <w:p>
      <w:pPr>
        <w:ind w:left="260" w:hanging="252"/>
        <w:spacing w:after="0"/>
        <w:tabs>
          <w:tab w:leader="none" w:pos="260" w:val="left"/>
        </w:tabs>
        <w:numPr>
          <w:ilvl w:val="0"/>
          <w:numId w:val="24"/>
        </w:numPr>
        <w:rPr>
          <w:rFonts w:ascii="Arial" w:cs="Arial" w:eastAsia="Arial" w:hAnsi="Arial"/>
          <w:sz w:val="21"/>
          <w:szCs w:val="21"/>
          <w:i w:val="1"/>
          <w:iCs w:val="1"/>
          <w:color w:val="auto"/>
          <w:vertAlign w:val="superscript"/>
        </w:rPr>
      </w:pPr>
      <w:r>
        <w:rPr>
          <w:rFonts w:ascii="Arial" w:cs="Arial" w:eastAsia="Arial" w:hAnsi="Arial"/>
          <w:sz w:val="14"/>
          <w:szCs w:val="14"/>
          <w:i w:val="1"/>
          <w:iCs w:val="1"/>
          <w:color w:val="auto"/>
        </w:rPr>
        <w:t>Equity earnings at Oncor Holdings and our foreign equity method investees are recognized after tax.</w:t>
      </w:r>
    </w:p>
    <w:p>
      <w:pPr>
        <w:spacing w:after="0" w:line="138" w:lineRule="exact"/>
        <w:rPr>
          <w:sz w:val="20"/>
          <w:szCs w:val="20"/>
          <w:color w:val="auto"/>
        </w:rPr>
      </w:pPr>
    </w:p>
    <w:p>
      <w:pPr>
        <w:jc w:val="both"/>
        <w:ind w:right="100"/>
        <w:spacing w:after="0" w:line="263" w:lineRule="auto"/>
        <w:rPr>
          <w:sz w:val="20"/>
          <w:szCs w:val="20"/>
          <w:color w:val="auto"/>
        </w:rPr>
      </w:pPr>
      <w:r>
        <w:rPr>
          <w:rFonts w:ascii="Times New Roman" w:cs="Times New Roman" w:eastAsia="Times New Roman" w:hAnsi="Times New Roman"/>
          <w:sz w:val="18"/>
          <w:szCs w:val="18"/>
          <w:color w:val="auto"/>
        </w:rPr>
        <w:t>For Sempra, we expect that net losses before NCI of $3 million, which are net of income tax benefit and include amounts related to the disposal group that is classified as held for sale, that are currently recorded in AOCI (with negligible gains attributable to NCI) related to cash flow hedges will be reclassified into earnings during the next 12 months as the hedged items affect earnings. SoCalGas expects that $1 million of losses, net of income tax benefit, that are currently recorded in AOCI related to cash flow hedges will be reclassified into earnings during the next 12 months as the hedged items affect earnings.</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Actual amounts ultimately reclassified into earnings depend on the interest rates and foreign currency rates in effect when derivative contracts mature.</w:t>
      </w:r>
    </w:p>
    <w:p>
      <w:pPr>
        <w:spacing w:after="0" w:line="122" w:lineRule="exact"/>
        <w:rPr>
          <w:sz w:val="20"/>
          <w:szCs w:val="20"/>
          <w:color w:val="auto"/>
        </w:rPr>
      </w:pPr>
    </w:p>
    <w:p>
      <w:pPr>
        <w:ind w:right="20"/>
        <w:spacing w:after="0" w:line="302" w:lineRule="auto"/>
        <w:rPr>
          <w:sz w:val="20"/>
          <w:szCs w:val="20"/>
          <w:color w:val="auto"/>
        </w:rPr>
      </w:pPr>
      <w:r>
        <w:rPr>
          <w:rFonts w:ascii="Times New Roman" w:cs="Times New Roman" w:eastAsia="Times New Roman" w:hAnsi="Times New Roman"/>
          <w:sz w:val="18"/>
          <w:szCs w:val="18"/>
          <w:color w:val="auto"/>
        </w:rPr>
        <w:t xml:space="preserve">At March 31, 2026, </w:t>
      </w:r>
      <w:r>
        <w:rPr>
          <w:rFonts w:ascii="Arial" w:cs="Arial" w:eastAsia="Arial" w:hAnsi="Arial"/>
          <w:sz w:val="19"/>
          <w:szCs w:val="19"/>
          <w:color w:val="auto"/>
        </w:rPr>
        <w:t>t</w:t>
      </w:r>
      <w:r>
        <w:rPr>
          <w:rFonts w:ascii="Times New Roman" w:cs="Times New Roman" w:eastAsia="Times New Roman" w:hAnsi="Times New Roman"/>
          <w:sz w:val="18"/>
          <w:szCs w:val="18"/>
          <w:color w:val="auto"/>
        </w:rPr>
        <w:t>he maximum length of time over which Sempra is hedging its exposure to the variability in future cash flows for forecasted transactions, excluding those forecasted transactions related to the payment of variable interest on existing financial instruments, is approximately one year.</w:t>
      </w:r>
    </w:p>
    <w:p>
      <w:pPr>
        <w:spacing w:after="0" w:line="34" w:lineRule="exact"/>
        <w:rPr>
          <w:sz w:val="20"/>
          <w:szCs w:val="20"/>
          <w:color w:val="auto"/>
        </w:rPr>
      </w:pPr>
    </w:p>
    <w:p>
      <w:pPr>
        <w:ind w:right="120"/>
        <w:spacing w:after="0" w:line="297" w:lineRule="auto"/>
        <w:rPr>
          <w:sz w:val="20"/>
          <w:szCs w:val="20"/>
          <w:color w:val="auto"/>
        </w:rPr>
      </w:pPr>
      <w:r>
        <w:rPr>
          <w:rFonts w:ascii="Times New Roman" w:cs="Times New Roman" w:eastAsia="Times New Roman" w:hAnsi="Times New Roman"/>
          <w:sz w:val="18"/>
          <w:szCs w:val="18"/>
          <w:color w:val="auto"/>
        </w:rPr>
        <w:t>The following table summarizes the effects of derivative instruments not designated as hedging instruments on the Condensed Consolidated Statements of Operations.</w:t>
      </w:r>
    </w:p>
    <w:p>
      <w:pPr>
        <w:spacing w:after="0" w:line="99"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FFFFFF"/>
        </w:rPr>
        <w:t>UNDESIGNATED DERIVATIVE IMPACTS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-115570</wp:posOffset>
            </wp:positionV>
            <wp:extent cx="7132320" cy="26543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32320" cy="265430"/>
                    </a:xfrm>
                    <a:prstGeom prst="rect">
                      <a:avLst/>
                    </a:prstGeom>
                    <a:noFill/>
                  </pic:spPr>
                </pic:pic>
              </a:graphicData>
            </a:graphic>
          </wp:anchor>
        </w:drawing>
      </w:r>
    </w:p>
    <w:p>
      <w:pPr>
        <w:spacing w:after="0" w:line="19" w:lineRule="exact"/>
        <w:rPr>
          <w:sz w:val="20"/>
          <w:szCs w:val="20"/>
          <w:color w:val="auto"/>
        </w:rPr>
      </w:pPr>
    </w:p>
    <w:p>
      <w:pPr>
        <w:ind w:left="20"/>
        <w:spacing w:after="0"/>
        <w:rPr>
          <w:sz w:val="20"/>
          <w:szCs w:val="20"/>
          <w:color w:val="auto"/>
        </w:rPr>
      </w:pPr>
      <w:r>
        <w:rPr>
          <w:rFonts w:ascii="Arial" w:cs="Arial" w:eastAsia="Arial" w:hAnsi="Arial"/>
          <w:sz w:val="14"/>
          <w:szCs w:val="14"/>
          <w:i w:val="1"/>
          <w:iCs w:val="1"/>
          <w:color w:val="FFFFFF"/>
        </w:rPr>
        <w:t>(Dollars in millions)</w:t>
      </w:r>
    </w:p>
    <w:p>
      <w:pPr>
        <w:spacing w:after="0" w:line="53" w:lineRule="exact"/>
        <w:rPr>
          <w:sz w:val="20"/>
          <w:szCs w:val="20"/>
          <w:color w:val="auto"/>
        </w:rPr>
      </w:pPr>
    </w:p>
    <w:p>
      <w:pPr>
        <w:jc w:val="center"/>
        <w:ind w:left="8260"/>
        <w:spacing w:after="0"/>
        <w:rPr>
          <w:sz w:val="20"/>
          <w:szCs w:val="20"/>
          <w:color w:val="auto"/>
        </w:rPr>
      </w:pPr>
      <w:r>
        <w:rPr>
          <w:rFonts w:ascii="Arial" w:cs="Arial" w:eastAsia="Arial" w:hAnsi="Arial"/>
          <w:sz w:val="14"/>
          <w:szCs w:val="14"/>
          <w:color w:val="auto"/>
        </w:rPr>
        <w:t>Pretax gain (loss) on derivatives recognized</w:t>
      </w:r>
    </w:p>
    <w:p>
      <w:pPr>
        <w:spacing w:after="0" w:line="15" w:lineRule="exact"/>
        <w:rPr>
          <w:sz w:val="20"/>
          <w:szCs w:val="20"/>
          <w:color w:val="auto"/>
        </w:rPr>
      </w:pPr>
    </w:p>
    <w:p>
      <w:pPr>
        <w:jc w:val="center"/>
        <w:ind w:left="8260"/>
        <w:spacing w:after="0"/>
        <w:rPr>
          <w:sz w:val="20"/>
          <w:szCs w:val="20"/>
          <w:color w:val="auto"/>
        </w:rPr>
      </w:pPr>
      <w:r>
        <w:rPr>
          <w:rFonts w:ascii="Arial" w:cs="Arial" w:eastAsia="Arial" w:hAnsi="Arial"/>
          <w:sz w:val="14"/>
          <w:szCs w:val="14"/>
          <w:color w:val="auto"/>
        </w:rPr>
        <w:t>in earnings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5259705</wp:posOffset>
            </wp:positionH>
            <wp:positionV relativeFrom="paragraph">
              <wp:posOffset>23495</wp:posOffset>
            </wp:positionV>
            <wp:extent cx="1877060"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1877060" cy="8890"/>
                    </a:xfrm>
                    <a:prstGeom prst="rect">
                      <a:avLst/>
                    </a:prstGeom>
                    <a:noFill/>
                  </pic:spPr>
                </pic:pic>
              </a:graphicData>
            </a:graphic>
          </wp:anchor>
        </w:drawing>
      </w:r>
    </w:p>
    <w:p>
      <w:pPr>
        <w:spacing w:after="0" w:line="48"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3120" w:type="dxa"/>
            <w:vAlign w:val="bottom"/>
          </w:tcPr>
          <w:p>
            <w:pPr>
              <w:spacing w:after="0"/>
              <w:rPr>
                <w:sz w:val="16"/>
                <w:szCs w:val="16"/>
                <w:color w:val="auto"/>
              </w:rPr>
            </w:pPr>
          </w:p>
        </w:tc>
        <w:tc>
          <w:tcPr>
            <w:tcW w:w="51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680" w:type="dxa"/>
            <w:vAlign w:val="bottom"/>
            <w:tcBorders>
              <w:bottom w:val="single" w:sz="8" w:color="auto"/>
            </w:tcBorders>
            <w:gridSpan w:val="3"/>
          </w:tcPr>
          <w:p>
            <w:pPr>
              <w:jc w:val="right"/>
              <w:ind w:right="408"/>
              <w:spacing w:after="0"/>
              <w:rPr>
                <w:sz w:val="20"/>
                <w:szCs w:val="20"/>
                <w:color w:val="auto"/>
              </w:rPr>
            </w:pPr>
            <w:r>
              <w:rPr>
                <w:rFonts w:ascii="Arial" w:cs="Arial" w:eastAsia="Arial" w:hAnsi="Arial"/>
                <w:sz w:val="14"/>
                <w:szCs w:val="14"/>
                <w:color w:val="auto"/>
              </w:rPr>
              <w:t>Three months ended March 31,</w:t>
            </w:r>
          </w:p>
        </w:tc>
        <w:tc>
          <w:tcPr>
            <w:tcW w:w="0" w:type="dxa"/>
            <w:vAlign w:val="bottom"/>
          </w:tcPr>
          <w:p>
            <w:pPr>
              <w:spacing w:after="0"/>
              <w:rPr>
                <w:sz w:val="1"/>
                <w:szCs w:val="1"/>
                <w:color w:val="auto"/>
              </w:rPr>
            </w:pPr>
          </w:p>
        </w:tc>
      </w:tr>
      <w:tr>
        <w:trPr>
          <w:trHeight w:val="209"/>
        </w:trPr>
        <w:tc>
          <w:tcPr>
            <w:tcW w:w="3120" w:type="dxa"/>
            <w:vAlign w:val="bottom"/>
            <w:tcBorders>
              <w:bottom w:val="single" w:sz="8" w:color="auto"/>
            </w:tcBorders>
          </w:tcPr>
          <w:p>
            <w:pPr>
              <w:spacing w:after="0"/>
              <w:rPr>
                <w:sz w:val="18"/>
                <w:szCs w:val="18"/>
                <w:color w:val="auto"/>
              </w:rPr>
            </w:pPr>
          </w:p>
        </w:tc>
        <w:tc>
          <w:tcPr>
            <w:tcW w:w="5160" w:type="dxa"/>
            <w:vAlign w:val="bottom"/>
            <w:tcBorders>
              <w:bottom w:val="single" w:sz="8" w:color="auto"/>
            </w:tcBorders>
          </w:tcPr>
          <w:p>
            <w:pPr>
              <w:ind w:left="2820"/>
              <w:spacing w:after="0"/>
              <w:rPr>
                <w:sz w:val="20"/>
                <w:szCs w:val="20"/>
                <w:color w:val="auto"/>
              </w:rPr>
            </w:pPr>
            <w:r>
              <w:rPr>
                <w:rFonts w:ascii="Arial" w:cs="Arial" w:eastAsia="Arial" w:hAnsi="Arial"/>
                <w:sz w:val="14"/>
                <w:szCs w:val="14"/>
                <w:color w:val="auto"/>
              </w:rPr>
              <w:t>Location</w:t>
            </w:r>
          </w:p>
        </w:tc>
        <w:tc>
          <w:tcPr>
            <w:tcW w:w="2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28"/>
              <w:spacing w:after="0"/>
              <w:rPr>
                <w:sz w:val="20"/>
                <w:szCs w:val="20"/>
                <w:color w:val="auto"/>
              </w:rPr>
            </w:pPr>
            <w:r>
              <w:rPr>
                <w:rFonts w:ascii="Arial" w:cs="Arial" w:eastAsia="Arial" w:hAnsi="Arial"/>
                <w:sz w:val="14"/>
                <w:szCs w:val="14"/>
                <w:color w:val="auto"/>
              </w:rPr>
              <w:t>2026</w:t>
            </w:r>
          </w:p>
        </w:tc>
        <w:tc>
          <w:tcPr>
            <w:tcW w:w="3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color w:val="auto"/>
              </w:rPr>
              <w:t>2025</w:t>
            </w:r>
          </w:p>
        </w:tc>
        <w:tc>
          <w:tcPr>
            <w:tcW w:w="0" w:type="dxa"/>
            <w:vAlign w:val="bottom"/>
          </w:tcPr>
          <w:p>
            <w:pPr>
              <w:spacing w:after="0"/>
              <w:rPr>
                <w:sz w:val="1"/>
                <w:szCs w:val="1"/>
                <w:color w:val="auto"/>
              </w:rPr>
            </w:pPr>
          </w:p>
        </w:tc>
      </w:tr>
      <w:tr>
        <w:trPr>
          <w:trHeight w:val="214"/>
        </w:trPr>
        <w:tc>
          <w:tcPr>
            <w:tcW w:w="3120" w:type="dxa"/>
            <w:vAlign w:val="bottom"/>
            <w:shd w:val="clear" w:color="auto" w:fill="D4F1F5"/>
          </w:tcPr>
          <w:p>
            <w:pPr>
              <w:ind w:left="20"/>
              <w:spacing w:after="0"/>
              <w:rPr>
                <w:sz w:val="20"/>
                <w:szCs w:val="20"/>
                <w:color w:val="auto"/>
              </w:rPr>
            </w:pPr>
            <w:r>
              <w:rPr>
                <w:rFonts w:ascii="Arial" w:cs="Arial" w:eastAsia="Arial" w:hAnsi="Arial"/>
                <w:sz w:val="14"/>
                <w:szCs w:val="14"/>
                <w:b w:val="1"/>
                <w:bCs w:val="1"/>
                <w:color w:val="auto"/>
              </w:rPr>
              <w:t>Sempra:</w:t>
            </w:r>
          </w:p>
        </w:tc>
        <w:tc>
          <w:tcPr>
            <w:tcW w:w="5160" w:type="dxa"/>
            <w:vAlign w:val="bottom"/>
            <w:shd w:val="clear" w:color="auto" w:fill="D4F1F5"/>
          </w:tcPr>
          <w:p>
            <w:pPr>
              <w:spacing w:after="0"/>
              <w:rPr>
                <w:sz w:val="18"/>
                <w:szCs w:val="18"/>
                <w:color w:val="auto"/>
              </w:rPr>
            </w:pPr>
          </w:p>
        </w:tc>
        <w:tc>
          <w:tcPr>
            <w:tcW w:w="280" w:type="dxa"/>
            <w:vAlign w:val="bottom"/>
            <w:shd w:val="clear" w:color="auto" w:fill="D4F1F5"/>
          </w:tcPr>
          <w:p>
            <w:pPr>
              <w:spacing w:after="0"/>
              <w:rPr>
                <w:sz w:val="18"/>
                <w:szCs w:val="18"/>
                <w:color w:val="auto"/>
              </w:rPr>
            </w:pPr>
          </w:p>
        </w:tc>
        <w:tc>
          <w:tcPr>
            <w:tcW w:w="1200" w:type="dxa"/>
            <w:vAlign w:val="bottom"/>
            <w:shd w:val="clear" w:color="auto" w:fill="D4F1F5"/>
          </w:tcPr>
          <w:p>
            <w:pPr>
              <w:spacing w:after="0"/>
              <w:rPr>
                <w:sz w:val="18"/>
                <w:szCs w:val="18"/>
                <w:color w:val="auto"/>
              </w:rPr>
            </w:pPr>
          </w:p>
        </w:tc>
        <w:tc>
          <w:tcPr>
            <w:tcW w:w="380" w:type="dxa"/>
            <w:vAlign w:val="bottom"/>
            <w:shd w:val="clear" w:color="auto" w:fill="D4F1F5"/>
          </w:tcPr>
          <w:p>
            <w:pPr>
              <w:spacing w:after="0"/>
              <w:rPr>
                <w:sz w:val="18"/>
                <w:szCs w:val="18"/>
                <w:color w:val="auto"/>
              </w:rPr>
            </w:pPr>
          </w:p>
        </w:tc>
        <w:tc>
          <w:tcPr>
            <w:tcW w:w="1100" w:type="dxa"/>
            <w:vAlign w:val="bottom"/>
            <w:shd w:val="clear" w:color="auto" w:fill="D4F1F5"/>
          </w:tcPr>
          <w:p>
            <w:pPr>
              <w:spacing w:after="0"/>
              <w:rPr>
                <w:sz w:val="18"/>
                <w:szCs w:val="18"/>
                <w:color w:val="auto"/>
              </w:rPr>
            </w:pPr>
          </w:p>
        </w:tc>
        <w:tc>
          <w:tcPr>
            <w:tcW w:w="0" w:type="dxa"/>
            <w:vAlign w:val="bottom"/>
          </w:tcPr>
          <w:p>
            <w:pPr>
              <w:spacing w:after="0"/>
              <w:rPr>
                <w:sz w:val="1"/>
                <w:szCs w:val="1"/>
                <w:color w:val="auto"/>
              </w:rPr>
            </w:pPr>
          </w:p>
        </w:tc>
      </w:tr>
      <w:tr>
        <w:trPr>
          <w:trHeight w:val="148"/>
        </w:trPr>
        <w:tc>
          <w:tcPr>
            <w:tcW w:w="3120" w:type="dxa"/>
            <w:vAlign w:val="bottom"/>
          </w:tcPr>
          <w:p>
            <w:pPr>
              <w:ind w:left="140"/>
              <w:spacing w:after="0" w:line="149" w:lineRule="exact"/>
              <w:rPr>
                <w:sz w:val="20"/>
                <w:szCs w:val="20"/>
                <w:color w:val="auto"/>
              </w:rPr>
            </w:pPr>
            <w:r>
              <w:rPr>
                <w:rFonts w:ascii="Arial" w:cs="Arial" w:eastAsia="Arial" w:hAnsi="Arial"/>
                <w:sz w:val="14"/>
                <w:szCs w:val="14"/>
                <w:color w:val="auto"/>
              </w:rPr>
              <w:t>Commodity contracts not</w:t>
            </w:r>
          </w:p>
        </w:tc>
        <w:tc>
          <w:tcPr>
            <w:tcW w:w="5160" w:type="dxa"/>
            <w:vAlign w:val="bottom"/>
          </w:tcPr>
          <w:p>
            <w:pPr>
              <w:ind w:left="1040"/>
              <w:spacing w:after="0" w:line="149" w:lineRule="exact"/>
              <w:rPr>
                <w:sz w:val="20"/>
                <w:szCs w:val="20"/>
                <w:color w:val="auto"/>
              </w:rPr>
            </w:pPr>
            <w:r>
              <w:rPr>
                <w:rFonts w:ascii="Arial" w:cs="Arial" w:eastAsia="Arial" w:hAnsi="Arial"/>
                <w:sz w:val="14"/>
                <w:szCs w:val="14"/>
                <w:color w:val="auto"/>
              </w:rPr>
              <w:t>Revenues: Energy-related</w:t>
            </w:r>
          </w:p>
        </w:tc>
        <w:tc>
          <w:tcPr>
            <w:tcW w:w="280" w:type="dxa"/>
            <w:vAlign w:val="bottom"/>
            <w:vMerge w:val="restart"/>
          </w:tcPr>
          <w:p>
            <w:pPr>
              <w:jc w:val="right"/>
              <w:ind w:right="108"/>
              <w:spacing w:after="0"/>
              <w:rPr>
                <w:sz w:val="20"/>
                <w:szCs w:val="20"/>
                <w:color w:val="auto"/>
              </w:rPr>
            </w:pPr>
            <w:r>
              <w:rPr>
                <w:rFonts w:ascii="Arial" w:cs="Arial" w:eastAsia="Arial" w:hAnsi="Arial"/>
                <w:sz w:val="14"/>
                <w:szCs w:val="14"/>
                <w:color w:val="auto"/>
              </w:rPr>
              <w:t>$</w:t>
            </w:r>
          </w:p>
        </w:tc>
        <w:tc>
          <w:tcPr>
            <w:tcW w:w="1200" w:type="dxa"/>
            <w:vAlign w:val="bottom"/>
            <w:vMerge w:val="restart"/>
          </w:tcPr>
          <w:p>
            <w:pPr>
              <w:jc w:val="right"/>
              <w:ind w:right="48"/>
              <w:spacing w:after="0"/>
              <w:rPr>
                <w:sz w:val="20"/>
                <w:szCs w:val="20"/>
                <w:color w:val="auto"/>
              </w:rPr>
            </w:pPr>
            <w:r>
              <w:rPr>
                <w:rFonts w:ascii="Arial" w:cs="Arial" w:eastAsia="Arial" w:hAnsi="Arial"/>
                <w:sz w:val="14"/>
                <w:szCs w:val="14"/>
                <w:color w:val="auto"/>
              </w:rPr>
              <w:t>100</w:t>
            </w:r>
          </w:p>
        </w:tc>
        <w:tc>
          <w:tcPr>
            <w:tcW w:w="380" w:type="dxa"/>
            <w:vAlign w:val="bottom"/>
            <w:vMerge w:val="restart"/>
          </w:tcPr>
          <w:p>
            <w:pPr>
              <w:jc w:val="right"/>
              <w:ind w:right="168"/>
              <w:spacing w:after="0"/>
              <w:rPr>
                <w:sz w:val="20"/>
                <w:szCs w:val="20"/>
                <w:color w:val="auto"/>
              </w:rPr>
            </w:pPr>
            <w:r>
              <w:rPr>
                <w:rFonts w:ascii="Arial" w:cs="Arial" w:eastAsia="Arial" w:hAnsi="Arial"/>
                <w:sz w:val="14"/>
                <w:szCs w:val="14"/>
                <w:color w:val="auto"/>
              </w:rPr>
              <w:t>$</w:t>
            </w:r>
          </w:p>
        </w:tc>
        <w:tc>
          <w:tcPr>
            <w:tcW w:w="1100" w:type="dxa"/>
            <w:vAlign w:val="bottom"/>
            <w:vMerge w:val="restart"/>
          </w:tcPr>
          <w:p>
            <w:pPr>
              <w:jc w:val="right"/>
              <w:spacing w:after="0"/>
              <w:rPr>
                <w:sz w:val="20"/>
                <w:szCs w:val="20"/>
                <w:color w:val="auto"/>
              </w:rPr>
            </w:pPr>
            <w:r>
              <w:rPr>
                <w:rFonts w:ascii="Arial" w:cs="Arial" w:eastAsia="Arial" w:hAnsi="Arial"/>
                <w:sz w:val="14"/>
                <w:szCs w:val="14"/>
                <w:color w:val="auto"/>
              </w:rPr>
              <w:t>6</w:t>
            </w:r>
          </w:p>
        </w:tc>
        <w:tc>
          <w:tcPr>
            <w:tcW w:w="0" w:type="dxa"/>
            <w:vAlign w:val="bottom"/>
          </w:tcPr>
          <w:p>
            <w:pPr>
              <w:spacing w:after="0"/>
              <w:rPr>
                <w:sz w:val="1"/>
                <w:szCs w:val="1"/>
                <w:color w:val="auto"/>
              </w:rPr>
            </w:pPr>
          </w:p>
        </w:tc>
      </w:tr>
      <w:tr>
        <w:trPr>
          <w:trHeight w:val="189"/>
        </w:trPr>
        <w:tc>
          <w:tcPr>
            <w:tcW w:w="3120" w:type="dxa"/>
            <w:vAlign w:val="bottom"/>
          </w:tcPr>
          <w:p>
            <w:pPr>
              <w:ind w:left="300"/>
              <w:spacing w:after="0"/>
              <w:rPr>
                <w:sz w:val="20"/>
                <w:szCs w:val="20"/>
                <w:color w:val="auto"/>
              </w:rPr>
            </w:pPr>
            <w:r>
              <w:rPr>
                <w:rFonts w:ascii="Arial" w:cs="Arial" w:eastAsia="Arial" w:hAnsi="Arial"/>
                <w:sz w:val="14"/>
                <w:szCs w:val="14"/>
                <w:color w:val="auto"/>
              </w:rPr>
              <w:t>subject to rate recovery</w:t>
            </w:r>
          </w:p>
        </w:tc>
        <w:tc>
          <w:tcPr>
            <w:tcW w:w="5160" w:type="dxa"/>
            <w:vAlign w:val="bottom"/>
          </w:tcPr>
          <w:p>
            <w:pPr>
              <w:ind w:left="1200"/>
              <w:spacing w:after="0"/>
              <w:rPr>
                <w:sz w:val="20"/>
                <w:szCs w:val="20"/>
                <w:color w:val="auto"/>
              </w:rPr>
            </w:pPr>
            <w:r>
              <w:rPr>
                <w:rFonts w:ascii="Arial" w:cs="Arial" w:eastAsia="Arial" w:hAnsi="Arial"/>
                <w:sz w:val="14"/>
                <w:szCs w:val="14"/>
                <w:color w:val="auto"/>
              </w:rPr>
              <w:t>businesses</w:t>
            </w:r>
          </w:p>
        </w:tc>
        <w:tc>
          <w:tcPr>
            <w:tcW w:w="280" w:type="dxa"/>
            <w:vAlign w:val="bottom"/>
            <w:vMerge w:val="continue"/>
          </w:tcPr>
          <w:p>
            <w:pPr>
              <w:spacing w:after="0"/>
              <w:rPr>
                <w:sz w:val="16"/>
                <w:szCs w:val="16"/>
                <w:color w:val="auto"/>
              </w:rPr>
            </w:pPr>
          </w:p>
        </w:tc>
        <w:tc>
          <w:tcPr>
            <w:tcW w:w="1200" w:type="dxa"/>
            <w:vAlign w:val="bottom"/>
            <w:vMerge w:val="continue"/>
          </w:tcPr>
          <w:p>
            <w:pPr>
              <w:spacing w:after="0"/>
              <w:rPr>
                <w:sz w:val="16"/>
                <w:szCs w:val="16"/>
                <w:color w:val="auto"/>
              </w:rPr>
            </w:pPr>
          </w:p>
        </w:tc>
        <w:tc>
          <w:tcPr>
            <w:tcW w:w="380" w:type="dxa"/>
            <w:vAlign w:val="bottom"/>
            <w:vMerge w:val="continue"/>
          </w:tcPr>
          <w:p>
            <w:pPr>
              <w:spacing w:after="0"/>
              <w:rPr>
                <w:sz w:val="16"/>
                <w:szCs w:val="16"/>
                <w:color w:val="auto"/>
              </w:rPr>
            </w:pPr>
          </w:p>
        </w:tc>
        <w:tc>
          <w:tcPr>
            <w:tcW w:w="11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3120" w:type="dxa"/>
            <w:vAlign w:val="bottom"/>
            <w:shd w:val="clear" w:color="auto" w:fill="D4F1F5"/>
          </w:tcPr>
          <w:p>
            <w:pPr>
              <w:ind w:left="140"/>
              <w:spacing w:after="0" w:line="149" w:lineRule="exact"/>
              <w:rPr>
                <w:sz w:val="20"/>
                <w:szCs w:val="20"/>
                <w:color w:val="auto"/>
              </w:rPr>
            </w:pPr>
            <w:r>
              <w:rPr>
                <w:rFonts w:ascii="Arial" w:cs="Arial" w:eastAsia="Arial" w:hAnsi="Arial"/>
                <w:sz w:val="14"/>
                <w:szCs w:val="14"/>
                <w:color w:val="auto"/>
              </w:rPr>
              <w:t>Commodity contracts not</w:t>
            </w:r>
          </w:p>
        </w:tc>
        <w:tc>
          <w:tcPr>
            <w:tcW w:w="5160" w:type="dxa"/>
            <w:vAlign w:val="bottom"/>
            <w:shd w:val="clear" w:color="auto" w:fill="D4F1F5"/>
          </w:tcPr>
          <w:p>
            <w:pPr>
              <w:ind w:left="1040"/>
              <w:spacing w:after="0" w:line="149" w:lineRule="exact"/>
              <w:rPr>
                <w:sz w:val="20"/>
                <w:szCs w:val="20"/>
                <w:color w:val="auto"/>
              </w:rPr>
            </w:pPr>
            <w:r>
              <w:rPr>
                <w:rFonts w:ascii="Arial" w:cs="Arial" w:eastAsia="Arial" w:hAnsi="Arial"/>
                <w:sz w:val="14"/>
                <w:szCs w:val="14"/>
                <w:color w:val="auto"/>
              </w:rPr>
              <w:t>Energy-related businesses</w:t>
            </w:r>
          </w:p>
        </w:tc>
        <w:tc>
          <w:tcPr>
            <w:tcW w:w="280" w:type="dxa"/>
            <w:vAlign w:val="bottom"/>
            <w:shd w:val="clear" w:color="auto" w:fill="D4F1F5"/>
          </w:tcPr>
          <w:p>
            <w:pPr>
              <w:spacing w:after="0"/>
              <w:rPr>
                <w:sz w:val="12"/>
                <w:szCs w:val="12"/>
                <w:color w:val="auto"/>
              </w:rPr>
            </w:pPr>
          </w:p>
        </w:tc>
        <w:tc>
          <w:tcPr>
            <w:tcW w:w="1200" w:type="dxa"/>
            <w:vAlign w:val="bottom"/>
            <w:vMerge w:val="restart"/>
            <w:shd w:val="clear" w:color="auto" w:fill="D4F1F5"/>
          </w:tcPr>
          <w:p>
            <w:pPr>
              <w:jc w:val="right"/>
              <w:ind w:right="8"/>
              <w:spacing w:after="0"/>
              <w:rPr>
                <w:sz w:val="20"/>
                <w:szCs w:val="20"/>
                <w:color w:val="auto"/>
              </w:rPr>
            </w:pPr>
            <w:r>
              <w:rPr>
                <w:rFonts w:ascii="Arial" w:cs="Arial" w:eastAsia="Arial" w:hAnsi="Arial"/>
                <w:sz w:val="14"/>
                <w:szCs w:val="14"/>
                <w:color w:val="auto"/>
              </w:rPr>
              <w:t>(22)</w:t>
            </w:r>
          </w:p>
        </w:tc>
        <w:tc>
          <w:tcPr>
            <w:tcW w:w="380" w:type="dxa"/>
            <w:vAlign w:val="bottom"/>
            <w:shd w:val="clear" w:color="auto" w:fill="D4F1F5"/>
          </w:tcPr>
          <w:p>
            <w:pPr>
              <w:spacing w:after="0"/>
              <w:rPr>
                <w:sz w:val="12"/>
                <w:szCs w:val="12"/>
                <w:color w:val="auto"/>
              </w:rPr>
            </w:pPr>
          </w:p>
        </w:tc>
        <w:tc>
          <w:tcPr>
            <w:tcW w:w="1100" w:type="dxa"/>
            <w:vAlign w:val="bottom"/>
            <w:vMerge w:val="restart"/>
            <w:shd w:val="clear" w:color="auto" w:fill="D4F1F5"/>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3120" w:type="dxa"/>
            <w:vAlign w:val="bottom"/>
            <w:shd w:val="clear" w:color="auto" w:fill="D4F1F5"/>
          </w:tcPr>
          <w:p>
            <w:pPr>
              <w:ind w:left="300"/>
              <w:spacing w:after="0"/>
              <w:rPr>
                <w:sz w:val="20"/>
                <w:szCs w:val="20"/>
                <w:color w:val="auto"/>
              </w:rPr>
            </w:pPr>
            <w:r>
              <w:rPr>
                <w:rFonts w:ascii="Arial" w:cs="Arial" w:eastAsia="Arial" w:hAnsi="Arial"/>
                <w:sz w:val="14"/>
                <w:szCs w:val="14"/>
                <w:color w:val="auto"/>
              </w:rPr>
              <w:t>subject to rate recovery</w:t>
            </w:r>
          </w:p>
        </w:tc>
        <w:tc>
          <w:tcPr>
            <w:tcW w:w="5160" w:type="dxa"/>
            <w:vAlign w:val="bottom"/>
            <w:shd w:val="clear" w:color="auto" w:fill="D4F1F5"/>
          </w:tcPr>
          <w:p>
            <w:pPr>
              <w:ind w:left="1200"/>
              <w:spacing w:after="0"/>
              <w:rPr>
                <w:sz w:val="20"/>
                <w:szCs w:val="20"/>
                <w:color w:val="auto"/>
              </w:rPr>
            </w:pPr>
            <w:r>
              <w:rPr>
                <w:rFonts w:ascii="Arial" w:cs="Arial" w:eastAsia="Arial" w:hAnsi="Arial"/>
                <w:sz w:val="14"/>
                <w:szCs w:val="14"/>
                <w:color w:val="auto"/>
              </w:rPr>
              <w:t>cost of sales</w:t>
            </w:r>
          </w:p>
        </w:tc>
        <w:tc>
          <w:tcPr>
            <w:tcW w:w="280" w:type="dxa"/>
            <w:vAlign w:val="bottom"/>
            <w:shd w:val="clear" w:color="auto" w:fill="D4F1F5"/>
          </w:tcPr>
          <w:p>
            <w:pPr>
              <w:spacing w:after="0"/>
              <w:rPr>
                <w:sz w:val="16"/>
                <w:szCs w:val="16"/>
                <w:color w:val="auto"/>
              </w:rPr>
            </w:pPr>
          </w:p>
        </w:tc>
        <w:tc>
          <w:tcPr>
            <w:tcW w:w="1200" w:type="dxa"/>
            <w:vAlign w:val="bottom"/>
            <w:vMerge w:val="continue"/>
            <w:shd w:val="clear" w:color="auto" w:fill="D4F1F5"/>
          </w:tcPr>
          <w:p>
            <w:pPr>
              <w:spacing w:after="0"/>
              <w:rPr>
                <w:sz w:val="16"/>
                <w:szCs w:val="16"/>
                <w:color w:val="auto"/>
              </w:rPr>
            </w:pPr>
          </w:p>
        </w:tc>
        <w:tc>
          <w:tcPr>
            <w:tcW w:w="380" w:type="dxa"/>
            <w:vAlign w:val="bottom"/>
            <w:shd w:val="clear" w:color="auto" w:fill="D4F1F5"/>
          </w:tcPr>
          <w:p>
            <w:pPr>
              <w:spacing w:after="0"/>
              <w:rPr>
                <w:sz w:val="16"/>
                <w:szCs w:val="16"/>
                <w:color w:val="auto"/>
              </w:rPr>
            </w:pPr>
          </w:p>
        </w:tc>
        <w:tc>
          <w:tcPr>
            <w:tcW w:w="1100" w:type="dxa"/>
            <w:vAlign w:val="bottom"/>
            <w:vMerge w:val="continue"/>
            <w:shd w:val="clear" w:color="auto" w:fill="D4F1F5"/>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3120" w:type="dxa"/>
            <w:vAlign w:val="bottom"/>
          </w:tcPr>
          <w:p>
            <w:pPr>
              <w:ind w:left="140"/>
              <w:spacing w:after="0" w:line="149" w:lineRule="exact"/>
              <w:rPr>
                <w:sz w:val="20"/>
                <w:szCs w:val="20"/>
                <w:color w:val="auto"/>
              </w:rPr>
            </w:pPr>
            <w:r>
              <w:rPr>
                <w:rFonts w:ascii="Arial" w:cs="Arial" w:eastAsia="Arial" w:hAnsi="Arial"/>
                <w:sz w:val="14"/>
                <w:szCs w:val="14"/>
                <w:color w:val="auto"/>
              </w:rPr>
              <w:t>Commodity contracts subject</w:t>
            </w:r>
          </w:p>
        </w:tc>
        <w:tc>
          <w:tcPr>
            <w:tcW w:w="5160" w:type="dxa"/>
            <w:vAlign w:val="bottom"/>
            <w:vMerge w:val="restart"/>
          </w:tcPr>
          <w:p>
            <w:pPr>
              <w:ind w:left="1040"/>
              <w:spacing w:after="0"/>
              <w:rPr>
                <w:sz w:val="20"/>
                <w:szCs w:val="20"/>
                <w:color w:val="auto"/>
              </w:rPr>
            </w:pPr>
            <w:r>
              <w:rPr>
                <w:rFonts w:ascii="Arial" w:cs="Arial" w:eastAsia="Arial" w:hAnsi="Arial"/>
                <w:sz w:val="14"/>
                <w:szCs w:val="14"/>
                <w:color w:val="auto"/>
              </w:rPr>
              <w:t>Cost of natural gas</w:t>
            </w:r>
          </w:p>
        </w:tc>
        <w:tc>
          <w:tcPr>
            <w:tcW w:w="280" w:type="dxa"/>
            <w:vAlign w:val="bottom"/>
          </w:tcPr>
          <w:p>
            <w:pPr>
              <w:spacing w:after="0"/>
              <w:rPr>
                <w:sz w:val="12"/>
                <w:szCs w:val="12"/>
                <w:color w:val="auto"/>
              </w:rPr>
            </w:pPr>
          </w:p>
        </w:tc>
        <w:tc>
          <w:tcPr>
            <w:tcW w:w="1200" w:type="dxa"/>
            <w:vAlign w:val="bottom"/>
            <w:vMerge w:val="restart"/>
          </w:tcPr>
          <w:p>
            <w:pPr>
              <w:jc w:val="right"/>
              <w:ind w:right="8"/>
              <w:spacing w:after="0"/>
              <w:rPr>
                <w:sz w:val="20"/>
                <w:szCs w:val="20"/>
                <w:color w:val="auto"/>
              </w:rPr>
            </w:pPr>
            <w:r>
              <w:rPr>
                <w:rFonts w:ascii="Arial" w:cs="Arial" w:eastAsia="Arial" w:hAnsi="Arial"/>
                <w:sz w:val="14"/>
                <w:szCs w:val="14"/>
                <w:color w:val="auto"/>
              </w:rPr>
              <w:t>(1)</w:t>
            </w:r>
          </w:p>
        </w:tc>
        <w:tc>
          <w:tcPr>
            <w:tcW w:w="380" w:type="dxa"/>
            <w:vAlign w:val="bottom"/>
          </w:tcPr>
          <w:p>
            <w:pPr>
              <w:spacing w:after="0"/>
              <w:rPr>
                <w:sz w:val="12"/>
                <w:szCs w:val="12"/>
                <w:color w:val="auto"/>
              </w:rPr>
            </w:pPr>
          </w:p>
        </w:tc>
        <w:tc>
          <w:tcPr>
            <w:tcW w:w="1100" w:type="dxa"/>
            <w:vAlign w:val="bottom"/>
            <w:vMerge w:val="restart"/>
          </w:tcPr>
          <w:p>
            <w:pPr>
              <w:jc w:val="right"/>
              <w:spacing w:after="0"/>
              <w:rPr>
                <w:sz w:val="20"/>
                <w:szCs w:val="20"/>
                <w:color w:val="auto"/>
              </w:rPr>
            </w:pPr>
            <w:r>
              <w:rPr>
                <w:rFonts w:ascii="Arial" w:cs="Arial" w:eastAsia="Arial" w:hAnsi="Arial"/>
                <w:sz w:val="14"/>
                <w:szCs w:val="14"/>
                <w:color w:val="auto"/>
              </w:rPr>
              <w:t>(16)</w:t>
            </w:r>
          </w:p>
        </w:tc>
        <w:tc>
          <w:tcPr>
            <w:tcW w:w="0" w:type="dxa"/>
            <w:vAlign w:val="bottom"/>
          </w:tcPr>
          <w:p>
            <w:pPr>
              <w:spacing w:after="0"/>
              <w:rPr>
                <w:sz w:val="1"/>
                <w:szCs w:val="1"/>
                <w:color w:val="auto"/>
              </w:rPr>
            </w:pPr>
          </w:p>
        </w:tc>
      </w:tr>
      <w:tr>
        <w:trPr>
          <w:trHeight w:val="189"/>
        </w:trPr>
        <w:tc>
          <w:tcPr>
            <w:tcW w:w="3120" w:type="dxa"/>
            <w:vAlign w:val="bottom"/>
          </w:tcPr>
          <w:p>
            <w:pPr>
              <w:ind w:left="300"/>
              <w:spacing w:after="0"/>
              <w:rPr>
                <w:sz w:val="20"/>
                <w:szCs w:val="20"/>
                <w:color w:val="auto"/>
              </w:rPr>
            </w:pPr>
            <w:r>
              <w:rPr>
                <w:rFonts w:ascii="Arial" w:cs="Arial" w:eastAsia="Arial" w:hAnsi="Arial"/>
                <w:sz w:val="14"/>
                <w:szCs w:val="14"/>
                <w:color w:val="auto"/>
              </w:rPr>
              <w:t>to rate recovery</w:t>
            </w:r>
          </w:p>
        </w:tc>
        <w:tc>
          <w:tcPr>
            <w:tcW w:w="5160" w:type="dxa"/>
            <w:vAlign w:val="bottom"/>
            <w:vMerge w:val="continue"/>
          </w:tcPr>
          <w:p>
            <w:pPr>
              <w:spacing w:after="0"/>
              <w:rPr>
                <w:sz w:val="16"/>
                <w:szCs w:val="16"/>
                <w:color w:val="auto"/>
              </w:rPr>
            </w:pPr>
          </w:p>
        </w:tc>
        <w:tc>
          <w:tcPr>
            <w:tcW w:w="280" w:type="dxa"/>
            <w:vAlign w:val="bottom"/>
          </w:tcPr>
          <w:p>
            <w:pPr>
              <w:spacing w:after="0"/>
              <w:rPr>
                <w:sz w:val="16"/>
                <w:szCs w:val="16"/>
                <w:color w:val="auto"/>
              </w:rPr>
            </w:pPr>
          </w:p>
        </w:tc>
        <w:tc>
          <w:tcPr>
            <w:tcW w:w="1200" w:type="dxa"/>
            <w:vAlign w:val="bottom"/>
            <w:vMerge w:val="continue"/>
          </w:tcPr>
          <w:p>
            <w:pPr>
              <w:spacing w:after="0"/>
              <w:rPr>
                <w:sz w:val="16"/>
                <w:szCs w:val="16"/>
                <w:color w:val="auto"/>
              </w:rPr>
            </w:pPr>
          </w:p>
        </w:tc>
        <w:tc>
          <w:tcPr>
            <w:tcW w:w="38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3120" w:type="dxa"/>
            <w:vAlign w:val="bottom"/>
            <w:shd w:val="clear" w:color="auto" w:fill="D4F1F5"/>
          </w:tcPr>
          <w:p>
            <w:pPr>
              <w:ind w:left="140"/>
              <w:spacing w:after="0" w:line="149" w:lineRule="exact"/>
              <w:rPr>
                <w:sz w:val="20"/>
                <w:szCs w:val="20"/>
                <w:color w:val="auto"/>
              </w:rPr>
            </w:pPr>
            <w:r>
              <w:rPr>
                <w:rFonts w:ascii="Arial" w:cs="Arial" w:eastAsia="Arial" w:hAnsi="Arial"/>
                <w:sz w:val="14"/>
                <w:szCs w:val="14"/>
                <w:color w:val="auto"/>
              </w:rPr>
              <w:t>Commodity contracts subject</w:t>
            </w:r>
          </w:p>
        </w:tc>
        <w:tc>
          <w:tcPr>
            <w:tcW w:w="5160" w:type="dxa"/>
            <w:vAlign w:val="bottom"/>
            <w:vMerge w:val="restart"/>
            <w:shd w:val="clear" w:color="auto" w:fill="D4F1F5"/>
          </w:tcPr>
          <w:p>
            <w:pPr>
              <w:ind w:left="1040"/>
              <w:spacing w:after="0"/>
              <w:rPr>
                <w:sz w:val="20"/>
                <w:szCs w:val="20"/>
                <w:color w:val="auto"/>
              </w:rPr>
            </w:pPr>
            <w:r>
              <w:rPr>
                <w:rFonts w:ascii="Arial" w:cs="Arial" w:eastAsia="Arial" w:hAnsi="Arial"/>
                <w:sz w:val="14"/>
                <w:szCs w:val="14"/>
                <w:color w:val="auto"/>
              </w:rPr>
              <w:t>Cost of electric fuel and purchased power</w:t>
            </w:r>
          </w:p>
        </w:tc>
        <w:tc>
          <w:tcPr>
            <w:tcW w:w="280" w:type="dxa"/>
            <w:vAlign w:val="bottom"/>
            <w:shd w:val="clear" w:color="auto" w:fill="D4F1F5"/>
          </w:tcPr>
          <w:p>
            <w:pPr>
              <w:spacing w:after="0"/>
              <w:rPr>
                <w:sz w:val="12"/>
                <w:szCs w:val="12"/>
                <w:color w:val="auto"/>
              </w:rPr>
            </w:pPr>
          </w:p>
        </w:tc>
        <w:tc>
          <w:tcPr>
            <w:tcW w:w="1200" w:type="dxa"/>
            <w:vAlign w:val="bottom"/>
            <w:vMerge w:val="restart"/>
            <w:shd w:val="clear" w:color="auto" w:fill="D4F1F5"/>
          </w:tcPr>
          <w:p>
            <w:pPr>
              <w:jc w:val="right"/>
              <w:ind w:right="8"/>
              <w:spacing w:after="0"/>
              <w:rPr>
                <w:sz w:val="20"/>
                <w:szCs w:val="20"/>
                <w:color w:val="auto"/>
              </w:rPr>
            </w:pPr>
            <w:r>
              <w:rPr>
                <w:rFonts w:ascii="Arial" w:cs="Arial" w:eastAsia="Arial" w:hAnsi="Arial"/>
                <w:sz w:val="14"/>
                <w:szCs w:val="14"/>
                <w:color w:val="auto"/>
              </w:rPr>
              <w:t>(5)</w:t>
            </w:r>
          </w:p>
        </w:tc>
        <w:tc>
          <w:tcPr>
            <w:tcW w:w="380" w:type="dxa"/>
            <w:vAlign w:val="bottom"/>
            <w:shd w:val="clear" w:color="auto" w:fill="D4F1F5"/>
          </w:tcPr>
          <w:p>
            <w:pPr>
              <w:spacing w:after="0"/>
              <w:rPr>
                <w:sz w:val="12"/>
                <w:szCs w:val="12"/>
                <w:color w:val="auto"/>
              </w:rPr>
            </w:pPr>
          </w:p>
        </w:tc>
        <w:tc>
          <w:tcPr>
            <w:tcW w:w="1100" w:type="dxa"/>
            <w:vAlign w:val="bottom"/>
            <w:vMerge w:val="restart"/>
            <w:shd w:val="clear" w:color="auto" w:fill="D4F1F5"/>
          </w:tcPr>
          <w:p>
            <w:pPr>
              <w:jc w:val="right"/>
              <w:spacing w:after="0"/>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189"/>
        </w:trPr>
        <w:tc>
          <w:tcPr>
            <w:tcW w:w="3120" w:type="dxa"/>
            <w:vAlign w:val="bottom"/>
            <w:shd w:val="clear" w:color="auto" w:fill="D4F1F5"/>
          </w:tcPr>
          <w:p>
            <w:pPr>
              <w:ind w:left="300"/>
              <w:spacing w:after="0"/>
              <w:rPr>
                <w:sz w:val="20"/>
                <w:szCs w:val="20"/>
                <w:color w:val="auto"/>
              </w:rPr>
            </w:pPr>
            <w:r>
              <w:rPr>
                <w:rFonts w:ascii="Arial" w:cs="Arial" w:eastAsia="Arial" w:hAnsi="Arial"/>
                <w:sz w:val="14"/>
                <w:szCs w:val="14"/>
                <w:color w:val="auto"/>
              </w:rPr>
              <w:t>to rate recovery</w:t>
            </w:r>
          </w:p>
        </w:tc>
        <w:tc>
          <w:tcPr>
            <w:tcW w:w="5160" w:type="dxa"/>
            <w:vAlign w:val="bottom"/>
            <w:vMerge w:val="continue"/>
            <w:shd w:val="clear" w:color="auto" w:fill="D4F1F5"/>
          </w:tcPr>
          <w:p>
            <w:pPr>
              <w:spacing w:after="0"/>
              <w:rPr>
                <w:sz w:val="16"/>
                <w:szCs w:val="16"/>
                <w:color w:val="auto"/>
              </w:rPr>
            </w:pPr>
          </w:p>
        </w:tc>
        <w:tc>
          <w:tcPr>
            <w:tcW w:w="280" w:type="dxa"/>
            <w:vAlign w:val="bottom"/>
            <w:shd w:val="clear" w:color="auto" w:fill="D4F1F5"/>
          </w:tcPr>
          <w:p>
            <w:pPr>
              <w:spacing w:after="0"/>
              <w:rPr>
                <w:sz w:val="16"/>
                <w:szCs w:val="16"/>
                <w:color w:val="auto"/>
              </w:rPr>
            </w:pPr>
          </w:p>
        </w:tc>
        <w:tc>
          <w:tcPr>
            <w:tcW w:w="1200" w:type="dxa"/>
            <w:vAlign w:val="bottom"/>
            <w:vMerge w:val="continue"/>
            <w:shd w:val="clear" w:color="auto" w:fill="D4F1F5"/>
          </w:tcPr>
          <w:p>
            <w:pPr>
              <w:spacing w:after="0"/>
              <w:rPr>
                <w:sz w:val="16"/>
                <w:szCs w:val="16"/>
                <w:color w:val="auto"/>
              </w:rPr>
            </w:pPr>
          </w:p>
        </w:tc>
        <w:tc>
          <w:tcPr>
            <w:tcW w:w="380" w:type="dxa"/>
            <w:vAlign w:val="bottom"/>
            <w:shd w:val="clear" w:color="auto" w:fill="D4F1F5"/>
          </w:tcPr>
          <w:p>
            <w:pPr>
              <w:spacing w:after="0"/>
              <w:rPr>
                <w:sz w:val="16"/>
                <w:szCs w:val="16"/>
                <w:color w:val="auto"/>
              </w:rPr>
            </w:pPr>
          </w:p>
        </w:tc>
        <w:tc>
          <w:tcPr>
            <w:tcW w:w="1100" w:type="dxa"/>
            <w:vAlign w:val="bottom"/>
            <w:vMerge w:val="continue"/>
            <w:shd w:val="clear" w:color="auto" w:fill="D4F1F5"/>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3120" w:type="dxa"/>
            <w:vAlign w:val="bottom"/>
          </w:tcPr>
          <w:p>
            <w:pPr>
              <w:ind w:left="140"/>
              <w:spacing w:after="0"/>
              <w:rPr>
                <w:sz w:val="20"/>
                <w:szCs w:val="20"/>
                <w:color w:val="auto"/>
              </w:rPr>
            </w:pPr>
            <w:r>
              <w:rPr>
                <w:rFonts w:ascii="Arial" w:cs="Arial" w:eastAsia="Arial" w:hAnsi="Arial"/>
                <w:sz w:val="14"/>
                <w:szCs w:val="14"/>
                <w:color w:val="auto"/>
              </w:rPr>
              <w:t>Foreign exchange instruments</w:t>
            </w:r>
          </w:p>
        </w:tc>
        <w:tc>
          <w:tcPr>
            <w:tcW w:w="5160" w:type="dxa"/>
            <w:vAlign w:val="bottom"/>
          </w:tcPr>
          <w:p>
            <w:pPr>
              <w:ind w:left="1040"/>
              <w:spacing w:after="0"/>
              <w:rPr>
                <w:sz w:val="20"/>
                <w:szCs w:val="20"/>
                <w:color w:val="auto"/>
              </w:rPr>
            </w:pPr>
            <w:r>
              <w:rPr>
                <w:rFonts w:ascii="Arial" w:cs="Arial" w:eastAsia="Arial" w:hAnsi="Arial"/>
                <w:sz w:val="14"/>
                <w:szCs w:val="14"/>
                <w:color w:val="auto"/>
              </w:rPr>
              <w:t>Other income, net</w:t>
            </w:r>
          </w:p>
        </w:tc>
        <w:tc>
          <w:tcPr>
            <w:tcW w:w="280" w:type="dxa"/>
            <w:vAlign w:val="bottom"/>
          </w:tcPr>
          <w:p>
            <w:pPr>
              <w:spacing w:after="0"/>
              <w:rPr>
                <w:sz w:val="17"/>
                <w:szCs w:val="17"/>
                <w:color w:val="auto"/>
              </w:rPr>
            </w:pPr>
          </w:p>
        </w:tc>
        <w:tc>
          <w:tcPr>
            <w:tcW w:w="1200" w:type="dxa"/>
            <w:vAlign w:val="bottom"/>
          </w:tcPr>
          <w:p>
            <w:pPr>
              <w:jc w:val="right"/>
              <w:ind w:right="48"/>
              <w:spacing w:after="0"/>
              <w:rPr>
                <w:sz w:val="20"/>
                <w:szCs w:val="20"/>
                <w:color w:val="auto"/>
              </w:rPr>
            </w:pPr>
            <w:r>
              <w:rPr>
                <w:rFonts w:ascii="Arial" w:cs="Arial" w:eastAsia="Arial" w:hAnsi="Arial"/>
                <w:sz w:val="14"/>
                <w:szCs w:val="14"/>
                <w:color w:val="auto"/>
              </w:rPr>
              <w:t>9</w:t>
            </w:r>
          </w:p>
        </w:tc>
        <w:tc>
          <w:tcPr>
            <w:tcW w:w="38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7"/>
        </w:trPr>
        <w:tc>
          <w:tcPr>
            <w:tcW w:w="3120" w:type="dxa"/>
            <w:vAlign w:val="bottom"/>
            <w:shd w:val="clear" w:color="auto" w:fill="D4F1F5"/>
          </w:tcPr>
          <w:p>
            <w:pPr>
              <w:ind w:left="140"/>
              <w:spacing w:after="0"/>
              <w:rPr>
                <w:sz w:val="20"/>
                <w:szCs w:val="20"/>
                <w:color w:val="auto"/>
              </w:rPr>
            </w:pPr>
            <w:r>
              <w:rPr>
                <w:rFonts w:ascii="Arial" w:cs="Arial" w:eastAsia="Arial" w:hAnsi="Arial"/>
                <w:sz w:val="14"/>
                <w:szCs w:val="14"/>
                <w:color w:val="auto"/>
              </w:rPr>
              <w:t>Interest rate instruments</w:t>
            </w:r>
          </w:p>
        </w:tc>
        <w:tc>
          <w:tcPr>
            <w:tcW w:w="5160" w:type="dxa"/>
            <w:vAlign w:val="bottom"/>
            <w:shd w:val="clear" w:color="auto" w:fill="D4F1F5"/>
          </w:tcPr>
          <w:p>
            <w:pPr>
              <w:ind w:left="1040"/>
              <w:spacing w:after="0"/>
              <w:rPr>
                <w:sz w:val="20"/>
                <w:szCs w:val="20"/>
                <w:color w:val="auto"/>
              </w:rPr>
            </w:pPr>
            <w:r>
              <w:rPr>
                <w:rFonts w:ascii="Arial" w:cs="Arial" w:eastAsia="Arial" w:hAnsi="Arial"/>
                <w:sz w:val="14"/>
                <w:szCs w:val="14"/>
                <w:color w:val="auto"/>
              </w:rPr>
              <w:t>Interest expense</w:t>
            </w:r>
          </w:p>
        </w:tc>
        <w:tc>
          <w:tcPr>
            <w:tcW w:w="280" w:type="dxa"/>
            <w:vAlign w:val="bottom"/>
            <w:tcBorders>
              <w:bottom w:val="single" w:sz="8" w:color="auto"/>
            </w:tcBorders>
            <w:shd w:val="clear" w:color="auto" w:fill="D4F1F5"/>
          </w:tcPr>
          <w:p>
            <w:pPr>
              <w:spacing w:after="0"/>
              <w:rPr>
                <w:sz w:val="17"/>
                <w:szCs w:val="17"/>
                <w:color w:val="auto"/>
              </w:rPr>
            </w:pPr>
          </w:p>
        </w:tc>
        <w:tc>
          <w:tcPr>
            <w:tcW w:w="1200" w:type="dxa"/>
            <w:vAlign w:val="bottom"/>
            <w:tcBorders>
              <w:bottom w:val="single" w:sz="8" w:color="auto"/>
            </w:tcBorders>
            <w:shd w:val="clear" w:color="auto" w:fill="D4F1F5"/>
          </w:tcPr>
          <w:p>
            <w:pPr>
              <w:jc w:val="right"/>
              <w:ind w:right="48"/>
              <w:spacing w:after="0"/>
              <w:rPr>
                <w:sz w:val="20"/>
                <w:szCs w:val="20"/>
                <w:color w:val="auto"/>
              </w:rPr>
            </w:pPr>
            <w:r>
              <w:rPr>
                <w:rFonts w:ascii="Arial" w:cs="Arial" w:eastAsia="Arial" w:hAnsi="Arial"/>
                <w:sz w:val="14"/>
                <w:szCs w:val="14"/>
                <w:color w:val="auto"/>
              </w:rPr>
              <w:t>11</w:t>
            </w:r>
          </w:p>
        </w:tc>
        <w:tc>
          <w:tcPr>
            <w:tcW w:w="380" w:type="dxa"/>
            <w:vAlign w:val="bottom"/>
            <w:tcBorders>
              <w:bottom w:val="single" w:sz="8" w:color="auto"/>
            </w:tcBorders>
            <w:shd w:val="clear" w:color="auto" w:fill="D4F1F5"/>
          </w:tcPr>
          <w:p>
            <w:pPr>
              <w:spacing w:after="0"/>
              <w:rPr>
                <w:sz w:val="17"/>
                <w:szCs w:val="17"/>
                <w:color w:val="auto"/>
              </w:rPr>
            </w:pPr>
          </w:p>
        </w:tc>
        <w:tc>
          <w:tcPr>
            <w:tcW w:w="1100" w:type="dxa"/>
            <w:vAlign w:val="bottom"/>
            <w:tcBorders>
              <w:bottom w:val="single" w:sz="8" w:color="auto"/>
            </w:tcBorders>
            <w:shd w:val="clear" w:color="auto" w:fill="D4F1F5"/>
          </w:tcPr>
          <w:p>
            <w:pPr>
              <w:jc w:val="right"/>
              <w:spacing w:after="0"/>
              <w:rPr>
                <w:sz w:val="20"/>
                <w:szCs w:val="20"/>
                <w:color w:val="auto"/>
              </w:rPr>
            </w:pPr>
            <w:r>
              <w:rPr>
                <w:rFonts w:ascii="Arial" w:cs="Arial" w:eastAsia="Arial" w:hAnsi="Arial"/>
                <w:sz w:val="14"/>
                <w:szCs w:val="14"/>
                <w:color w:val="auto"/>
              </w:rPr>
              <w:t>(65)</w:t>
            </w:r>
          </w:p>
        </w:tc>
        <w:tc>
          <w:tcPr>
            <w:tcW w:w="0" w:type="dxa"/>
            <w:vAlign w:val="bottom"/>
          </w:tcPr>
          <w:p>
            <w:pPr>
              <w:spacing w:after="0"/>
              <w:rPr>
                <w:sz w:val="1"/>
                <w:szCs w:val="1"/>
                <w:color w:val="auto"/>
              </w:rPr>
            </w:pPr>
          </w:p>
        </w:tc>
      </w:tr>
      <w:tr>
        <w:trPr>
          <w:trHeight w:val="203"/>
        </w:trPr>
        <w:tc>
          <w:tcPr>
            <w:tcW w:w="3120" w:type="dxa"/>
            <w:vAlign w:val="bottom"/>
            <w:tcBorders>
              <w:bottom w:val="single" w:sz="8" w:color="auto"/>
            </w:tcBorders>
          </w:tcPr>
          <w:p>
            <w:pPr>
              <w:ind w:left="140"/>
              <w:spacing w:after="0"/>
              <w:rPr>
                <w:sz w:val="20"/>
                <w:szCs w:val="20"/>
                <w:color w:val="auto"/>
              </w:rPr>
            </w:pPr>
            <w:r>
              <w:rPr>
                <w:rFonts w:ascii="Arial" w:cs="Arial" w:eastAsia="Arial" w:hAnsi="Arial"/>
                <w:sz w:val="14"/>
                <w:szCs w:val="14"/>
                <w:color w:val="auto"/>
              </w:rPr>
              <w:t>Total</w:t>
            </w:r>
          </w:p>
        </w:tc>
        <w:tc>
          <w:tcPr>
            <w:tcW w:w="516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92</w:t>
            </w:r>
          </w:p>
        </w:tc>
        <w:tc>
          <w:tcPr>
            <w:tcW w:w="38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(72)</w:t>
            </w:r>
          </w:p>
        </w:tc>
        <w:tc>
          <w:tcPr>
            <w:tcW w:w="0" w:type="dxa"/>
            <w:vAlign w:val="bottom"/>
          </w:tcPr>
          <w:p>
            <w:pPr>
              <w:spacing w:after="0"/>
              <w:rPr>
                <w:sz w:val="1"/>
                <w:szCs w:val="1"/>
                <w:color w:val="auto"/>
              </w:rPr>
            </w:pPr>
          </w:p>
        </w:tc>
      </w:tr>
      <w:tr>
        <w:trPr>
          <w:trHeight w:val="203"/>
        </w:trPr>
        <w:tc>
          <w:tcPr>
            <w:tcW w:w="3120" w:type="dxa"/>
            <w:vAlign w:val="bottom"/>
            <w:shd w:val="clear" w:color="auto" w:fill="D4F1F5"/>
          </w:tcPr>
          <w:p>
            <w:pPr>
              <w:ind w:left="20"/>
              <w:spacing w:after="0"/>
              <w:rPr>
                <w:sz w:val="20"/>
                <w:szCs w:val="20"/>
                <w:color w:val="auto"/>
              </w:rPr>
            </w:pPr>
            <w:r>
              <w:rPr>
                <w:rFonts w:ascii="Arial" w:cs="Arial" w:eastAsia="Arial" w:hAnsi="Arial"/>
                <w:sz w:val="14"/>
                <w:szCs w:val="14"/>
                <w:b w:val="1"/>
                <w:bCs w:val="1"/>
                <w:color w:val="auto"/>
              </w:rPr>
              <w:t>SDG&amp;E:</w:t>
            </w:r>
          </w:p>
        </w:tc>
        <w:tc>
          <w:tcPr>
            <w:tcW w:w="5160" w:type="dxa"/>
            <w:vAlign w:val="bottom"/>
            <w:shd w:val="clear" w:color="auto" w:fill="D4F1F5"/>
          </w:tcPr>
          <w:p>
            <w:pPr>
              <w:spacing w:after="0"/>
              <w:rPr>
                <w:sz w:val="17"/>
                <w:szCs w:val="17"/>
                <w:color w:val="auto"/>
              </w:rPr>
            </w:pPr>
          </w:p>
        </w:tc>
        <w:tc>
          <w:tcPr>
            <w:tcW w:w="280" w:type="dxa"/>
            <w:vAlign w:val="bottom"/>
            <w:shd w:val="clear" w:color="auto" w:fill="D4F1F5"/>
          </w:tcPr>
          <w:p>
            <w:pPr>
              <w:spacing w:after="0"/>
              <w:rPr>
                <w:sz w:val="17"/>
                <w:szCs w:val="17"/>
                <w:color w:val="auto"/>
              </w:rPr>
            </w:pPr>
          </w:p>
        </w:tc>
        <w:tc>
          <w:tcPr>
            <w:tcW w:w="1200" w:type="dxa"/>
            <w:vAlign w:val="bottom"/>
            <w:shd w:val="clear" w:color="auto" w:fill="D4F1F5"/>
          </w:tcPr>
          <w:p>
            <w:pPr>
              <w:spacing w:after="0"/>
              <w:rPr>
                <w:sz w:val="17"/>
                <w:szCs w:val="17"/>
                <w:color w:val="auto"/>
              </w:rPr>
            </w:pPr>
          </w:p>
        </w:tc>
        <w:tc>
          <w:tcPr>
            <w:tcW w:w="380" w:type="dxa"/>
            <w:vAlign w:val="bottom"/>
            <w:shd w:val="clear" w:color="auto" w:fill="D4F1F5"/>
          </w:tcPr>
          <w:p>
            <w:pPr>
              <w:spacing w:after="0"/>
              <w:rPr>
                <w:sz w:val="17"/>
                <w:szCs w:val="17"/>
                <w:color w:val="auto"/>
              </w:rPr>
            </w:pPr>
          </w:p>
        </w:tc>
        <w:tc>
          <w:tcPr>
            <w:tcW w:w="1100" w:type="dxa"/>
            <w:vAlign w:val="bottom"/>
            <w:shd w:val="clear" w:color="auto" w:fill="D4F1F5"/>
          </w:tcPr>
          <w:p>
            <w:pPr>
              <w:spacing w:after="0"/>
              <w:rPr>
                <w:sz w:val="17"/>
                <w:szCs w:val="17"/>
                <w:color w:val="auto"/>
              </w:rPr>
            </w:pPr>
          </w:p>
        </w:tc>
        <w:tc>
          <w:tcPr>
            <w:tcW w:w="0" w:type="dxa"/>
            <w:vAlign w:val="bottom"/>
          </w:tcPr>
          <w:p>
            <w:pPr>
              <w:spacing w:after="0"/>
              <w:rPr>
                <w:sz w:val="1"/>
                <w:szCs w:val="1"/>
                <w:color w:val="auto"/>
              </w:rPr>
            </w:pPr>
          </w:p>
        </w:tc>
      </w:tr>
      <w:tr>
        <w:trPr>
          <w:trHeight w:val="148"/>
        </w:trPr>
        <w:tc>
          <w:tcPr>
            <w:tcW w:w="3120" w:type="dxa"/>
            <w:vAlign w:val="bottom"/>
          </w:tcPr>
          <w:p>
            <w:pPr>
              <w:ind w:left="140"/>
              <w:spacing w:after="0" w:line="149" w:lineRule="exact"/>
              <w:rPr>
                <w:sz w:val="20"/>
                <w:szCs w:val="20"/>
                <w:color w:val="auto"/>
              </w:rPr>
            </w:pPr>
            <w:r>
              <w:rPr>
                <w:rFonts w:ascii="Arial" w:cs="Arial" w:eastAsia="Arial" w:hAnsi="Arial"/>
                <w:sz w:val="14"/>
                <w:szCs w:val="14"/>
                <w:color w:val="auto"/>
              </w:rPr>
              <w:t>Commodity contracts subject</w:t>
            </w:r>
          </w:p>
        </w:tc>
        <w:tc>
          <w:tcPr>
            <w:tcW w:w="5160" w:type="dxa"/>
            <w:vAlign w:val="bottom"/>
            <w:vMerge w:val="restart"/>
          </w:tcPr>
          <w:p>
            <w:pPr>
              <w:ind w:left="1040"/>
              <w:spacing w:after="0"/>
              <w:rPr>
                <w:sz w:val="20"/>
                <w:szCs w:val="20"/>
                <w:color w:val="auto"/>
              </w:rPr>
            </w:pPr>
            <w:r>
              <w:rPr>
                <w:rFonts w:ascii="Arial" w:cs="Arial" w:eastAsia="Arial" w:hAnsi="Arial"/>
                <w:sz w:val="14"/>
                <w:szCs w:val="14"/>
                <w:color w:val="auto"/>
              </w:rPr>
              <w:t>Cost of electric fuel and purchased power</w:t>
            </w:r>
          </w:p>
        </w:tc>
        <w:tc>
          <w:tcPr>
            <w:tcW w:w="280" w:type="dxa"/>
            <w:vAlign w:val="bottom"/>
            <w:vMerge w:val="restart"/>
          </w:tcPr>
          <w:p>
            <w:pPr>
              <w:jc w:val="right"/>
              <w:ind w:right="108"/>
              <w:spacing w:after="0"/>
              <w:rPr>
                <w:sz w:val="20"/>
                <w:szCs w:val="20"/>
                <w:color w:val="auto"/>
              </w:rPr>
            </w:pPr>
            <w:r>
              <w:rPr>
                <w:rFonts w:ascii="Arial" w:cs="Arial" w:eastAsia="Arial" w:hAnsi="Arial"/>
                <w:sz w:val="14"/>
                <w:szCs w:val="14"/>
                <w:color w:val="auto"/>
              </w:rPr>
              <w:t>$</w:t>
            </w:r>
          </w:p>
        </w:tc>
        <w:tc>
          <w:tcPr>
            <w:tcW w:w="1200" w:type="dxa"/>
            <w:vAlign w:val="bottom"/>
            <w:vMerge w:val="restart"/>
          </w:tcPr>
          <w:p>
            <w:pPr>
              <w:jc w:val="right"/>
              <w:ind w:right="8"/>
              <w:spacing w:after="0"/>
              <w:rPr>
                <w:sz w:val="20"/>
                <w:szCs w:val="20"/>
                <w:color w:val="auto"/>
              </w:rPr>
            </w:pPr>
            <w:r>
              <w:rPr>
                <w:rFonts w:ascii="Arial" w:cs="Arial" w:eastAsia="Arial" w:hAnsi="Arial"/>
                <w:sz w:val="14"/>
                <w:szCs w:val="14"/>
                <w:color w:val="auto"/>
              </w:rPr>
              <w:t>(5)</w:t>
            </w:r>
          </w:p>
        </w:tc>
        <w:tc>
          <w:tcPr>
            <w:tcW w:w="380" w:type="dxa"/>
            <w:vAlign w:val="bottom"/>
            <w:vMerge w:val="restart"/>
          </w:tcPr>
          <w:p>
            <w:pPr>
              <w:jc w:val="right"/>
              <w:ind w:right="168"/>
              <w:spacing w:after="0"/>
              <w:rPr>
                <w:sz w:val="20"/>
                <w:szCs w:val="20"/>
                <w:color w:val="auto"/>
              </w:rPr>
            </w:pPr>
            <w:r>
              <w:rPr>
                <w:rFonts w:ascii="Arial" w:cs="Arial" w:eastAsia="Arial" w:hAnsi="Arial"/>
                <w:sz w:val="14"/>
                <w:szCs w:val="14"/>
                <w:color w:val="auto"/>
              </w:rPr>
              <w:t>$</w:t>
            </w:r>
          </w:p>
        </w:tc>
        <w:tc>
          <w:tcPr>
            <w:tcW w:w="1100" w:type="dxa"/>
            <w:vAlign w:val="bottom"/>
            <w:vMerge w:val="restart"/>
          </w:tcPr>
          <w:p>
            <w:pPr>
              <w:jc w:val="right"/>
              <w:spacing w:after="0"/>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196"/>
        </w:trPr>
        <w:tc>
          <w:tcPr>
            <w:tcW w:w="3120" w:type="dxa"/>
            <w:vAlign w:val="bottom"/>
            <w:tcBorders>
              <w:bottom w:val="single" w:sz="8" w:color="ACACAC"/>
            </w:tcBorders>
          </w:tcPr>
          <w:p>
            <w:pPr>
              <w:ind w:left="300"/>
              <w:spacing w:after="0"/>
              <w:rPr>
                <w:sz w:val="20"/>
                <w:szCs w:val="20"/>
                <w:color w:val="auto"/>
              </w:rPr>
            </w:pPr>
            <w:r>
              <w:rPr>
                <w:rFonts w:ascii="Arial" w:cs="Arial" w:eastAsia="Arial" w:hAnsi="Arial"/>
                <w:sz w:val="14"/>
                <w:szCs w:val="14"/>
                <w:color w:val="auto"/>
              </w:rPr>
              <w:t>to rate recovery</w:t>
            </w:r>
          </w:p>
        </w:tc>
        <w:tc>
          <w:tcPr>
            <w:tcW w:w="5160" w:type="dxa"/>
            <w:vAlign w:val="bottom"/>
            <w:tcBorders>
              <w:bottom w:val="single" w:sz="8" w:color="ACACAC"/>
            </w:tcBorders>
            <w:vMerge w:val="continue"/>
          </w:tcPr>
          <w:p>
            <w:pPr>
              <w:spacing w:after="0"/>
              <w:rPr>
                <w:sz w:val="17"/>
                <w:szCs w:val="17"/>
                <w:color w:val="auto"/>
              </w:rPr>
            </w:pPr>
          </w:p>
        </w:tc>
        <w:tc>
          <w:tcPr>
            <w:tcW w:w="280" w:type="dxa"/>
            <w:vAlign w:val="bottom"/>
            <w:tcBorders>
              <w:bottom w:val="single" w:sz="8" w:color="ACACAC"/>
            </w:tcBorders>
            <w:vMerge w:val="continue"/>
          </w:tcPr>
          <w:p>
            <w:pPr>
              <w:spacing w:after="0"/>
              <w:rPr>
                <w:sz w:val="17"/>
                <w:szCs w:val="17"/>
                <w:color w:val="auto"/>
              </w:rPr>
            </w:pPr>
          </w:p>
        </w:tc>
        <w:tc>
          <w:tcPr>
            <w:tcW w:w="1200" w:type="dxa"/>
            <w:vAlign w:val="bottom"/>
            <w:tcBorders>
              <w:bottom w:val="single" w:sz="8" w:color="ACACAC"/>
            </w:tcBorders>
            <w:vMerge w:val="continue"/>
          </w:tcPr>
          <w:p>
            <w:pPr>
              <w:spacing w:after="0"/>
              <w:rPr>
                <w:sz w:val="17"/>
                <w:szCs w:val="17"/>
                <w:color w:val="auto"/>
              </w:rPr>
            </w:pPr>
          </w:p>
        </w:tc>
        <w:tc>
          <w:tcPr>
            <w:tcW w:w="380" w:type="dxa"/>
            <w:vAlign w:val="bottom"/>
            <w:tcBorders>
              <w:bottom w:val="single" w:sz="8" w:color="ACACAC"/>
            </w:tcBorders>
            <w:vMerge w:val="continue"/>
          </w:tcPr>
          <w:p>
            <w:pPr>
              <w:spacing w:after="0"/>
              <w:rPr>
                <w:sz w:val="17"/>
                <w:szCs w:val="17"/>
                <w:color w:val="auto"/>
              </w:rPr>
            </w:pPr>
          </w:p>
        </w:tc>
        <w:tc>
          <w:tcPr>
            <w:tcW w:w="1100" w:type="dxa"/>
            <w:vAlign w:val="bottom"/>
            <w:tcBorders>
              <w:bottom w:val="single" w:sz="8" w:color="ACACAC"/>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3120" w:type="dxa"/>
            <w:vAlign w:val="bottom"/>
            <w:shd w:val="clear" w:color="auto" w:fill="D4F1F5"/>
          </w:tcPr>
          <w:p>
            <w:pPr>
              <w:ind w:left="20"/>
              <w:spacing w:after="0"/>
              <w:rPr>
                <w:sz w:val="20"/>
                <w:szCs w:val="20"/>
                <w:color w:val="auto"/>
              </w:rPr>
            </w:pPr>
            <w:r>
              <w:rPr>
                <w:rFonts w:ascii="Arial" w:cs="Arial" w:eastAsia="Arial" w:hAnsi="Arial"/>
                <w:sz w:val="14"/>
                <w:szCs w:val="14"/>
                <w:b w:val="1"/>
                <w:bCs w:val="1"/>
                <w:color w:val="auto"/>
              </w:rPr>
              <w:t>SoCalGas:</w:t>
            </w:r>
          </w:p>
        </w:tc>
        <w:tc>
          <w:tcPr>
            <w:tcW w:w="5160" w:type="dxa"/>
            <w:vAlign w:val="bottom"/>
            <w:shd w:val="clear" w:color="auto" w:fill="D4F1F5"/>
          </w:tcPr>
          <w:p>
            <w:pPr>
              <w:spacing w:after="0"/>
              <w:rPr>
                <w:sz w:val="17"/>
                <w:szCs w:val="17"/>
                <w:color w:val="auto"/>
              </w:rPr>
            </w:pPr>
          </w:p>
        </w:tc>
        <w:tc>
          <w:tcPr>
            <w:tcW w:w="280" w:type="dxa"/>
            <w:vAlign w:val="bottom"/>
            <w:shd w:val="clear" w:color="auto" w:fill="D4F1F5"/>
          </w:tcPr>
          <w:p>
            <w:pPr>
              <w:spacing w:after="0"/>
              <w:rPr>
                <w:sz w:val="17"/>
                <w:szCs w:val="17"/>
                <w:color w:val="auto"/>
              </w:rPr>
            </w:pPr>
          </w:p>
        </w:tc>
        <w:tc>
          <w:tcPr>
            <w:tcW w:w="1200" w:type="dxa"/>
            <w:vAlign w:val="bottom"/>
            <w:shd w:val="clear" w:color="auto" w:fill="D4F1F5"/>
          </w:tcPr>
          <w:p>
            <w:pPr>
              <w:spacing w:after="0"/>
              <w:rPr>
                <w:sz w:val="17"/>
                <w:szCs w:val="17"/>
                <w:color w:val="auto"/>
              </w:rPr>
            </w:pPr>
          </w:p>
        </w:tc>
        <w:tc>
          <w:tcPr>
            <w:tcW w:w="380" w:type="dxa"/>
            <w:vAlign w:val="bottom"/>
            <w:shd w:val="clear" w:color="auto" w:fill="D4F1F5"/>
          </w:tcPr>
          <w:p>
            <w:pPr>
              <w:spacing w:after="0"/>
              <w:rPr>
                <w:sz w:val="17"/>
                <w:szCs w:val="17"/>
                <w:color w:val="auto"/>
              </w:rPr>
            </w:pPr>
          </w:p>
        </w:tc>
        <w:tc>
          <w:tcPr>
            <w:tcW w:w="1100" w:type="dxa"/>
            <w:vAlign w:val="bottom"/>
            <w:shd w:val="clear" w:color="auto" w:fill="D4F1F5"/>
          </w:tcPr>
          <w:p>
            <w:pPr>
              <w:spacing w:after="0"/>
              <w:rPr>
                <w:sz w:val="17"/>
                <w:szCs w:val="17"/>
                <w:color w:val="auto"/>
              </w:rPr>
            </w:pPr>
          </w:p>
        </w:tc>
        <w:tc>
          <w:tcPr>
            <w:tcW w:w="0" w:type="dxa"/>
            <w:vAlign w:val="bottom"/>
          </w:tcPr>
          <w:p>
            <w:pPr>
              <w:spacing w:after="0"/>
              <w:rPr>
                <w:sz w:val="1"/>
                <w:szCs w:val="1"/>
                <w:color w:val="auto"/>
              </w:rPr>
            </w:pPr>
          </w:p>
        </w:tc>
      </w:tr>
      <w:tr>
        <w:trPr>
          <w:trHeight w:val="149"/>
        </w:trPr>
        <w:tc>
          <w:tcPr>
            <w:tcW w:w="3120" w:type="dxa"/>
            <w:vAlign w:val="bottom"/>
          </w:tcPr>
          <w:p>
            <w:pPr>
              <w:ind w:left="140"/>
              <w:spacing w:after="0" w:line="149" w:lineRule="exact"/>
              <w:rPr>
                <w:sz w:val="20"/>
                <w:szCs w:val="20"/>
                <w:color w:val="auto"/>
              </w:rPr>
            </w:pPr>
            <w:r>
              <w:rPr>
                <w:rFonts w:ascii="Arial" w:cs="Arial" w:eastAsia="Arial" w:hAnsi="Arial"/>
                <w:sz w:val="14"/>
                <w:szCs w:val="14"/>
                <w:color w:val="auto"/>
              </w:rPr>
              <w:t>Commodity contracts subject</w:t>
            </w:r>
          </w:p>
        </w:tc>
        <w:tc>
          <w:tcPr>
            <w:tcW w:w="5160" w:type="dxa"/>
            <w:vAlign w:val="bottom"/>
            <w:vMerge w:val="restart"/>
          </w:tcPr>
          <w:p>
            <w:pPr>
              <w:ind w:left="1040"/>
              <w:spacing w:after="0"/>
              <w:rPr>
                <w:sz w:val="20"/>
                <w:szCs w:val="20"/>
                <w:color w:val="auto"/>
              </w:rPr>
            </w:pPr>
            <w:r>
              <w:rPr>
                <w:rFonts w:ascii="Arial" w:cs="Arial" w:eastAsia="Arial" w:hAnsi="Arial"/>
                <w:sz w:val="14"/>
                <w:szCs w:val="14"/>
                <w:color w:val="auto"/>
              </w:rPr>
              <w:t>Cost of natural gas</w:t>
            </w:r>
          </w:p>
        </w:tc>
        <w:tc>
          <w:tcPr>
            <w:tcW w:w="280" w:type="dxa"/>
            <w:vAlign w:val="bottom"/>
            <w:vMerge w:val="restart"/>
          </w:tcPr>
          <w:p>
            <w:pPr>
              <w:jc w:val="right"/>
              <w:ind w:right="108"/>
              <w:spacing w:after="0"/>
              <w:rPr>
                <w:sz w:val="20"/>
                <w:szCs w:val="20"/>
                <w:color w:val="auto"/>
              </w:rPr>
            </w:pPr>
            <w:r>
              <w:rPr>
                <w:rFonts w:ascii="Arial" w:cs="Arial" w:eastAsia="Arial" w:hAnsi="Arial"/>
                <w:sz w:val="14"/>
                <w:szCs w:val="14"/>
                <w:color w:val="auto"/>
              </w:rPr>
              <w:t>$</w:t>
            </w:r>
          </w:p>
        </w:tc>
        <w:tc>
          <w:tcPr>
            <w:tcW w:w="1200" w:type="dxa"/>
            <w:vAlign w:val="bottom"/>
            <w:vMerge w:val="restart"/>
          </w:tcPr>
          <w:p>
            <w:pPr>
              <w:jc w:val="right"/>
              <w:ind w:right="8"/>
              <w:spacing w:after="0"/>
              <w:rPr>
                <w:sz w:val="20"/>
                <w:szCs w:val="20"/>
                <w:color w:val="auto"/>
              </w:rPr>
            </w:pPr>
            <w:r>
              <w:rPr>
                <w:rFonts w:ascii="Arial" w:cs="Arial" w:eastAsia="Arial" w:hAnsi="Arial"/>
                <w:sz w:val="14"/>
                <w:szCs w:val="14"/>
                <w:color w:val="auto"/>
              </w:rPr>
              <w:t>(1)</w:t>
            </w:r>
          </w:p>
        </w:tc>
        <w:tc>
          <w:tcPr>
            <w:tcW w:w="380" w:type="dxa"/>
            <w:vAlign w:val="bottom"/>
            <w:vMerge w:val="restart"/>
          </w:tcPr>
          <w:p>
            <w:pPr>
              <w:jc w:val="right"/>
              <w:ind w:right="168"/>
              <w:spacing w:after="0"/>
              <w:rPr>
                <w:sz w:val="20"/>
                <w:szCs w:val="20"/>
                <w:color w:val="auto"/>
              </w:rPr>
            </w:pPr>
            <w:r>
              <w:rPr>
                <w:rFonts w:ascii="Arial" w:cs="Arial" w:eastAsia="Arial" w:hAnsi="Arial"/>
                <w:sz w:val="14"/>
                <w:szCs w:val="14"/>
                <w:color w:val="auto"/>
              </w:rPr>
              <w:t>$</w:t>
            </w:r>
          </w:p>
        </w:tc>
        <w:tc>
          <w:tcPr>
            <w:tcW w:w="1100" w:type="dxa"/>
            <w:vAlign w:val="bottom"/>
            <w:vMerge w:val="restart"/>
          </w:tcPr>
          <w:p>
            <w:pPr>
              <w:jc w:val="right"/>
              <w:spacing w:after="0"/>
              <w:rPr>
                <w:sz w:val="20"/>
                <w:szCs w:val="20"/>
                <w:color w:val="auto"/>
              </w:rPr>
            </w:pPr>
            <w:r>
              <w:rPr>
                <w:rFonts w:ascii="Arial" w:cs="Arial" w:eastAsia="Arial" w:hAnsi="Arial"/>
                <w:sz w:val="14"/>
                <w:szCs w:val="14"/>
                <w:color w:val="auto"/>
              </w:rPr>
              <w:t>(16)</w:t>
            </w:r>
          </w:p>
        </w:tc>
        <w:tc>
          <w:tcPr>
            <w:tcW w:w="0" w:type="dxa"/>
            <w:vAlign w:val="bottom"/>
          </w:tcPr>
          <w:p>
            <w:pPr>
              <w:spacing w:after="0"/>
              <w:rPr>
                <w:sz w:val="1"/>
                <w:szCs w:val="1"/>
                <w:color w:val="auto"/>
              </w:rPr>
            </w:pPr>
          </w:p>
        </w:tc>
      </w:tr>
      <w:tr>
        <w:trPr>
          <w:trHeight w:val="196"/>
        </w:trPr>
        <w:tc>
          <w:tcPr>
            <w:tcW w:w="3120" w:type="dxa"/>
            <w:vAlign w:val="bottom"/>
            <w:tcBorders>
              <w:bottom w:val="single" w:sz="8" w:color="ACACAC"/>
            </w:tcBorders>
          </w:tcPr>
          <w:p>
            <w:pPr>
              <w:ind w:left="300"/>
              <w:spacing w:after="0"/>
              <w:rPr>
                <w:sz w:val="20"/>
                <w:szCs w:val="20"/>
                <w:color w:val="auto"/>
              </w:rPr>
            </w:pPr>
            <w:r>
              <w:rPr>
                <w:rFonts w:ascii="Arial" w:cs="Arial" w:eastAsia="Arial" w:hAnsi="Arial"/>
                <w:sz w:val="14"/>
                <w:szCs w:val="14"/>
                <w:color w:val="auto"/>
              </w:rPr>
              <w:t>to rate recovery</w:t>
            </w:r>
          </w:p>
        </w:tc>
        <w:tc>
          <w:tcPr>
            <w:tcW w:w="5160" w:type="dxa"/>
            <w:vAlign w:val="bottom"/>
            <w:tcBorders>
              <w:bottom w:val="single" w:sz="8" w:color="ACACAC"/>
            </w:tcBorders>
            <w:vMerge w:val="continue"/>
          </w:tcPr>
          <w:p>
            <w:pPr>
              <w:spacing w:after="0"/>
              <w:rPr>
                <w:sz w:val="17"/>
                <w:szCs w:val="17"/>
                <w:color w:val="auto"/>
              </w:rPr>
            </w:pPr>
          </w:p>
        </w:tc>
        <w:tc>
          <w:tcPr>
            <w:tcW w:w="280" w:type="dxa"/>
            <w:vAlign w:val="bottom"/>
            <w:tcBorders>
              <w:bottom w:val="single" w:sz="8" w:color="ACACAC"/>
            </w:tcBorders>
            <w:vMerge w:val="continue"/>
          </w:tcPr>
          <w:p>
            <w:pPr>
              <w:spacing w:after="0"/>
              <w:rPr>
                <w:sz w:val="17"/>
                <w:szCs w:val="17"/>
                <w:color w:val="auto"/>
              </w:rPr>
            </w:pPr>
          </w:p>
        </w:tc>
        <w:tc>
          <w:tcPr>
            <w:tcW w:w="1200" w:type="dxa"/>
            <w:vAlign w:val="bottom"/>
            <w:tcBorders>
              <w:bottom w:val="single" w:sz="8" w:color="ACACAC"/>
            </w:tcBorders>
            <w:vMerge w:val="continue"/>
          </w:tcPr>
          <w:p>
            <w:pPr>
              <w:spacing w:after="0"/>
              <w:rPr>
                <w:sz w:val="17"/>
                <w:szCs w:val="17"/>
                <w:color w:val="auto"/>
              </w:rPr>
            </w:pPr>
          </w:p>
        </w:tc>
        <w:tc>
          <w:tcPr>
            <w:tcW w:w="380" w:type="dxa"/>
            <w:vAlign w:val="bottom"/>
            <w:tcBorders>
              <w:bottom w:val="single" w:sz="8" w:color="ACACAC"/>
            </w:tcBorders>
            <w:vMerge w:val="continue"/>
          </w:tcPr>
          <w:p>
            <w:pPr>
              <w:spacing w:after="0"/>
              <w:rPr>
                <w:sz w:val="17"/>
                <w:szCs w:val="17"/>
                <w:color w:val="auto"/>
              </w:rPr>
            </w:pPr>
          </w:p>
        </w:tc>
        <w:tc>
          <w:tcPr>
            <w:tcW w:w="1100" w:type="dxa"/>
            <w:vAlign w:val="bottom"/>
            <w:tcBorders>
              <w:bottom w:val="single" w:sz="8" w:color="ACACAC"/>
            </w:tcBorders>
            <w:vMerge w:val="continue"/>
          </w:tcPr>
          <w:p>
            <w:pPr>
              <w:spacing w:after="0"/>
              <w:rPr>
                <w:sz w:val="17"/>
                <w:szCs w:val="1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CREDIT RISK RELATED CONTINGENT FEATURES</w:t>
      </w:r>
    </w:p>
    <w:p>
      <w:pPr>
        <w:spacing w:after="0" w:line="118"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color w:val="auto"/>
        </w:rPr>
        <w:t>For Sempra, SDG&amp;E and SoCalGas, certain of our derivative instruments contain credit limits which vary depending on our credit ratings. Generally, these provisions, if applicable, may reduce our credit limit if a specified credit rating agency reduces our ratings. In certain cases, if our credit ratings were to fall below investment grade, the counterparty to these derivative liability instruments could request immediate payment or demand immediate and ongoing full collateralization.</w:t>
      </w:r>
    </w:p>
    <w:p>
      <w:pPr>
        <w:spacing w:after="0" w:line="78" w:lineRule="exact"/>
        <w:rPr>
          <w:sz w:val="20"/>
          <w:szCs w:val="20"/>
          <w:color w:val="auto"/>
        </w:rPr>
      </w:pPr>
    </w:p>
    <w:p>
      <w:pPr>
        <w:spacing w:after="0" w:line="285" w:lineRule="auto"/>
        <w:rPr>
          <w:sz w:val="20"/>
          <w:szCs w:val="20"/>
          <w:color w:val="auto"/>
        </w:rPr>
      </w:pPr>
      <w:r>
        <w:rPr>
          <w:rFonts w:ascii="Times New Roman" w:cs="Times New Roman" w:eastAsia="Times New Roman" w:hAnsi="Times New Roman"/>
          <w:sz w:val="17"/>
          <w:szCs w:val="17"/>
          <w:color w:val="auto"/>
        </w:rPr>
        <w:t>For Sempra, the total fair value of this group of derivative instruments in a liability position at March 31, 2026 and December 31, 2025 is $120 million and $190 million, respectively. For SDG&amp;E, the total fair value of this group of derivative instruments in a liability position is negligible at both March 31, 2026 and December 31, 2025. For SoCalGas, the total fair value of this group of derivative instruments in a liability position at March 31, 2026 and December 31, 2025 is $15 million and $47 million, respectively. At March 31, 2026, if the credit ratings of Sempra or SoCalGas were reduced below investment grade, $120 million, and $15 million, respectively, of additional assets could be required to be posted as collateral for these derivative contracts.</w:t>
      </w:r>
    </w:p>
    <w:p>
      <w:pPr>
        <w:spacing w:after="0" w:line="68" w:lineRule="exact"/>
        <w:rPr>
          <w:sz w:val="20"/>
          <w:szCs w:val="20"/>
          <w:color w:val="auto"/>
        </w:rPr>
      </w:pPr>
    </w:p>
    <w:p>
      <w:pPr>
        <w:ind w:right="60"/>
        <w:spacing w:after="0" w:line="274" w:lineRule="auto"/>
        <w:rPr>
          <w:sz w:val="20"/>
          <w:szCs w:val="20"/>
          <w:color w:val="auto"/>
        </w:rPr>
      </w:pPr>
      <w:r>
        <w:rPr>
          <w:rFonts w:ascii="Times New Roman" w:cs="Times New Roman" w:eastAsia="Times New Roman" w:hAnsi="Times New Roman"/>
          <w:sz w:val="18"/>
          <w:szCs w:val="18"/>
          <w:color w:val="auto"/>
        </w:rPr>
        <w:t>For Sempra, SDG&amp;E and SoCalGas, some of our derivative contracts contain a provision that would permit the counterparty, in certain circumstances, to request adequate assurance of our performance under the contracts. Such additional assurance, if needed, is not material and is not included in the amounts above.</w:t>
      </w:r>
    </w:p>
    <w:p>
      <w:pPr>
        <w:spacing w:after="0" w:line="200" w:lineRule="exact"/>
        <w:rPr>
          <w:sz w:val="20"/>
          <w:szCs w:val="20"/>
          <w:color w:val="auto"/>
        </w:rPr>
      </w:pPr>
    </w:p>
    <w:p>
      <w:pPr>
        <w:spacing w:after="0" w:line="34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150495</wp:posOffset>
            </wp:positionV>
            <wp:extent cx="7157720"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711835</wp:posOffset>
            </wp:positionV>
            <wp:extent cx="7115175"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20"/>
          <w:szCs w:val="20"/>
          <w:color w:val="auto"/>
        </w:rPr>
        <w:t>NOTE 9. FAIR VALUE MEASUREMENTS</w:t>
      </w:r>
    </w:p>
    <w:p>
      <w:pPr>
        <w:spacing w:after="0" w:line="9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We discuss the valuation techniques and inputs we use to measure fair value and the definition of the three levels of the fair value hierarchy in Note 1 of the Notes to Consolidated Financial Statements in the Annual Report.</w:t>
      </w: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RECURRING FAIR VALUE MEASURES</w:t>
      </w:r>
    </w:p>
    <w:p>
      <w:pPr>
        <w:spacing w:after="0" w:line="118" w:lineRule="exact"/>
        <w:rPr>
          <w:sz w:val="20"/>
          <w:szCs w:val="20"/>
          <w:color w:val="auto"/>
        </w:rPr>
      </w:pPr>
    </w:p>
    <w:p>
      <w:pPr>
        <w:spacing w:after="0" w:line="270" w:lineRule="auto"/>
        <w:rPr>
          <w:sz w:val="20"/>
          <w:szCs w:val="20"/>
          <w:color w:val="auto"/>
        </w:rPr>
      </w:pPr>
      <w:r>
        <w:rPr>
          <w:rFonts w:ascii="Times New Roman" w:cs="Times New Roman" w:eastAsia="Times New Roman" w:hAnsi="Times New Roman"/>
          <w:sz w:val="18"/>
          <w:szCs w:val="18"/>
          <w:color w:val="auto"/>
        </w:rPr>
        <w:t>The tables below set forth our financial assets and liabilities, by level within the fair value hierarchy, that are accounted for at fair value on a recurring basis at March 31, 2026 and December 31, 2025. We classify financial assets and liabilities in their entirety based on the lowest level of input that is significant to the fair value measurement. Our assessment of the significance of a particular input to the fair value measurement requires judgment and may affect the valuation of fair-valued assets and liabilities and their placement within the fair value hierarchy. We have not changed the valuation techniques or types of inputs we use to measure recurring fair value since December 31, 2025.</w:t>
      </w:r>
    </w:p>
    <w:p>
      <w:pPr>
        <w:spacing w:after="0" w:line="64" w:lineRule="exact"/>
        <w:rPr>
          <w:sz w:val="20"/>
          <w:szCs w:val="20"/>
          <w:color w:val="auto"/>
        </w:rPr>
      </w:pPr>
    </w:p>
    <w:p>
      <w:pPr>
        <w:ind w:right="920"/>
        <w:spacing w:after="0" w:line="297" w:lineRule="auto"/>
        <w:rPr>
          <w:sz w:val="20"/>
          <w:szCs w:val="20"/>
          <w:color w:val="auto"/>
        </w:rPr>
      </w:pPr>
      <w:r>
        <w:rPr>
          <w:rFonts w:ascii="Times New Roman" w:cs="Times New Roman" w:eastAsia="Times New Roman" w:hAnsi="Times New Roman"/>
          <w:sz w:val="18"/>
          <w:szCs w:val="18"/>
          <w:color w:val="auto"/>
        </w:rPr>
        <w:t>The determination of fair values, shown in the tables below, incorporates various factors, including but not limited to, the credit standing of the counterparties involved and the impact of credit enhancements (such as cash deposits, letters of credit and priority interests).</w:t>
      </w: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financial assets and liabilities that are accounted for at fair value on a recurring basis in the tables below include the following:</w:t>
      </w:r>
    </w:p>
    <w:p>
      <w:pPr>
        <w:spacing w:after="0" w:line="63" w:lineRule="exact"/>
        <w:rPr>
          <w:sz w:val="20"/>
          <w:szCs w:val="20"/>
          <w:color w:val="auto"/>
        </w:rPr>
      </w:pPr>
    </w:p>
    <w:p>
      <w:pPr>
        <w:ind w:left="180" w:right="80" w:hanging="172"/>
        <w:spacing w:after="0" w:line="250" w:lineRule="auto"/>
        <w:tabs>
          <w:tab w:leader="none" w:pos="176"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Nuclear decommissioning trusts reflect the assets of SDG&amp;E’s NDT, excluding accounts receivable and accounts payable. A third-party trustee values the trust assets using prices from a pricing service based on a market approach. We validate these prices by comparison to prices from other independent data sources. Securities are valued using quoted prices listed on nationally recognized securities exchanges or based on closing prices reported in the active market in which the identical security is traded (Level 1). Other securities are valued based on yields that are currently available for comparable securities of issuers with similar credit ratings (Level 2).</w:t>
      </w:r>
    </w:p>
    <w:p>
      <w:pPr>
        <w:spacing w:after="0" w:line="15" w:lineRule="exact"/>
        <w:rPr>
          <w:rFonts w:ascii="Times New Roman" w:cs="Times New Roman" w:eastAsia="Times New Roman" w:hAnsi="Times New Roman"/>
          <w:sz w:val="18"/>
          <w:szCs w:val="18"/>
          <w:color w:val="auto"/>
        </w:rPr>
      </w:pPr>
    </w:p>
    <w:p>
      <w:pPr>
        <w:ind w:left="180" w:right="80" w:hanging="172"/>
        <w:spacing w:after="0" w:line="243" w:lineRule="auto"/>
        <w:tabs>
          <w:tab w:leader="none" w:pos="176"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commodity contracts, interest rate instruments and foreign exchange instruments, we primarily use a market or income approach with market participant assumptions to value these derivatives. Market participant assumptions include those about risk, and the risk inherent in the inputs to the valuation techniques. These inputs can be readily observable, market corroborated, or generally unobservable. We have exchange-traded derivatives that are valued based on quoted prices in active markets for the identical instruments (Level 1). We also may have other commodity derivatives that are valued using industry standard models that consider quoted forward prices for commodities, time value, current market and contractual prices for the underlying instruments, volatility factors, and other relevant economic measures (Level 2). Level 3 recurring items relate to CRRs at SDG&amp;E, as we discuss below in “Level 3 Information – SDG&amp;E” and natural gas derivatives at Sempra Infrastructure, as we discuss below in “Level 3 Information – Other Sempra.” We further discuss derivative assets and liabilities in Note 8.</w:t>
      </w:r>
    </w:p>
    <w:p>
      <w:pPr>
        <w:spacing w:after="0" w:line="24" w:lineRule="exact"/>
        <w:rPr>
          <w:rFonts w:ascii="Times New Roman" w:cs="Times New Roman" w:eastAsia="Times New Roman" w:hAnsi="Times New Roman"/>
          <w:sz w:val="18"/>
          <w:szCs w:val="18"/>
          <w:color w:val="auto"/>
        </w:rPr>
      </w:pPr>
    </w:p>
    <w:p>
      <w:pPr>
        <w:ind w:left="180" w:right="100" w:hanging="172"/>
        <w:spacing w:after="0" w:line="273" w:lineRule="auto"/>
        <w:tabs>
          <w:tab w:leader="none" w:pos="176"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Rabbi Trust investments include short-term investments that consist of money market and mutual funds that we value using a market approach based on closing prices reported in the active market in which the identical security is traded (Level 1).</w:t>
      </w:r>
    </w:p>
    <w:p>
      <w:pPr>
        <w:spacing w:after="0" w:line="1" w:lineRule="exact"/>
        <w:rPr>
          <w:rFonts w:ascii="Times New Roman" w:cs="Times New Roman" w:eastAsia="Times New Roman" w:hAnsi="Times New Roman"/>
          <w:sz w:val="18"/>
          <w:szCs w:val="18"/>
          <w:color w:val="auto"/>
        </w:rPr>
      </w:pPr>
    </w:p>
    <w:p>
      <w:pPr>
        <w:ind w:left="180" w:right="40" w:hanging="172"/>
        <w:spacing w:after="0" w:line="250" w:lineRule="auto"/>
        <w:tabs>
          <w:tab w:leader="none" w:pos="176"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we discuss in Note 13, in July 2020, Sempra entered into the Support Agreement for the benefit of CFIN. We measure the Support Agreement, which includes a guarantee obligation, a put option and a call option, net of related guarantee fees, at fair value on a recurring basis. We use a discounted cash flow model to value the Support Agreement, net of related guarantee fees. Because some of the inputs that are significant to the valuation are less observable, the Support Agreement is classified as Level 3, as we describe below in “Level 3 Information – Other Sempra.”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480060</wp:posOffset>
            </wp:positionV>
            <wp:extent cx="7106285" cy="3003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06285" cy="3003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FFFFFF"/>
        </w:rPr>
        <w:t>RECURRING FAIR VALUE MEASURES</w:t>
      </w:r>
    </w:p>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5400" w:type="dxa"/>
            <w:vAlign w:val="bottom"/>
          </w:tcPr>
          <w:p>
            <w:pPr>
              <w:ind w:left="20"/>
              <w:spacing w:after="0"/>
              <w:rPr>
                <w:sz w:val="20"/>
                <w:szCs w:val="20"/>
                <w:color w:val="auto"/>
              </w:rPr>
            </w:pPr>
            <w:r>
              <w:rPr>
                <w:rFonts w:ascii="Arial" w:cs="Arial" w:eastAsia="Arial" w:hAnsi="Arial"/>
                <w:sz w:val="14"/>
                <w:szCs w:val="14"/>
                <w:i w:val="1"/>
                <w:iCs w:val="1"/>
                <w:color w:val="FFFFFF"/>
              </w:rPr>
              <w:t>(Dollars in millions)</w:t>
            </w: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54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39"/>
              <w:spacing w:after="0"/>
              <w:rPr>
                <w:sz w:val="20"/>
                <w:szCs w:val="20"/>
                <w:color w:val="auto"/>
              </w:rPr>
            </w:pPr>
            <w:r>
              <w:rPr>
                <w:rFonts w:ascii="Arial" w:cs="Arial" w:eastAsia="Arial" w:hAnsi="Arial"/>
                <w:sz w:val="14"/>
                <w:szCs w:val="14"/>
                <w:color w:val="auto"/>
              </w:rPr>
              <w:t>Level 1</w:t>
            </w:r>
          </w:p>
        </w:tc>
        <w:tc>
          <w:tcPr>
            <w:tcW w:w="3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40"/>
              <w:spacing w:after="0"/>
              <w:rPr>
                <w:sz w:val="20"/>
                <w:szCs w:val="20"/>
                <w:color w:val="auto"/>
              </w:rPr>
            </w:pPr>
            <w:r>
              <w:rPr>
                <w:rFonts w:ascii="Arial" w:cs="Arial" w:eastAsia="Arial" w:hAnsi="Arial"/>
                <w:sz w:val="14"/>
                <w:szCs w:val="14"/>
                <w:color w:val="auto"/>
              </w:rPr>
              <w:t>Level 2</w:t>
            </w:r>
          </w:p>
        </w:tc>
        <w:tc>
          <w:tcPr>
            <w:tcW w:w="2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39"/>
              <w:spacing w:after="0"/>
              <w:rPr>
                <w:sz w:val="20"/>
                <w:szCs w:val="20"/>
                <w:color w:val="auto"/>
              </w:rPr>
            </w:pPr>
            <w:r>
              <w:rPr>
                <w:rFonts w:ascii="Arial" w:cs="Arial" w:eastAsia="Arial" w:hAnsi="Arial"/>
                <w:sz w:val="14"/>
                <w:szCs w:val="14"/>
                <w:color w:val="auto"/>
              </w:rPr>
              <w:t>Level 3</w:t>
            </w:r>
          </w:p>
        </w:tc>
        <w:tc>
          <w:tcPr>
            <w:tcW w:w="1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180"/>
              <w:spacing w:after="0"/>
              <w:rPr>
                <w:sz w:val="20"/>
                <w:szCs w:val="20"/>
                <w:color w:val="auto"/>
              </w:rPr>
            </w:pPr>
            <w:r>
              <w:rPr>
                <w:rFonts w:ascii="Arial" w:cs="Arial" w:eastAsia="Arial" w:hAnsi="Arial"/>
                <w:sz w:val="14"/>
                <w:szCs w:val="14"/>
                <w:color w:val="auto"/>
              </w:rPr>
              <w:t>Netting</w:t>
            </w:r>
            <w:r>
              <w:rPr>
                <w:rFonts w:ascii="Arial" w:cs="Arial" w:eastAsia="Arial" w:hAnsi="Arial"/>
                <w:sz w:val="18"/>
                <w:szCs w:val="18"/>
                <w:color w:val="auto"/>
                <w:vertAlign w:val="superscript"/>
              </w:rPr>
              <w:t>(1)</w:t>
            </w:r>
          </w:p>
        </w:tc>
        <w:tc>
          <w:tcPr>
            <w:tcW w:w="3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99"/>
              <w:spacing w:after="0"/>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206"/>
        </w:trPr>
        <w:tc>
          <w:tcPr>
            <w:tcW w:w="540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3220" w:type="dxa"/>
            <w:vAlign w:val="bottom"/>
            <w:tcBorders>
              <w:bottom w:val="single" w:sz="8" w:color="auto"/>
            </w:tcBorders>
            <w:gridSpan w:val="5"/>
          </w:tcPr>
          <w:p>
            <w:pPr>
              <w:jc w:val="right"/>
              <w:ind w:right="720"/>
              <w:spacing w:after="0"/>
              <w:rPr>
                <w:sz w:val="20"/>
                <w:szCs w:val="20"/>
                <w:color w:val="auto"/>
              </w:rPr>
            </w:pPr>
            <w:r>
              <w:rPr>
                <w:rFonts w:ascii="Arial" w:cs="Arial" w:eastAsia="Arial" w:hAnsi="Arial"/>
                <w:sz w:val="14"/>
                <w:szCs w:val="14"/>
                <w:color w:val="auto"/>
              </w:rPr>
              <w:t>Fair value at March 31, 2026</w:t>
            </w:r>
          </w:p>
        </w:tc>
        <w:tc>
          <w:tcPr>
            <w:tcW w:w="3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5400" w:type="dxa"/>
            <w:vAlign w:val="bottom"/>
            <w:shd w:val="clear" w:color="auto" w:fill="D4F1F5"/>
          </w:tcPr>
          <w:p>
            <w:pPr>
              <w:ind w:left="20"/>
              <w:spacing w:after="0"/>
              <w:rPr>
                <w:sz w:val="20"/>
                <w:szCs w:val="20"/>
                <w:color w:val="auto"/>
              </w:rPr>
            </w:pPr>
            <w:r>
              <w:rPr>
                <w:rFonts w:ascii="Arial" w:cs="Arial" w:eastAsia="Arial" w:hAnsi="Arial"/>
                <w:sz w:val="16"/>
                <w:szCs w:val="16"/>
                <w:b w:val="1"/>
                <w:bCs w:val="1"/>
                <w:color w:val="auto"/>
              </w:rPr>
              <w:t>Sempra:</w:t>
            </w:r>
          </w:p>
        </w:tc>
        <w:tc>
          <w:tcPr>
            <w:tcW w:w="220" w:type="dxa"/>
            <w:vAlign w:val="bottom"/>
            <w:shd w:val="clear" w:color="auto" w:fill="D4F1F5"/>
          </w:tcPr>
          <w:p>
            <w:pPr>
              <w:spacing w:after="0"/>
              <w:rPr>
                <w:sz w:val="18"/>
                <w:szCs w:val="18"/>
                <w:color w:val="auto"/>
              </w:rPr>
            </w:pPr>
          </w:p>
        </w:tc>
        <w:tc>
          <w:tcPr>
            <w:tcW w:w="880" w:type="dxa"/>
            <w:vAlign w:val="bottom"/>
            <w:shd w:val="clear" w:color="auto" w:fill="D4F1F5"/>
          </w:tcPr>
          <w:p>
            <w:pPr>
              <w:spacing w:after="0"/>
              <w:rPr>
                <w:sz w:val="18"/>
                <w:szCs w:val="18"/>
                <w:color w:val="auto"/>
              </w:rPr>
            </w:pPr>
          </w:p>
        </w:tc>
        <w:tc>
          <w:tcPr>
            <w:tcW w:w="300" w:type="dxa"/>
            <w:vAlign w:val="bottom"/>
            <w:shd w:val="clear" w:color="auto" w:fill="D4F1F5"/>
          </w:tcPr>
          <w:p>
            <w:pPr>
              <w:spacing w:after="0"/>
              <w:rPr>
                <w:sz w:val="18"/>
                <w:szCs w:val="18"/>
                <w:color w:val="auto"/>
              </w:rPr>
            </w:pPr>
          </w:p>
        </w:tc>
        <w:tc>
          <w:tcPr>
            <w:tcW w:w="880" w:type="dxa"/>
            <w:vAlign w:val="bottom"/>
            <w:shd w:val="clear" w:color="auto" w:fill="D4F1F5"/>
          </w:tcPr>
          <w:p>
            <w:pPr>
              <w:spacing w:after="0"/>
              <w:rPr>
                <w:sz w:val="18"/>
                <w:szCs w:val="18"/>
                <w:color w:val="auto"/>
              </w:rPr>
            </w:pPr>
          </w:p>
        </w:tc>
        <w:tc>
          <w:tcPr>
            <w:tcW w:w="280" w:type="dxa"/>
            <w:vAlign w:val="bottom"/>
            <w:shd w:val="clear" w:color="auto" w:fill="D4F1F5"/>
          </w:tcPr>
          <w:p>
            <w:pPr>
              <w:spacing w:after="0"/>
              <w:rPr>
                <w:sz w:val="18"/>
                <w:szCs w:val="18"/>
                <w:color w:val="auto"/>
              </w:rPr>
            </w:pPr>
          </w:p>
        </w:tc>
        <w:tc>
          <w:tcPr>
            <w:tcW w:w="980" w:type="dxa"/>
            <w:vAlign w:val="bottom"/>
            <w:shd w:val="clear" w:color="auto" w:fill="D4F1F5"/>
          </w:tcPr>
          <w:p>
            <w:pPr>
              <w:spacing w:after="0"/>
              <w:rPr>
                <w:sz w:val="18"/>
                <w:szCs w:val="18"/>
                <w:color w:val="auto"/>
              </w:rPr>
            </w:pPr>
          </w:p>
        </w:tc>
        <w:tc>
          <w:tcPr>
            <w:tcW w:w="180" w:type="dxa"/>
            <w:vAlign w:val="bottom"/>
            <w:shd w:val="clear" w:color="auto" w:fill="D4F1F5"/>
          </w:tcPr>
          <w:p>
            <w:pPr>
              <w:spacing w:after="0"/>
              <w:rPr>
                <w:sz w:val="18"/>
                <w:szCs w:val="18"/>
                <w:color w:val="auto"/>
              </w:rPr>
            </w:pPr>
          </w:p>
        </w:tc>
        <w:tc>
          <w:tcPr>
            <w:tcW w:w="900" w:type="dxa"/>
            <w:vAlign w:val="bottom"/>
            <w:shd w:val="clear" w:color="auto" w:fill="D4F1F5"/>
          </w:tcPr>
          <w:p>
            <w:pPr>
              <w:spacing w:after="0"/>
              <w:rPr>
                <w:sz w:val="18"/>
                <w:szCs w:val="18"/>
                <w:color w:val="auto"/>
              </w:rPr>
            </w:pPr>
          </w:p>
        </w:tc>
        <w:tc>
          <w:tcPr>
            <w:tcW w:w="340" w:type="dxa"/>
            <w:vAlign w:val="bottom"/>
            <w:shd w:val="clear" w:color="auto" w:fill="D4F1F5"/>
          </w:tcPr>
          <w:p>
            <w:pPr>
              <w:spacing w:after="0"/>
              <w:rPr>
                <w:sz w:val="18"/>
                <w:szCs w:val="18"/>
                <w:color w:val="auto"/>
              </w:rPr>
            </w:pPr>
          </w:p>
        </w:tc>
        <w:tc>
          <w:tcPr>
            <w:tcW w:w="840" w:type="dxa"/>
            <w:vAlign w:val="bottom"/>
            <w:shd w:val="clear" w:color="auto" w:fill="D4F1F5"/>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400" w:type="dxa"/>
            <w:vAlign w:val="bottom"/>
          </w:tcPr>
          <w:p>
            <w:pPr>
              <w:ind w:left="20"/>
              <w:spacing w:after="0"/>
              <w:rPr>
                <w:sz w:val="20"/>
                <w:szCs w:val="20"/>
                <w:color w:val="auto"/>
              </w:rPr>
            </w:pPr>
            <w:r>
              <w:rPr>
                <w:rFonts w:ascii="Arial" w:cs="Arial" w:eastAsia="Arial" w:hAnsi="Arial"/>
                <w:sz w:val="16"/>
                <w:szCs w:val="16"/>
                <w:color w:val="auto"/>
              </w:rPr>
              <w:t>Assets:</w:t>
            </w: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5400" w:type="dxa"/>
            <w:vAlign w:val="bottom"/>
            <w:shd w:val="clear" w:color="auto" w:fill="D4F1F5"/>
          </w:tcPr>
          <w:p>
            <w:pPr>
              <w:ind w:left="240"/>
              <w:spacing w:after="0"/>
              <w:rPr>
                <w:sz w:val="20"/>
                <w:szCs w:val="20"/>
                <w:color w:val="auto"/>
              </w:rPr>
            </w:pPr>
            <w:r>
              <w:rPr>
                <w:rFonts w:ascii="Arial" w:cs="Arial" w:eastAsia="Arial" w:hAnsi="Arial"/>
                <w:sz w:val="16"/>
                <w:szCs w:val="16"/>
                <w:color w:val="auto"/>
              </w:rPr>
              <w:t>Nuclear decommissioning trusts:</w:t>
            </w:r>
          </w:p>
        </w:tc>
        <w:tc>
          <w:tcPr>
            <w:tcW w:w="220" w:type="dxa"/>
            <w:vAlign w:val="bottom"/>
            <w:shd w:val="clear" w:color="auto" w:fill="D4F1F5"/>
          </w:tcPr>
          <w:p>
            <w:pPr>
              <w:spacing w:after="0"/>
              <w:rPr>
                <w:sz w:val="18"/>
                <w:szCs w:val="18"/>
                <w:color w:val="auto"/>
              </w:rPr>
            </w:pPr>
          </w:p>
        </w:tc>
        <w:tc>
          <w:tcPr>
            <w:tcW w:w="880" w:type="dxa"/>
            <w:vAlign w:val="bottom"/>
            <w:shd w:val="clear" w:color="auto" w:fill="D4F1F5"/>
          </w:tcPr>
          <w:p>
            <w:pPr>
              <w:spacing w:after="0"/>
              <w:rPr>
                <w:sz w:val="18"/>
                <w:szCs w:val="18"/>
                <w:color w:val="auto"/>
              </w:rPr>
            </w:pPr>
          </w:p>
        </w:tc>
        <w:tc>
          <w:tcPr>
            <w:tcW w:w="300" w:type="dxa"/>
            <w:vAlign w:val="bottom"/>
            <w:shd w:val="clear" w:color="auto" w:fill="D4F1F5"/>
          </w:tcPr>
          <w:p>
            <w:pPr>
              <w:spacing w:after="0"/>
              <w:rPr>
                <w:sz w:val="18"/>
                <w:szCs w:val="18"/>
                <w:color w:val="auto"/>
              </w:rPr>
            </w:pPr>
          </w:p>
        </w:tc>
        <w:tc>
          <w:tcPr>
            <w:tcW w:w="880" w:type="dxa"/>
            <w:vAlign w:val="bottom"/>
            <w:shd w:val="clear" w:color="auto" w:fill="D4F1F5"/>
          </w:tcPr>
          <w:p>
            <w:pPr>
              <w:spacing w:after="0"/>
              <w:rPr>
                <w:sz w:val="18"/>
                <w:szCs w:val="18"/>
                <w:color w:val="auto"/>
              </w:rPr>
            </w:pPr>
          </w:p>
        </w:tc>
        <w:tc>
          <w:tcPr>
            <w:tcW w:w="280" w:type="dxa"/>
            <w:vAlign w:val="bottom"/>
            <w:shd w:val="clear" w:color="auto" w:fill="D4F1F5"/>
          </w:tcPr>
          <w:p>
            <w:pPr>
              <w:spacing w:after="0"/>
              <w:rPr>
                <w:sz w:val="18"/>
                <w:szCs w:val="18"/>
                <w:color w:val="auto"/>
              </w:rPr>
            </w:pPr>
          </w:p>
        </w:tc>
        <w:tc>
          <w:tcPr>
            <w:tcW w:w="980" w:type="dxa"/>
            <w:vAlign w:val="bottom"/>
            <w:shd w:val="clear" w:color="auto" w:fill="D4F1F5"/>
          </w:tcPr>
          <w:p>
            <w:pPr>
              <w:spacing w:after="0"/>
              <w:rPr>
                <w:sz w:val="18"/>
                <w:szCs w:val="18"/>
                <w:color w:val="auto"/>
              </w:rPr>
            </w:pPr>
          </w:p>
        </w:tc>
        <w:tc>
          <w:tcPr>
            <w:tcW w:w="180" w:type="dxa"/>
            <w:vAlign w:val="bottom"/>
            <w:shd w:val="clear" w:color="auto" w:fill="D4F1F5"/>
          </w:tcPr>
          <w:p>
            <w:pPr>
              <w:spacing w:after="0"/>
              <w:rPr>
                <w:sz w:val="18"/>
                <w:szCs w:val="18"/>
                <w:color w:val="auto"/>
              </w:rPr>
            </w:pPr>
          </w:p>
        </w:tc>
        <w:tc>
          <w:tcPr>
            <w:tcW w:w="900" w:type="dxa"/>
            <w:vAlign w:val="bottom"/>
            <w:shd w:val="clear" w:color="auto" w:fill="D4F1F5"/>
          </w:tcPr>
          <w:p>
            <w:pPr>
              <w:spacing w:after="0"/>
              <w:rPr>
                <w:sz w:val="18"/>
                <w:szCs w:val="18"/>
                <w:color w:val="auto"/>
              </w:rPr>
            </w:pPr>
          </w:p>
        </w:tc>
        <w:tc>
          <w:tcPr>
            <w:tcW w:w="340" w:type="dxa"/>
            <w:vAlign w:val="bottom"/>
            <w:shd w:val="clear" w:color="auto" w:fill="D4F1F5"/>
          </w:tcPr>
          <w:p>
            <w:pPr>
              <w:spacing w:after="0"/>
              <w:rPr>
                <w:sz w:val="18"/>
                <w:szCs w:val="18"/>
                <w:color w:val="auto"/>
              </w:rPr>
            </w:pPr>
          </w:p>
        </w:tc>
        <w:tc>
          <w:tcPr>
            <w:tcW w:w="840" w:type="dxa"/>
            <w:vAlign w:val="bottom"/>
            <w:shd w:val="clear" w:color="auto" w:fill="D4F1F5"/>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400" w:type="dxa"/>
            <w:vAlign w:val="bottom"/>
            <w:tcBorders>
              <w:bottom w:val="single" w:sz="8" w:color="D4F1F5"/>
            </w:tcBorders>
          </w:tcPr>
          <w:p>
            <w:pPr>
              <w:ind w:left="460"/>
              <w:spacing w:after="0"/>
              <w:rPr>
                <w:sz w:val="20"/>
                <w:szCs w:val="20"/>
                <w:color w:val="auto"/>
              </w:rPr>
            </w:pPr>
            <w:r>
              <w:rPr>
                <w:rFonts w:ascii="Arial" w:cs="Arial" w:eastAsia="Arial" w:hAnsi="Arial"/>
                <w:sz w:val="16"/>
                <w:szCs w:val="16"/>
                <w:color w:val="auto"/>
              </w:rPr>
              <w:t>Short-term investments, primarily cash equivalents</w:t>
            </w: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w:t>
            </w:r>
          </w:p>
        </w:tc>
        <w:tc>
          <w:tcPr>
            <w:tcW w:w="3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w:t>
            </w:r>
          </w:p>
        </w:tc>
        <w:tc>
          <w:tcPr>
            <w:tcW w:w="2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D4F1F5"/>
            </w:tcBorders>
          </w:tcPr>
          <w:p>
            <w:pPr>
              <w:spacing w:after="0"/>
              <w:rPr>
                <w:sz w:val="18"/>
                <w:szCs w:val="18"/>
                <w:color w:val="auto"/>
              </w:rPr>
            </w:pPr>
          </w:p>
        </w:tc>
        <w:tc>
          <w:tcPr>
            <w:tcW w:w="900" w:type="dxa"/>
            <w:vAlign w:val="bottom"/>
            <w:tcBorders>
              <w:bottom w:val="single" w:sz="8" w:color="D4F1F5"/>
            </w:tcBorders>
          </w:tcPr>
          <w:p>
            <w:pPr>
              <w:spacing w:after="0"/>
              <w:rPr>
                <w:sz w:val="18"/>
                <w:szCs w:val="18"/>
                <w:color w:val="auto"/>
              </w:rPr>
            </w:pPr>
          </w:p>
        </w:tc>
        <w:tc>
          <w:tcPr>
            <w:tcW w:w="3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w:t>
            </w:r>
          </w:p>
        </w:tc>
        <w:tc>
          <w:tcPr>
            <w:tcW w:w="0" w:type="dxa"/>
            <w:vAlign w:val="bottom"/>
          </w:tcPr>
          <w:p>
            <w:pPr>
              <w:spacing w:after="0"/>
              <w:rPr>
                <w:sz w:val="1"/>
                <w:szCs w:val="1"/>
                <w:color w:val="auto"/>
              </w:rPr>
            </w:pPr>
          </w:p>
        </w:tc>
      </w:tr>
      <w:tr>
        <w:trPr>
          <w:trHeight w:val="210"/>
        </w:trPr>
        <w:tc>
          <w:tcPr>
            <w:tcW w:w="5400" w:type="dxa"/>
            <w:vAlign w:val="bottom"/>
            <w:shd w:val="clear" w:color="auto" w:fill="D4F1F5"/>
          </w:tcPr>
          <w:p>
            <w:pPr>
              <w:ind w:left="460"/>
              <w:spacing w:after="0"/>
              <w:rPr>
                <w:sz w:val="20"/>
                <w:szCs w:val="20"/>
                <w:color w:val="auto"/>
              </w:rPr>
            </w:pPr>
            <w:r>
              <w:rPr>
                <w:rFonts w:ascii="Arial" w:cs="Arial" w:eastAsia="Arial" w:hAnsi="Arial"/>
                <w:sz w:val="16"/>
                <w:szCs w:val="16"/>
                <w:color w:val="auto"/>
              </w:rPr>
              <w:t>Equity securities</w:t>
            </w:r>
          </w:p>
        </w:tc>
        <w:tc>
          <w:tcPr>
            <w:tcW w:w="220" w:type="dxa"/>
            <w:vAlign w:val="bottom"/>
            <w:tcBorders>
              <w:bottom w:val="single" w:sz="8" w:color="auto"/>
            </w:tcBorders>
            <w:shd w:val="clear" w:color="auto" w:fill="D4F1F5"/>
          </w:tcPr>
          <w:p>
            <w:pPr>
              <w:spacing w:after="0"/>
              <w:rPr>
                <w:sz w:val="18"/>
                <w:szCs w:val="18"/>
                <w:color w:val="auto"/>
              </w:rPr>
            </w:pPr>
          </w:p>
        </w:tc>
        <w:tc>
          <w:tcPr>
            <w:tcW w:w="880" w:type="dxa"/>
            <w:vAlign w:val="bottom"/>
            <w:tcBorders>
              <w:bottom w:val="single" w:sz="8" w:color="auto"/>
            </w:tcBorders>
            <w:shd w:val="clear" w:color="auto" w:fill="D4F1F5"/>
          </w:tcPr>
          <w:p>
            <w:pPr>
              <w:jc w:val="right"/>
              <w:spacing w:after="0"/>
              <w:rPr>
                <w:sz w:val="20"/>
                <w:szCs w:val="20"/>
                <w:color w:val="auto"/>
              </w:rPr>
            </w:pPr>
            <w:r>
              <w:rPr>
                <w:rFonts w:ascii="Arial" w:cs="Arial" w:eastAsia="Arial" w:hAnsi="Arial"/>
                <w:sz w:val="16"/>
                <w:szCs w:val="16"/>
                <w:color w:val="auto"/>
              </w:rPr>
              <w:t>270</w:t>
            </w:r>
          </w:p>
        </w:tc>
        <w:tc>
          <w:tcPr>
            <w:tcW w:w="300" w:type="dxa"/>
            <w:vAlign w:val="bottom"/>
            <w:tcBorders>
              <w:bottom w:val="single" w:sz="8" w:color="auto"/>
            </w:tcBorders>
            <w:shd w:val="clear" w:color="auto" w:fill="D4F1F5"/>
          </w:tcPr>
          <w:p>
            <w:pPr>
              <w:spacing w:after="0"/>
              <w:rPr>
                <w:sz w:val="18"/>
                <w:szCs w:val="18"/>
                <w:color w:val="auto"/>
              </w:rPr>
            </w:pPr>
          </w:p>
        </w:tc>
        <w:tc>
          <w:tcPr>
            <w:tcW w:w="880" w:type="dxa"/>
            <w:vAlign w:val="bottom"/>
            <w:tcBorders>
              <w:bottom w:val="single" w:sz="8" w:color="auto"/>
            </w:tcBorders>
            <w:shd w:val="clear" w:color="auto" w:fill="D4F1F5"/>
          </w:tcPr>
          <w:p>
            <w:pPr>
              <w:jc w:val="right"/>
              <w:spacing w:after="0"/>
              <w:rPr>
                <w:sz w:val="20"/>
                <w:szCs w:val="20"/>
                <w:color w:val="auto"/>
              </w:rPr>
            </w:pPr>
            <w:r>
              <w:rPr>
                <w:rFonts w:ascii="Arial" w:cs="Arial" w:eastAsia="Arial" w:hAnsi="Arial"/>
                <w:sz w:val="16"/>
                <w:szCs w:val="16"/>
                <w:color w:val="auto"/>
              </w:rPr>
              <w:t>2</w:t>
            </w:r>
          </w:p>
        </w:tc>
        <w:tc>
          <w:tcPr>
            <w:tcW w:w="280" w:type="dxa"/>
            <w:vAlign w:val="bottom"/>
            <w:tcBorders>
              <w:bottom w:val="single" w:sz="8" w:color="auto"/>
            </w:tcBorders>
            <w:shd w:val="clear" w:color="auto" w:fill="D4F1F5"/>
          </w:tcPr>
          <w:p>
            <w:pPr>
              <w:spacing w:after="0"/>
              <w:rPr>
                <w:sz w:val="18"/>
                <w:szCs w:val="18"/>
                <w:color w:val="auto"/>
              </w:rPr>
            </w:pPr>
          </w:p>
        </w:tc>
        <w:tc>
          <w:tcPr>
            <w:tcW w:w="980" w:type="dxa"/>
            <w:vAlign w:val="bottom"/>
            <w:tcBorders>
              <w:bottom w:val="single" w:sz="8" w:color="auto"/>
            </w:tcBorders>
            <w:shd w:val="clear" w:color="auto" w:fill="D4F1F5"/>
          </w:tcPr>
          <w:p>
            <w:pPr>
              <w:jc w:val="right"/>
              <w:ind w:right="99"/>
              <w:spacing w:after="0"/>
              <w:rPr>
                <w:sz w:val="20"/>
                <w:szCs w:val="20"/>
                <w:color w:val="auto"/>
              </w:rPr>
            </w:pPr>
            <w:r>
              <w:rPr>
                <w:rFonts w:ascii="Arial" w:cs="Arial" w:eastAsia="Arial" w:hAnsi="Arial"/>
                <w:sz w:val="16"/>
                <w:szCs w:val="16"/>
                <w:color w:val="auto"/>
              </w:rPr>
              <w:t>—</w:t>
            </w:r>
          </w:p>
        </w:tc>
        <w:tc>
          <w:tcPr>
            <w:tcW w:w="180" w:type="dxa"/>
            <w:vAlign w:val="bottom"/>
            <w:shd w:val="clear" w:color="auto" w:fill="D4F1F5"/>
          </w:tcPr>
          <w:p>
            <w:pPr>
              <w:spacing w:after="0"/>
              <w:rPr>
                <w:sz w:val="18"/>
                <w:szCs w:val="18"/>
                <w:color w:val="auto"/>
              </w:rPr>
            </w:pPr>
          </w:p>
        </w:tc>
        <w:tc>
          <w:tcPr>
            <w:tcW w:w="900" w:type="dxa"/>
            <w:vAlign w:val="bottom"/>
            <w:shd w:val="clear" w:color="auto" w:fill="D4F1F5"/>
          </w:tcPr>
          <w:p>
            <w:pPr>
              <w:spacing w:after="0"/>
              <w:rPr>
                <w:sz w:val="18"/>
                <w:szCs w:val="18"/>
                <w:color w:val="auto"/>
              </w:rPr>
            </w:pPr>
          </w:p>
        </w:tc>
        <w:tc>
          <w:tcPr>
            <w:tcW w:w="340" w:type="dxa"/>
            <w:vAlign w:val="bottom"/>
            <w:tcBorders>
              <w:bottom w:val="single" w:sz="8" w:color="auto"/>
            </w:tcBorders>
            <w:shd w:val="clear" w:color="auto" w:fill="D4F1F5"/>
          </w:tcPr>
          <w:p>
            <w:pPr>
              <w:spacing w:after="0"/>
              <w:rPr>
                <w:sz w:val="18"/>
                <w:szCs w:val="18"/>
                <w:color w:val="auto"/>
              </w:rPr>
            </w:pPr>
          </w:p>
        </w:tc>
        <w:tc>
          <w:tcPr>
            <w:tcW w:w="840" w:type="dxa"/>
            <w:vAlign w:val="bottom"/>
            <w:tcBorders>
              <w:bottom w:val="single" w:sz="8" w:color="auto"/>
            </w:tcBorders>
            <w:shd w:val="clear" w:color="auto" w:fill="D4F1F5"/>
          </w:tcPr>
          <w:p>
            <w:pPr>
              <w:jc w:val="right"/>
              <w:spacing w:after="0"/>
              <w:rPr>
                <w:sz w:val="20"/>
                <w:szCs w:val="20"/>
                <w:color w:val="auto"/>
              </w:rPr>
            </w:pPr>
            <w:r>
              <w:rPr>
                <w:rFonts w:ascii="Arial" w:cs="Arial" w:eastAsia="Arial" w:hAnsi="Arial"/>
                <w:sz w:val="16"/>
                <w:szCs w:val="16"/>
                <w:color w:val="auto"/>
              </w:rPr>
              <w:t>272</w:t>
            </w:r>
          </w:p>
        </w:tc>
        <w:tc>
          <w:tcPr>
            <w:tcW w:w="0" w:type="dxa"/>
            <w:vAlign w:val="bottom"/>
          </w:tcPr>
          <w:p>
            <w:pPr>
              <w:spacing w:after="0"/>
              <w:rPr>
                <w:sz w:val="1"/>
                <w:szCs w:val="1"/>
                <w:color w:val="auto"/>
              </w:rPr>
            </w:pPr>
          </w:p>
        </w:tc>
      </w:tr>
      <w:tr>
        <w:trPr>
          <w:trHeight w:val="208"/>
        </w:trPr>
        <w:tc>
          <w:tcPr>
            <w:tcW w:w="5400" w:type="dxa"/>
            <w:vAlign w:val="bottom"/>
          </w:tcPr>
          <w:p>
            <w:pPr>
              <w:ind w:left="460"/>
              <w:spacing w:after="0"/>
              <w:rPr>
                <w:sz w:val="20"/>
                <w:szCs w:val="20"/>
                <w:color w:val="auto"/>
              </w:rPr>
            </w:pPr>
            <w:r>
              <w:rPr>
                <w:rFonts w:ascii="Arial" w:cs="Arial" w:eastAsia="Arial" w:hAnsi="Arial"/>
                <w:sz w:val="16"/>
                <w:szCs w:val="16"/>
                <w:color w:val="auto"/>
              </w:rPr>
              <w:t>Debt securities:</w:t>
            </w: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3"/>
        </w:trPr>
        <w:tc>
          <w:tcPr>
            <w:tcW w:w="5400" w:type="dxa"/>
            <w:vAlign w:val="bottom"/>
            <w:shd w:val="clear" w:color="auto" w:fill="D4F1F5"/>
          </w:tcPr>
          <w:p>
            <w:pPr>
              <w:ind w:left="680"/>
              <w:spacing w:after="0" w:line="163" w:lineRule="exact"/>
              <w:rPr>
                <w:sz w:val="20"/>
                <w:szCs w:val="20"/>
                <w:color w:val="auto"/>
              </w:rPr>
            </w:pPr>
            <w:r>
              <w:rPr>
                <w:rFonts w:ascii="Arial" w:cs="Arial" w:eastAsia="Arial" w:hAnsi="Arial"/>
                <w:sz w:val="16"/>
                <w:szCs w:val="16"/>
                <w:color w:val="auto"/>
              </w:rPr>
              <w:t>Debt securities issued by the U.S. Treasury and other</w:t>
            </w:r>
          </w:p>
        </w:tc>
        <w:tc>
          <w:tcPr>
            <w:tcW w:w="220" w:type="dxa"/>
            <w:vAlign w:val="bottom"/>
            <w:shd w:val="clear" w:color="auto" w:fill="D4F1F5"/>
          </w:tcPr>
          <w:p>
            <w:pPr>
              <w:spacing w:after="0"/>
              <w:rPr>
                <w:sz w:val="14"/>
                <w:szCs w:val="14"/>
                <w:color w:val="auto"/>
              </w:rPr>
            </w:pPr>
          </w:p>
        </w:tc>
        <w:tc>
          <w:tcPr>
            <w:tcW w:w="880" w:type="dxa"/>
            <w:vAlign w:val="bottom"/>
            <w:vMerge w:val="restart"/>
            <w:shd w:val="clear" w:color="auto" w:fill="D4F1F5"/>
          </w:tcPr>
          <w:p>
            <w:pPr>
              <w:jc w:val="right"/>
              <w:spacing w:after="0"/>
              <w:rPr>
                <w:sz w:val="20"/>
                <w:szCs w:val="20"/>
                <w:color w:val="auto"/>
              </w:rPr>
            </w:pPr>
            <w:r>
              <w:rPr>
                <w:rFonts w:ascii="Arial" w:cs="Arial" w:eastAsia="Arial" w:hAnsi="Arial"/>
                <w:sz w:val="16"/>
                <w:szCs w:val="16"/>
                <w:color w:val="auto"/>
              </w:rPr>
              <w:t>27</w:t>
            </w:r>
          </w:p>
        </w:tc>
        <w:tc>
          <w:tcPr>
            <w:tcW w:w="300" w:type="dxa"/>
            <w:vAlign w:val="bottom"/>
            <w:shd w:val="clear" w:color="auto" w:fill="D4F1F5"/>
          </w:tcPr>
          <w:p>
            <w:pPr>
              <w:spacing w:after="0"/>
              <w:rPr>
                <w:sz w:val="14"/>
                <w:szCs w:val="14"/>
                <w:color w:val="auto"/>
              </w:rPr>
            </w:pPr>
          </w:p>
        </w:tc>
        <w:tc>
          <w:tcPr>
            <w:tcW w:w="880" w:type="dxa"/>
            <w:vAlign w:val="bottom"/>
            <w:vMerge w:val="restart"/>
            <w:shd w:val="clear" w:color="auto" w:fill="D4F1F5"/>
          </w:tcPr>
          <w:p>
            <w:pPr>
              <w:jc w:val="right"/>
              <w:spacing w:after="0"/>
              <w:rPr>
                <w:sz w:val="20"/>
                <w:szCs w:val="20"/>
                <w:color w:val="auto"/>
              </w:rPr>
            </w:pPr>
            <w:r>
              <w:rPr>
                <w:rFonts w:ascii="Arial" w:cs="Arial" w:eastAsia="Arial" w:hAnsi="Arial"/>
                <w:sz w:val="16"/>
                <w:szCs w:val="16"/>
                <w:color w:val="auto"/>
              </w:rPr>
              <w:t>16</w:t>
            </w:r>
          </w:p>
        </w:tc>
        <w:tc>
          <w:tcPr>
            <w:tcW w:w="280" w:type="dxa"/>
            <w:vAlign w:val="bottom"/>
            <w:shd w:val="clear" w:color="auto" w:fill="D4F1F5"/>
          </w:tcPr>
          <w:p>
            <w:pPr>
              <w:spacing w:after="0"/>
              <w:rPr>
                <w:sz w:val="14"/>
                <w:szCs w:val="14"/>
                <w:color w:val="auto"/>
              </w:rPr>
            </w:pPr>
          </w:p>
        </w:tc>
        <w:tc>
          <w:tcPr>
            <w:tcW w:w="980" w:type="dxa"/>
            <w:vAlign w:val="bottom"/>
            <w:vMerge w:val="restart"/>
            <w:shd w:val="clear" w:color="auto" w:fill="D4F1F5"/>
          </w:tcPr>
          <w:p>
            <w:pPr>
              <w:jc w:val="right"/>
              <w:ind w:right="99"/>
              <w:spacing w:after="0"/>
              <w:rPr>
                <w:sz w:val="20"/>
                <w:szCs w:val="20"/>
                <w:color w:val="auto"/>
              </w:rPr>
            </w:pPr>
            <w:r>
              <w:rPr>
                <w:rFonts w:ascii="Arial" w:cs="Arial" w:eastAsia="Arial" w:hAnsi="Arial"/>
                <w:sz w:val="16"/>
                <w:szCs w:val="16"/>
                <w:color w:val="auto"/>
              </w:rPr>
              <w:t>—</w:t>
            </w:r>
          </w:p>
        </w:tc>
        <w:tc>
          <w:tcPr>
            <w:tcW w:w="180" w:type="dxa"/>
            <w:vAlign w:val="bottom"/>
            <w:shd w:val="clear" w:color="auto" w:fill="D4F1F5"/>
          </w:tcPr>
          <w:p>
            <w:pPr>
              <w:spacing w:after="0"/>
              <w:rPr>
                <w:sz w:val="14"/>
                <w:szCs w:val="14"/>
                <w:color w:val="auto"/>
              </w:rPr>
            </w:pPr>
          </w:p>
        </w:tc>
        <w:tc>
          <w:tcPr>
            <w:tcW w:w="900" w:type="dxa"/>
            <w:vAlign w:val="bottom"/>
            <w:shd w:val="clear" w:color="auto" w:fill="D4F1F5"/>
          </w:tcPr>
          <w:p>
            <w:pPr>
              <w:spacing w:after="0"/>
              <w:rPr>
                <w:sz w:val="14"/>
                <w:szCs w:val="14"/>
                <w:color w:val="auto"/>
              </w:rPr>
            </w:pPr>
          </w:p>
        </w:tc>
        <w:tc>
          <w:tcPr>
            <w:tcW w:w="340" w:type="dxa"/>
            <w:vAlign w:val="bottom"/>
            <w:shd w:val="clear" w:color="auto" w:fill="D4F1F5"/>
          </w:tcPr>
          <w:p>
            <w:pPr>
              <w:spacing w:after="0"/>
              <w:rPr>
                <w:sz w:val="14"/>
                <w:szCs w:val="14"/>
                <w:color w:val="auto"/>
              </w:rPr>
            </w:pPr>
          </w:p>
        </w:tc>
        <w:tc>
          <w:tcPr>
            <w:tcW w:w="840" w:type="dxa"/>
            <w:vAlign w:val="bottom"/>
            <w:vMerge w:val="restart"/>
            <w:shd w:val="clear" w:color="auto" w:fill="D4F1F5"/>
          </w:tcPr>
          <w:p>
            <w:pPr>
              <w:jc w:val="right"/>
              <w:spacing w:after="0"/>
              <w:rPr>
                <w:sz w:val="20"/>
                <w:szCs w:val="20"/>
                <w:color w:val="auto"/>
              </w:rPr>
            </w:pPr>
            <w:r>
              <w:rPr>
                <w:rFonts w:ascii="Arial" w:cs="Arial" w:eastAsia="Arial" w:hAnsi="Arial"/>
                <w:sz w:val="16"/>
                <w:szCs w:val="16"/>
                <w:color w:val="auto"/>
              </w:rPr>
              <w:t>43</w:t>
            </w:r>
          </w:p>
        </w:tc>
        <w:tc>
          <w:tcPr>
            <w:tcW w:w="0" w:type="dxa"/>
            <w:vAlign w:val="bottom"/>
          </w:tcPr>
          <w:p>
            <w:pPr>
              <w:spacing w:after="0"/>
              <w:rPr>
                <w:sz w:val="1"/>
                <w:szCs w:val="1"/>
                <w:color w:val="auto"/>
              </w:rPr>
            </w:pPr>
          </w:p>
        </w:tc>
      </w:tr>
      <w:tr>
        <w:trPr>
          <w:trHeight w:val="216"/>
        </w:trPr>
        <w:tc>
          <w:tcPr>
            <w:tcW w:w="5400" w:type="dxa"/>
            <w:vAlign w:val="bottom"/>
            <w:shd w:val="clear" w:color="auto" w:fill="D4F1F5"/>
          </w:tcPr>
          <w:p>
            <w:pPr>
              <w:ind w:left="880"/>
              <w:spacing w:after="0"/>
              <w:rPr>
                <w:sz w:val="20"/>
                <w:szCs w:val="20"/>
                <w:color w:val="auto"/>
              </w:rPr>
            </w:pPr>
            <w:r>
              <w:rPr>
                <w:rFonts w:ascii="Arial" w:cs="Arial" w:eastAsia="Arial" w:hAnsi="Arial"/>
                <w:sz w:val="16"/>
                <w:szCs w:val="16"/>
                <w:color w:val="auto"/>
              </w:rPr>
              <w:t>U.S. government corporations and agencies</w:t>
            </w:r>
          </w:p>
        </w:tc>
        <w:tc>
          <w:tcPr>
            <w:tcW w:w="220" w:type="dxa"/>
            <w:vAlign w:val="bottom"/>
            <w:shd w:val="clear" w:color="auto" w:fill="D4F1F5"/>
          </w:tcPr>
          <w:p>
            <w:pPr>
              <w:spacing w:after="0"/>
              <w:rPr>
                <w:sz w:val="18"/>
                <w:szCs w:val="18"/>
                <w:color w:val="auto"/>
              </w:rPr>
            </w:pPr>
          </w:p>
        </w:tc>
        <w:tc>
          <w:tcPr>
            <w:tcW w:w="880" w:type="dxa"/>
            <w:vAlign w:val="bottom"/>
            <w:vMerge w:val="continue"/>
            <w:shd w:val="clear" w:color="auto" w:fill="D4F1F5"/>
          </w:tcPr>
          <w:p>
            <w:pPr>
              <w:spacing w:after="0"/>
              <w:rPr>
                <w:sz w:val="18"/>
                <w:szCs w:val="18"/>
                <w:color w:val="auto"/>
              </w:rPr>
            </w:pPr>
          </w:p>
        </w:tc>
        <w:tc>
          <w:tcPr>
            <w:tcW w:w="300" w:type="dxa"/>
            <w:vAlign w:val="bottom"/>
            <w:shd w:val="clear" w:color="auto" w:fill="D4F1F5"/>
          </w:tcPr>
          <w:p>
            <w:pPr>
              <w:spacing w:after="0"/>
              <w:rPr>
                <w:sz w:val="18"/>
                <w:szCs w:val="18"/>
                <w:color w:val="auto"/>
              </w:rPr>
            </w:pPr>
          </w:p>
        </w:tc>
        <w:tc>
          <w:tcPr>
            <w:tcW w:w="880" w:type="dxa"/>
            <w:vAlign w:val="bottom"/>
            <w:vMerge w:val="continue"/>
            <w:shd w:val="clear" w:color="auto" w:fill="D4F1F5"/>
          </w:tcPr>
          <w:p>
            <w:pPr>
              <w:spacing w:after="0"/>
              <w:rPr>
                <w:sz w:val="18"/>
                <w:szCs w:val="18"/>
                <w:color w:val="auto"/>
              </w:rPr>
            </w:pPr>
          </w:p>
        </w:tc>
        <w:tc>
          <w:tcPr>
            <w:tcW w:w="280" w:type="dxa"/>
            <w:vAlign w:val="bottom"/>
            <w:shd w:val="clear" w:color="auto" w:fill="D4F1F5"/>
          </w:tcPr>
          <w:p>
            <w:pPr>
              <w:spacing w:after="0"/>
              <w:rPr>
                <w:sz w:val="18"/>
                <w:szCs w:val="18"/>
                <w:color w:val="auto"/>
              </w:rPr>
            </w:pPr>
          </w:p>
        </w:tc>
        <w:tc>
          <w:tcPr>
            <w:tcW w:w="980" w:type="dxa"/>
            <w:vAlign w:val="bottom"/>
            <w:vMerge w:val="continue"/>
            <w:shd w:val="clear" w:color="auto" w:fill="D4F1F5"/>
          </w:tcPr>
          <w:p>
            <w:pPr>
              <w:spacing w:after="0"/>
              <w:rPr>
                <w:sz w:val="18"/>
                <w:szCs w:val="18"/>
                <w:color w:val="auto"/>
              </w:rPr>
            </w:pPr>
          </w:p>
        </w:tc>
        <w:tc>
          <w:tcPr>
            <w:tcW w:w="180" w:type="dxa"/>
            <w:vAlign w:val="bottom"/>
            <w:shd w:val="clear" w:color="auto" w:fill="D4F1F5"/>
          </w:tcPr>
          <w:p>
            <w:pPr>
              <w:spacing w:after="0"/>
              <w:rPr>
                <w:sz w:val="18"/>
                <w:szCs w:val="18"/>
                <w:color w:val="auto"/>
              </w:rPr>
            </w:pPr>
          </w:p>
        </w:tc>
        <w:tc>
          <w:tcPr>
            <w:tcW w:w="900" w:type="dxa"/>
            <w:vAlign w:val="bottom"/>
            <w:shd w:val="clear" w:color="auto" w:fill="D4F1F5"/>
          </w:tcPr>
          <w:p>
            <w:pPr>
              <w:spacing w:after="0"/>
              <w:rPr>
                <w:sz w:val="18"/>
                <w:szCs w:val="18"/>
                <w:color w:val="auto"/>
              </w:rPr>
            </w:pPr>
          </w:p>
        </w:tc>
        <w:tc>
          <w:tcPr>
            <w:tcW w:w="340" w:type="dxa"/>
            <w:vAlign w:val="bottom"/>
            <w:shd w:val="clear" w:color="auto" w:fill="D4F1F5"/>
          </w:tcPr>
          <w:p>
            <w:pPr>
              <w:spacing w:after="0"/>
              <w:rPr>
                <w:sz w:val="18"/>
                <w:szCs w:val="18"/>
                <w:color w:val="auto"/>
              </w:rPr>
            </w:pPr>
          </w:p>
        </w:tc>
        <w:tc>
          <w:tcPr>
            <w:tcW w:w="840" w:type="dxa"/>
            <w:vAlign w:val="bottom"/>
            <w:vMerge w:val="continue"/>
            <w:shd w:val="clear" w:color="auto" w:fill="D4F1F5"/>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400" w:type="dxa"/>
            <w:vAlign w:val="bottom"/>
          </w:tcPr>
          <w:p>
            <w:pPr>
              <w:ind w:left="680"/>
              <w:spacing w:after="0"/>
              <w:rPr>
                <w:sz w:val="20"/>
                <w:szCs w:val="20"/>
                <w:color w:val="auto"/>
              </w:rPr>
            </w:pPr>
            <w:r>
              <w:rPr>
                <w:rFonts w:ascii="Arial" w:cs="Arial" w:eastAsia="Arial" w:hAnsi="Arial"/>
                <w:sz w:val="16"/>
                <w:szCs w:val="16"/>
                <w:color w:val="auto"/>
              </w:rPr>
              <w:t>Municipal bonds</w:t>
            </w: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291</w:t>
            </w:r>
          </w:p>
        </w:tc>
        <w:tc>
          <w:tcPr>
            <w:tcW w:w="280" w:type="dxa"/>
            <w:vAlign w:val="bottom"/>
          </w:tcPr>
          <w:p>
            <w:pPr>
              <w:spacing w:after="0"/>
              <w:rPr>
                <w:sz w:val="18"/>
                <w:szCs w:val="18"/>
                <w:color w:val="auto"/>
              </w:rPr>
            </w:pPr>
          </w:p>
        </w:tc>
        <w:tc>
          <w:tcPr>
            <w:tcW w:w="98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291</w:t>
            </w:r>
          </w:p>
        </w:tc>
        <w:tc>
          <w:tcPr>
            <w:tcW w:w="0" w:type="dxa"/>
            <w:vAlign w:val="bottom"/>
          </w:tcPr>
          <w:p>
            <w:pPr>
              <w:spacing w:after="0"/>
              <w:rPr>
                <w:sz w:val="1"/>
                <w:szCs w:val="1"/>
                <w:color w:val="auto"/>
              </w:rPr>
            </w:pPr>
          </w:p>
        </w:tc>
      </w:tr>
      <w:tr>
        <w:trPr>
          <w:trHeight w:val="217"/>
        </w:trPr>
        <w:tc>
          <w:tcPr>
            <w:tcW w:w="5400" w:type="dxa"/>
            <w:vAlign w:val="bottom"/>
            <w:shd w:val="clear" w:color="auto" w:fill="D4F1F5"/>
          </w:tcPr>
          <w:p>
            <w:pPr>
              <w:ind w:left="680"/>
              <w:spacing w:after="0"/>
              <w:rPr>
                <w:sz w:val="20"/>
                <w:szCs w:val="20"/>
                <w:color w:val="auto"/>
              </w:rPr>
            </w:pPr>
            <w:r>
              <w:rPr>
                <w:rFonts w:ascii="Arial" w:cs="Arial" w:eastAsia="Arial" w:hAnsi="Arial"/>
                <w:sz w:val="16"/>
                <w:szCs w:val="16"/>
                <w:color w:val="auto"/>
              </w:rPr>
              <w:t>Other securities</w:t>
            </w:r>
          </w:p>
        </w:tc>
        <w:tc>
          <w:tcPr>
            <w:tcW w:w="220" w:type="dxa"/>
            <w:vAlign w:val="bottom"/>
            <w:tcBorders>
              <w:bottom w:val="single" w:sz="8" w:color="auto"/>
            </w:tcBorders>
            <w:shd w:val="clear" w:color="auto" w:fill="D4F1F5"/>
          </w:tcPr>
          <w:p>
            <w:pPr>
              <w:spacing w:after="0"/>
              <w:rPr>
                <w:sz w:val="18"/>
                <w:szCs w:val="18"/>
                <w:color w:val="auto"/>
              </w:rPr>
            </w:pPr>
          </w:p>
        </w:tc>
        <w:tc>
          <w:tcPr>
            <w:tcW w:w="880" w:type="dxa"/>
            <w:vAlign w:val="bottom"/>
            <w:tcBorders>
              <w:bottom w:val="single" w:sz="8" w:color="auto"/>
            </w:tcBorders>
            <w:shd w:val="clear" w:color="auto" w:fill="D4F1F5"/>
          </w:tcPr>
          <w:p>
            <w:pPr>
              <w:jc w:val="right"/>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auto"/>
            </w:tcBorders>
            <w:shd w:val="clear" w:color="auto" w:fill="D4F1F5"/>
          </w:tcPr>
          <w:p>
            <w:pPr>
              <w:spacing w:after="0"/>
              <w:rPr>
                <w:sz w:val="18"/>
                <w:szCs w:val="18"/>
                <w:color w:val="auto"/>
              </w:rPr>
            </w:pPr>
          </w:p>
        </w:tc>
        <w:tc>
          <w:tcPr>
            <w:tcW w:w="880" w:type="dxa"/>
            <w:vAlign w:val="bottom"/>
            <w:tcBorders>
              <w:bottom w:val="single" w:sz="8" w:color="auto"/>
            </w:tcBorders>
            <w:shd w:val="clear" w:color="auto" w:fill="D4F1F5"/>
          </w:tcPr>
          <w:p>
            <w:pPr>
              <w:jc w:val="right"/>
              <w:spacing w:after="0"/>
              <w:rPr>
                <w:sz w:val="20"/>
                <w:szCs w:val="20"/>
                <w:color w:val="auto"/>
              </w:rPr>
            </w:pPr>
            <w:r>
              <w:rPr>
                <w:rFonts w:ascii="Arial" w:cs="Arial" w:eastAsia="Arial" w:hAnsi="Arial"/>
                <w:sz w:val="16"/>
                <w:szCs w:val="16"/>
                <w:color w:val="auto"/>
              </w:rPr>
              <w:t>261</w:t>
            </w:r>
          </w:p>
        </w:tc>
        <w:tc>
          <w:tcPr>
            <w:tcW w:w="280" w:type="dxa"/>
            <w:vAlign w:val="bottom"/>
            <w:tcBorders>
              <w:bottom w:val="single" w:sz="8" w:color="auto"/>
            </w:tcBorders>
            <w:shd w:val="clear" w:color="auto" w:fill="D4F1F5"/>
          </w:tcPr>
          <w:p>
            <w:pPr>
              <w:spacing w:after="0"/>
              <w:rPr>
                <w:sz w:val="18"/>
                <w:szCs w:val="18"/>
                <w:color w:val="auto"/>
              </w:rPr>
            </w:pPr>
          </w:p>
        </w:tc>
        <w:tc>
          <w:tcPr>
            <w:tcW w:w="980" w:type="dxa"/>
            <w:vAlign w:val="bottom"/>
            <w:tcBorders>
              <w:bottom w:val="single" w:sz="8" w:color="auto"/>
            </w:tcBorders>
            <w:shd w:val="clear" w:color="auto" w:fill="D4F1F5"/>
          </w:tcPr>
          <w:p>
            <w:pPr>
              <w:jc w:val="right"/>
              <w:ind w:right="99"/>
              <w:spacing w:after="0"/>
              <w:rPr>
                <w:sz w:val="20"/>
                <w:szCs w:val="20"/>
                <w:color w:val="auto"/>
              </w:rPr>
            </w:pPr>
            <w:r>
              <w:rPr>
                <w:rFonts w:ascii="Arial" w:cs="Arial" w:eastAsia="Arial" w:hAnsi="Arial"/>
                <w:sz w:val="16"/>
                <w:szCs w:val="16"/>
                <w:color w:val="auto"/>
              </w:rPr>
              <w:t>—</w:t>
            </w:r>
          </w:p>
        </w:tc>
        <w:tc>
          <w:tcPr>
            <w:tcW w:w="180" w:type="dxa"/>
            <w:vAlign w:val="bottom"/>
            <w:shd w:val="clear" w:color="auto" w:fill="D4F1F5"/>
          </w:tcPr>
          <w:p>
            <w:pPr>
              <w:spacing w:after="0"/>
              <w:rPr>
                <w:sz w:val="18"/>
                <w:szCs w:val="18"/>
                <w:color w:val="auto"/>
              </w:rPr>
            </w:pPr>
          </w:p>
        </w:tc>
        <w:tc>
          <w:tcPr>
            <w:tcW w:w="900" w:type="dxa"/>
            <w:vAlign w:val="bottom"/>
            <w:shd w:val="clear" w:color="auto" w:fill="D4F1F5"/>
          </w:tcPr>
          <w:p>
            <w:pPr>
              <w:spacing w:after="0"/>
              <w:rPr>
                <w:sz w:val="18"/>
                <w:szCs w:val="18"/>
                <w:color w:val="auto"/>
              </w:rPr>
            </w:pPr>
          </w:p>
        </w:tc>
        <w:tc>
          <w:tcPr>
            <w:tcW w:w="340" w:type="dxa"/>
            <w:vAlign w:val="bottom"/>
            <w:tcBorders>
              <w:bottom w:val="single" w:sz="8" w:color="auto"/>
            </w:tcBorders>
            <w:shd w:val="clear" w:color="auto" w:fill="D4F1F5"/>
          </w:tcPr>
          <w:p>
            <w:pPr>
              <w:spacing w:after="0"/>
              <w:rPr>
                <w:sz w:val="18"/>
                <w:szCs w:val="18"/>
                <w:color w:val="auto"/>
              </w:rPr>
            </w:pPr>
          </w:p>
        </w:tc>
        <w:tc>
          <w:tcPr>
            <w:tcW w:w="840" w:type="dxa"/>
            <w:vAlign w:val="bottom"/>
            <w:tcBorders>
              <w:bottom w:val="single" w:sz="8" w:color="auto"/>
            </w:tcBorders>
            <w:shd w:val="clear" w:color="auto" w:fill="D4F1F5"/>
          </w:tcPr>
          <w:p>
            <w:pPr>
              <w:jc w:val="right"/>
              <w:spacing w:after="0"/>
              <w:rPr>
                <w:sz w:val="20"/>
                <w:szCs w:val="20"/>
                <w:color w:val="auto"/>
              </w:rPr>
            </w:pPr>
            <w:r>
              <w:rPr>
                <w:rFonts w:ascii="Arial" w:cs="Arial" w:eastAsia="Arial" w:hAnsi="Arial"/>
                <w:sz w:val="16"/>
                <w:szCs w:val="16"/>
                <w:color w:val="auto"/>
              </w:rPr>
              <w:t>261</w:t>
            </w:r>
          </w:p>
        </w:tc>
        <w:tc>
          <w:tcPr>
            <w:tcW w:w="0" w:type="dxa"/>
            <w:vAlign w:val="bottom"/>
          </w:tcPr>
          <w:p>
            <w:pPr>
              <w:spacing w:after="0"/>
              <w:rPr>
                <w:sz w:val="1"/>
                <w:szCs w:val="1"/>
                <w:color w:val="auto"/>
              </w:rPr>
            </w:pPr>
          </w:p>
        </w:tc>
      </w:tr>
      <w:tr>
        <w:trPr>
          <w:trHeight w:val="209"/>
        </w:trPr>
        <w:tc>
          <w:tcPr>
            <w:tcW w:w="5400" w:type="dxa"/>
            <w:vAlign w:val="bottom"/>
            <w:tcBorders>
              <w:bottom w:val="single" w:sz="8" w:color="D4F1F5"/>
            </w:tcBorders>
          </w:tcPr>
          <w:p>
            <w:pPr>
              <w:ind w:left="460"/>
              <w:spacing w:after="0"/>
              <w:rPr>
                <w:sz w:val="20"/>
                <w:szCs w:val="20"/>
                <w:color w:val="auto"/>
              </w:rPr>
            </w:pPr>
            <w:r>
              <w:rPr>
                <w:rFonts w:ascii="Arial" w:cs="Arial" w:eastAsia="Arial" w:hAnsi="Arial"/>
                <w:sz w:val="16"/>
                <w:szCs w:val="16"/>
                <w:color w:val="auto"/>
              </w:rPr>
              <w:t>Total debt securities</w:t>
            </w:r>
          </w:p>
        </w:tc>
        <w:tc>
          <w:tcPr>
            <w:tcW w:w="2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w:t>
            </w:r>
          </w:p>
        </w:tc>
        <w:tc>
          <w:tcPr>
            <w:tcW w:w="3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568</w:t>
            </w: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D4F1F5"/>
            </w:tcBorders>
          </w:tcPr>
          <w:p>
            <w:pPr>
              <w:spacing w:after="0"/>
              <w:rPr>
                <w:sz w:val="18"/>
                <w:szCs w:val="18"/>
                <w:color w:val="auto"/>
              </w:rPr>
            </w:pPr>
          </w:p>
        </w:tc>
        <w:tc>
          <w:tcPr>
            <w:tcW w:w="900" w:type="dxa"/>
            <w:vAlign w:val="bottom"/>
            <w:tcBorders>
              <w:bottom w:val="single" w:sz="8" w:color="D4F1F5"/>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595</w:t>
            </w:r>
          </w:p>
        </w:tc>
        <w:tc>
          <w:tcPr>
            <w:tcW w:w="0" w:type="dxa"/>
            <w:vAlign w:val="bottom"/>
          </w:tcPr>
          <w:p>
            <w:pPr>
              <w:spacing w:after="0"/>
              <w:rPr>
                <w:sz w:val="1"/>
                <w:szCs w:val="1"/>
                <w:color w:val="auto"/>
              </w:rPr>
            </w:pPr>
          </w:p>
        </w:tc>
      </w:tr>
      <w:tr>
        <w:trPr>
          <w:trHeight w:val="210"/>
        </w:trPr>
        <w:tc>
          <w:tcPr>
            <w:tcW w:w="5400" w:type="dxa"/>
            <w:vAlign w:val="bottom"/>
            <w:shd w:val="clear" w:color="auto" w:fill="D4F1F5"/>
          </w:tcPr>
          <w:p>
            <w:pPr>
              <w:ind w:left="240"/>
              <w:spacing w:after="0" w:line="210" w:lineRule="exact"/>
              <w:rPr>
                <w:sz w:val="20"/>
                <w:szCs w:val="20"/>
                <w:color w:val="auto"/>
              </w:rPr>
            </w:pPr>
            <w:r>
              <w:rPr>
                <w:rFonts w:ascii="Arial" w:cs="Arial" w:eastAsia="Arial" w:hAnsi="Arial"/>
                <w:sz w:val="16"/>
                <w:szCs w:val="16"/>
                <w:color w:val="auto"/>
              </w:rPr>
              <w:t>Total nuclear decommissioning trusts</w:t>
            </w:r>
            <w:r>
              <w:rPr>
                <w:rFonts w:ascii="Arial" w:cs="Arial" w:eastAsia="Arial" w:hAnsi="Arial"/>
                <w:sz w:val="21"/>
                <w:szCs w:val="21"/>
                <w:color w:val="auto"/>
                <w:vertAlign w:val="superscript"/>
              </w:rPr>
              <w:t>(2)</w:t>
            </w:r>
          </w:p>
        </w:tc>
        <w:tc>
          <w:tcPr>
            <w:tcW w:w="220" w:type="dxa"/>
            <w:vAlign w:val="bottom"/>
            <w:shd w:val="clear" w:color="auto" w:fill="D4F1F5"/>
          </w:tcPr>
          <w:p>
            <w:pPr>
              <w:spacing w:after="0"/>
              <w:rPr>
                <w:sz w:val="18"/>
                <w:szCs w:val="18"/>
                <w:color w:val="auto"/>
              </w:rPr>
            </w:pPr>
          </w:p>
        </w:tc>
        <w:tc>
          <w:tcPr>
            <w:tcW w:w="880" w:type="dxa"/>
            <w:vAlign w:val="bottom"/>
            <w:shd w:val="clear" w:color="auto" w:fill="D4F1F5"/>
          </w:tcPr>
          <w:p>
            <w:pPr>
              <w:jc w:val="right"/>
              <w:spacing w:after="0"/>
              <w:rPr>
                <w:sz w:val="20"/>
                <w:szCs w:val="20"/>
                <w:color w:val="auto"/>
              </w:rPr>
            </w:pPr>
            <w:r>
              <w:rPr>
                <w:rFonts w:ascii="Arial" w:cs="Arial" w:eastAsia="Arial" w:hAnsi="Arial"/>
                <w:sz w:val="16"/>
                <w:szCs w:val="16"/>
                <w:color w:val="auto"/>
              </w:rPr>
              <w:t>319</w:t>
            </w:r>
          </w:p>
        </w:tc>
        <w:tc>
          <w:tcPr>
            <w:tcW w:w="300" w:type="dxa"/>
            <w:vAlign w:val="bottom"/>
            <w:shd w:val="clear" w:color="auto" w:fill="D4F1F5"/>
          </w:tcPr>
          <w:p>
            <w:pPr>
              <w:spacing w:after="0"/>
              <w:rPr>
                <w:sz w:val="18"/>
                <w:szCs w:val="18"/>
                <w:color w:val="auto"/>
              </w:rPr>
            </w:pPr>
          </w:p>
        </w:tc>
        <w:tc>
          <w:tcPr>
            <w:tcW w:w="880" w:type="dxa"/>
            <w:vAlign w:val="bottom"/>
            <w:shd w:val="clear" w:color="auto" w:fill="D4F1F5"/>
          </w:tcPr>
          <w:p>
            <w:pPr>
              <w:jc w:val="right"/>
              <w:spacing w:after="0"/>
              <w:rPr>
                <w:sz w:val="20"/>
                <w:szCs w:val="20"/>
                <w:color w:val="auto"/>
              </w:rPr>
            </w:pPr>
            <w:r>
              <w:rPr>
                <w:rFonts w:ascii="Arial" w:cs="Arial" w:eastAsia="Arial" w:hAnsi="Arial"/>
                <w:sz w:val="16"/>
                <w:szCs w:val="16"/>
                <w:color w:val="auto"/>
              </w:rPr>
              <w:t>573</w:t>
            </w:r>
          </w:p>
        </w:tc>
        <w:tc>
          <w:tcPr>
            <w:tcW w:w="280" w:type="dxa"/>
            <w:vAlign w:val="bottom"/>
            <w:shd w:val="clear" w:color="auto" w:fill="D4F1F5"/>
          </w:tcPr>
          <w:p>
            <w:pPr>
              <w:spacing w:after="0"/>
              <w:rPr>
                <w:sz w:val="18"/>
                <w:szCs w:val="18"/>
                <w:color w:val="auto"/>
              </w:rPr>
            </w:pPr>
          </w:p>
        </w:tc>
        <w:tc>
          <w:tcPr>
            <w:tcW w:w="980" w:type="dxa"/>
            <w:vAlign w:val="bottom"/>
            <w:shd w:val="clear" w:color="auto" w:fill="D4F1F5"/>
          </w:tcPr>
          <w:p>
            <w:pPr>
              <w:jc w:val="right"/>
              <w:ind w:right="99"/>
              <w:spacing w:after="0"/>
              <w:rPr>
                <w:sz w:val="20"/>
                <w:szCs w:val="20"/>
                <w:color w:val="auto"/>
              </w:rPr>
            </w:pPr>
            <w:r>
              <w:rPr>
                <w:rFonts w:ascii="Arial" w:cs="Arial" w:eastAsia="Arial" w:hAnsi="Arial"/>
                <w:sz w:val="16"/>
                <w:szCs w:val="16"/>
                <w:color w:val="auto"/>
              </w:rPr>
              <w:t>—</w:t>
            </w:r>
          </w:p>
        </w:tc>
        <w:tc>
          <w:tcPr>
            <w:tcW w:w="180" w:type="dxa"/>
            <w:vAlign w:val="bottom"/>
            <w:shd w:val="clear" w:color="auto" w:fill="D4F1F5"/>
          </w:tcPr>
          <w:p>
            <w:pPr>
              <w:spacing w:after="0"/>
              <w:rPr>
                <w:sz w:val="18"/>
                <w:szCs w:val="18"/>
                <w:color w:val="auto"/>
              </w:rPr>
            </w:pPr>
          </w:p>
        </w:tc>
        <w:tc>
          <w:tcPr>
            <w:tcW w:w="900" w:type="dxa"/>
            <w:vAlign w:val="bottom"/>
            <w:shd w:val="clear" w:color="auto" w:fill="D4F1F5"/>
          </w:tcPr>
          <w:p>
            <w:pPr>
              <w:spacing w:after="0"/>
              <w:rPr>
                <w:sz w:val="18"/>
                <w:szCs w:val="18"/>
                <w:color w:val="auto"/>
              </w:rPr>
            </w:pPr>
          </w:p>
        </w:tc>
        <w:tc>
          <w:tcPr>
            <w:tcW w:w="340" w:type="dxa"/>
            <w:vAlign w:val="bottom"/>
            <w:shd w:val="clear" w:color="auto" w:fill="D4F1F5"/>
          </w:tcPr>
          <w:p>
            <w:pPr>
              <w:spacing w:after="0"/>
              <w:rPr>
                <w:sz w:val="18"/>
                <w:szCs w:val="18"/>
                <w:color w:val="auto"/>
              </w:rPr>
            </w:pPr>
          </w:p>
        </w:tc>
        <w:tc>
          <w:tcPr>
            <w:tcW w:w="840" w:type="dxa"/>
            <w:vAlign w:val="bottom"/>
            <w:shd w:val="clear" w:color="auto" w:fill="D4F1F5"/>
          </w:tcPr>
          <w:p>
            <w:pPr>
              <w:jc w:val="right"/>
              <w:spacing w:after="0"/>
              <w:rPr>
                <w:sz w:val="20"/>
                <w:szCs w:val="20"/>
                <w:color w:val="auto"/>
              </w:rPr>
            </w:pPr>
            <w:r>
              <w:rPr>
                <w:rFonts w:ascii="Arial" w:cs="Arial" w:eastAsia="Arial" w:hAnsi="Arial"/>
                <w:sz w:val="16"/>
                <w:szCs w:val="16"/>
                <w:color w:val="auto"/>
              </w:rPr>
              <w:t>892</w:t>
            </w:r>
          </w:p>
        </w:tc>
        <w:tc>
          <w:tcPr>
            <w:tcW w:w="0" w:type="dxa"/>
            <w:vAlign w:val="bottom"/>
          </w:tcPr>
          <w:p>
            <w:pPr>
              <w:spacing w:after="0"/>
              <w:rPr>
                <w:sz w:val="1"/>
                <w:szCs w:val="1"/>
                <w:color w:val="auto"/>
              </w:rPr>
            </w:pPr>
          </w:p>
        </w:tc>
      </w:tr>
      <w:tr>
        <w:trPr>
          <w:trHeight w:val="215"/>
        </w:trPr>
        <w:tc>
          <w:tcPr>
            <w:tcW w:w="5400" w:type="dxa"/>
            <w:vAlign w:val="bottom"/>
          </w:tcPr>
          <w:p>
            <w:pPr>
              <w:ind w:left="240"/>
              <w:spacing w:after="0"/>
              <w:rPr>
                <w:sz w:val="20"/>
                <w:szCs w:val="20"/>
                <w:color w:val="auto"/>
              </w:rPr>
            </w:pPr>
            <w:r>
              <w:rPr>
                <w:rFonts w:ascii="Arial" w:cs="Arial" w:eastAsia="Arial" w:hAnsi="Arial"/>
                <w:sz w:val="16"/>
                <w:szCs w:val="16"/>
                <w:color w:val="auto"/>
              </w:rPr>
              <w:t>Short-term investments held in Rabbi Trust</w:t>
            </w: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86</w:t>
            </w:r>
          </w:p>
        </w:tc>
        <w:tc>
          <w:tcPr>
            <w:tcW w:w="3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98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86</w:t>
            </w:r>
          </w:p>
        </w:tc>
        <w:tc>
          <w:tcPr>
            <w:tcW w:w="0" w:type="dxa"/>
            <w:vAlign w:val="bottom"/>
          </w:tcPr>
          <w:p>
            <w:pPr>
              <w:spacing w:after="0"/>
              <w:rPr>
                <w:sz w:val="1"/>
                <w:szCs w:val="1"/>
                <w:color w:val="auto"/>
              </w:rPr>
            </w:pPr>
          </w:p>
        </w:tc>
      </w:tr>
      <w:tr>
        <w:trPr>
          <w:trHeight w:val="217"/>
        </w:trPr>
        <w:tc>
          <w:tcPr>
            <w:tcW w:w="5400" w:type="dxa"/>
            <w:vAlign w:val="bottom"/>
            <w:shd w:val="clear" w:color="auto" w:fill="D4F1F5"/>
          </w:tcPr>
          <w:p>
            <w:pPr>
              <w:ind w:left="240"/>
              <w:spacing w:after="0"/>
              <w:rPr>
                <w:sz w:val="20"/>
                <w:szCs w:val="20"/>
                <w:color w:val="auto"/>
              </w:rPr>
            </w:pPr>
            <w:r>
              <w:rPr>
                <w:rFonts w:ascii="Arial" w:cs="Arial" w:eastAsia="Arial" w:hAnsi="Arial"/>
                <w:sz w:val="16"/>
                <w:szCs w:val="16"/>
                <w:color w:val="auto"/>
              </w:rPr>
              <w:t>Support Agreement, net of related guarantee fees</w:t>
            </w:r>
          </w:p>
        </w:tc>
        <w:tc>
          <w:tcPr>
            <w:tcW w:w="220" w:type="dxa"/>
            <w:vAlign w:val="bottom"/>
            <w:shd w:val="clear" w:color="auto" w:fill="D4F1F5"/>
          </w:tcPr>
          <w:p>
            <w:pPr>
              <w:spacing w:after="0"/>
              <w:rPr>
                <w:sz w:val="18"/>
                <w:szCs w:val="18"/>
                <w:color w:val="auto"/>
              </w:rPr>
            </w:pPr>
          </w:p>
        </w:tc>
        <w:tc>
          <w:tcPr>
            <w:tcW w:w="880" w:type="dxa"/>
            <w:vAlign w:val="bottom"/>
            <w:shd w:val="clear" w:color="auto" w:fill="D4F1F5"/>
          </w:tcPr>
          <w:p>
            <w:pPr>
              <w:jc w:val="right"/>
              <w:spacing w:after="0"/>
              <w:rPr>
                <w:sz w:val="20"/>
                <w:szCs w:val="20"/>
                <w:color w:val="auto"/>
              </w:rPr>
            </w:pPr>
            <w:r>
              <w:rPr>
                <w:rFonts w:ascii="Arial" w:cs="Arial" w:eastAsia="Arial" w:hAnsi="Arial"/>
                <w:sz w:val="16"/>
                <w:szCs w:val="16"/>
                <w:color w:val="auto"/>
              </w:rPr>
              <w:t>—</w:t>
            </w:r>
          </w:p>
        </w:tc>
        <w:tc>
          <w:tcPr>
            <w:tcW w:w="300" w:type="dxa"/>
            <w:vAlign w:val="bottom"/>
            <w:shd w:val="clear" w:color="auto" w:fill="D4F1F5"/>
          </w:tcPr>
          <w:p>
            <w:pPr>
              <w:spacing w:after="0"/>
              <w:rPr>
                <w:sz w:val="18"/>
                <w:szCs w:val="18"/>
                <w:color w:val="auto"/>
              </w:rPr>
            </w:pPr>
          </w:p>
        </w:tc>
        <w:tc>
          <w:tcPr>
            <w:tcW w:w="880" w:type="dxa"/>
            <w:vAlign w:val="bottom"/>
            <w:shd w:val="clear" w:color="auto" w:fill="D4F1F5"/>
          </w:tcPr>
          <w:p>
            <w:pPr>
              <w:jc w:val="right"/>
              <w:spacing w:after="0"/>
              <w:rPr>
                <w:sz w:val="20"/>
                <w:szCs w:val="20"/>
                <w:color w:val="auto"/>
              </w:rPr>
            </w:pPr>
            <w:r>
              <w:rPr>
                <w:rFonts w:ascii="Arial" w:cs="Arial" w:eastAsia="Arial" w:hAnsi="Arial"/>
                <w:sz w:val="16"/>
                <w:szCs w:val="16"/>
                <w:color w:val="auto"/>
              </w:rPr>
              <w:t>—</w:t>
            </w:r>
          </w:p>
        </w:tc>
        <w:tc>
          <w:tcPr>
            <w:tcW w:w="280" w:type="dxa"/>
            <w:vAlign w:val="bottom"/>
            <w:shd w:val="clear" w:color="auto" w:fill="D4F1F5"/>
          </w:tcPr>
          <w:p>
            <w:pPr>
              <w:spacing w:after="0"/>
              <w:rPr>
                <w:sz w:val="18"/>
                <w:szCs w:val="18"/>
                <w:color w:val="auto"/>
              </w:rPr>
            </w:pPr>
          </w:p>
        </w:tc>
        <w:tc>
          <w:tcPr>
            <w:tcW w:w="980" w:type="dxa"/>
            <w:vAlign w:val="bottom"/>
            <w:shd w:val="clear" w:color="auto" w:fill="D4F1F5"/>
          </w:tcPr>
          <w:p>
            <w:pPr>
              <w:jc w:val="right"/>
              <w:ind w:right="99"/>
              <w:spacing w:after="0"/>
              <w:rPr>
                <w:sz w:val="20"/>
                <w:szCs w:val="20"/>
                <w:color w:val="auto"/>
              </w:rPr>
            </w:pPr>
            <w:r>
              <w:rPr>
                <w:rFonts w:ascii="Arial" w:cs="Arial" w:eastAsia="Arial" w:hAnsi="Arial"/>
                <w:sz w:val="16"/>
                <w:szCs w:val="16"/>
                <w:color w:val="auto"/>
              </w:rPr>
              <w:t>41</w:t>
            </w:r>
          </w:p>
        </w:tc>
        <w:tc>
          <w:tcPr>
            <w:tcW w:w="180" w:type="dxa"/>
            <w:vAlign w:val="bottom"/>
            <w:shd w:val="clear" w:color="auto" w:fill="D4F1F5"/>
          </w:tcPr>
          <w:p>
            <w:pPr>
              <w:spacing w:after="0"/>
              <w:rPr>
                <w:sz w:val="18"/>
                <w:szCs w:val="18"/>
                <w:color w:val="auto"/>
              </w:rPr>
            </w:pPr>
          </w:p>
        </w:tc>
        <w:tc>
          <w:tcPr>
            <w:tcW w:w="900" w:type="dxa"/>
            <w:vAlign w:val="bottom"/>
            <w:shd w:val="clear" w:color="auto" w:fill="D4F1F5"/>
          </w:tcPr>
          <w:p>
            <w:pPr>
              <w:spacing w:after="0"/>
              <w:rPr>
                <w:sz w:val="18"/>
                <w:szCs w:val="18"/>
                <w:color w:val="auto"/>
              </w:rPr>
            </w:pPr>
          </w:p>
        </w:tc>
        <w:tc>
          <w:tcPr>
            <w:tcW w:w="340" w:type="dxa"/>
            <w:vAlign w:val="bottom"/>
            <w:shd w:val="clear" w:color="auto" w:fill="D4F1F5"/>
          </w:tcPr>
          <w:p>
            <w:pPr>
              <w:spacing w:after="0"/>
              <w:rPr>
                <w:sz w:val="18"/>
                <w:szCs w:val="18"/>
                <w:color w:val="auto"/>
              </w:rPr>
            </w:pPr>
          </w:p>
        </w:tc>
        <w:tc>
          <w:tcPr>
            <w:tcW w:w="840" w:type="dxa"/>
            <w:vAlign w:val="bottom"/>
            <w:shd w:val="clear" w:color="auto" w:fill="D4F1F5"/>
          </w:tcPr>
          <w:p>
            <w:pPr>
              <w:jc w:val="right"/>
              <w:spacing w:after="0"/>
              <w:rPr>
                <w:sz w:val="20"/>
                <w:szCs w:val="20"/>
                <w:color w:val="auto"/>
              </w:rPr>
            </w:pPr>
            <w:r>
              <w:rPr>
                <w:rFonts w:ascii="Arial" w:cs="Arial" w:eastAsia="Arial" w:hAnsi="Arial"/>
                <w:sz w:val="16"/>
                <w:szCs w:val="16"/>
                <w:color w:val="auto"/>
              </w:rPr>
              <w:t>41</w:t>
            </w:r>
          </w:p>
        </w:tc>
        <w:tc>
          <w:tcPr>
            <w:tcW w:w="0" w:type="dxa"/>
            <w:vAlign w:val="bottom"/>
          </w:tcPr>
          <w:p>
            <w:pPr>
              <w:spacing w:after="0"/>
              <w:rPr>
                <w:sz w:val="1"/>
                <w:szCs w:val="1"/>
                <w:color w:val="auto"/>
              </w:rPr>
            </w:pPr>
          </w:p>
        </w:tc>
      </w:tr>
      <w:tr>
        <w:trPr>
          <w:trHeight w:val="215"/>
        </w:trPr>
        <w:tc>
          <w:tcPr>
            <w:tcW w:w="5400" w:type="dxa"/>
            <w:vAlign w:val="bottom"/>
            <w:tcBorders>
              <w:bottom w:val="single" w:sz="8" w:color="D4F1F5"/>
            </w:tcBorders>
          </w:tcPr>
          <w:p>
            <w:pPr>
              <w:ind w:left="240"/>
              <w:spacing w:after="0"/>
              <w:rPr>
                <w:sz w:val="20"/>
                <w:szCs w:val="20"/>
                <w:color w:val="auto"/>
              </w:rPr>
            </w:pPr>
            <w:r>
              <w:rPr>
                <w:rFonts w:ascii="Arial" w:cs="Arial" w:eastAsia="Arial" w:hAnsi="Arial"/>
                <w:sz w:val="16"/>
                <w:szCs w:val="16"/>
                <w:color w:val="auto"/>
              </w:rPr>
              <w:t>Commodity contracts subject to rate recovery</w:t>
            </w:r>
          </w:p>
        </w:tc>
        <w:tc>
          <w:tcPr>
            <w:tcW w:w="2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w:t>
            </w:r>
          </w:p>
        </w:tc>
        <w:tc>
          <w:tcPr>
            <w:tcW w:w="3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w:t>
            </w: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10</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w:t>
            </w:r>
          </w:p>
        </w:tc>
        <w:tc>
          <w:tcPr>
            <w:tcW w:w="3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w:t>
            </w:r>
          </w:p>
        </w:tc>
        <w:tc>
          <w:tcPr>
            <w:tcW w:w="0" w:type="dxa"/>
            <w:vAlign w:val="bottom"/>
          </w:tcPr>
          <w:p>
            <w:pPr>
              <w:spacing w:after="0"/>
              <w:rPr>
                <w:sz w:val="1"/>
                <w:szCs w:val="1"/>
                <w:color w:val="auto"/>
              </w:rPr>
            </w:pPr>
          </w:p>
        </w:tc>
      </w:tr>
      <w:tr>
        <w:trPr>
          <w:trHeight w:val="210"/>
        </w:trPr>
        <w:tc>
          <w:tcPr>
            <w:tcW w:w="5400" w:type="dxa"/>
            <w:vAlign w:val="bottom"/>
            <w:shd w:val="clear" w:color="auto" w:fill="D4F1F5"/>
          </w:tcPr>
          <w:p>
            <w:pPr>
              <w:spacing w:after="0"/>
              <w:rPr>
                <w:sz w:val="18"/>
                <w:szCs w:val="18"/>
                <w:color w:val="auto"/>
              </w:rPr>
            </w:pPr>
          </w:p>
        </w:tc>
        <w:tc>
          <w:tcPr>
            <w:tcW w:w="220" w:type="dxa"/>
            <w:vAlign w:val="bottom"/>
            <w:tcBorders>
              <w:bottom w:val="single" w:sz="8" w:color="auto"/>
            </w:tcBorders>
            <w:shd w:val="clear" w:color="auto" w:fill="D4F1F5"/>
          </w:tcPr>
          <w:p>
            <w:pPr>
              <w:spacing w:after="0"/>
              <w:rPr>
                <w:sz w:val="18"/>
                <w:szCs w:val="18"/>
                <w:color w:val="auto"/>
              </w:rPr>
            </w:pPr>
          </w:p>
        </w:tc>
        <w:tc>
          <w:tcPr>
            <w:tcW w:w="880" w:type="dxa"/>
            <w:vAlign w:val="bottom"/>
            <w:tcBorders>
              <w:bottom w:val="single" w:sz="8" w:color="auto"/>
            </w:tcBorders>
            <w:shd w:val="clear" w:color="auto" w:fill="D4F1F5"/>
          </w:tcPr>
          <w:p>
            <w:pPr>
              <w:jc w:val="right"/>
              <w:spacing w:after="0"/>
              <w:rPr>
                <w:sz w:val="20"/>
                <w:szCs w:val="20"/>
                <w:color w:val="auto"/>
              </w:rPr>
            </w:pPr>
            <w:r>
              <w:rPr>
                <w:rFonts w:ascii="Arial" w:cs="Arial" w:eastAsia="Arial" w:hAnsi="Arial"/>
                <w:sz w:val="16"/>
                <w:szCs w:val="16"/>
                <w:color w:val="auto"/>
              </w:rPr>
              <w:t>407</w:t>
            </w:r>
          </w:p>
        </w:tc>
        <w:tc>
          <w:tcPr>
            <w:tcW w:w="300" w:type="dxa"/>
            <w:vAlign w:val="bottom"/>
            <w:tcBorders>
              <w:bottom w:val="single" w:sz="8" w:color="auto"/>
            </w:tcBorders>
            <w:shd w:val="clear" w:color="auto" w:fill="D4F1F5"/>
          </w:tcPr>
          <w:p>
            <w:pPr>
              <w:spacing w:after="0"/>
              <w:rPr>
                <w:sz w:val="18"/>
                <w:szCs w:val="18"/>
                <w:color w:val="auto"/>
              </w:rPr>
            </w:pPr>
          </w:p>
        </w:tc>
        <w:tc>
          <w:tcPr>
            <w:tcW w:w="880" w:type="dxa"/>
            <w:vAlign w:val="bottom"/>
            <w:tcBorders>
              <w:bottom w:val="single" w:sz="8" w:color="auto"/>
            </w:tcBorders>
            <w:shd w:val="clear" w:color="auto" w:fill="D4F1F5"/>
          </w:tcPr>
          <w:p>
            <w:pPr>
              <w:jc w:val="right"/>
              <w:spacing w:after="0"/>
              <w:rPr>
                <w:sz w:val="20"/>
                <w:szCs w:val="20"/>
                <w:color w:val="auto"/>
              </w:rPr>
            </w:pPr>
            <w:r>
              <w:rPr>
                <w:rFonts w:ascii="Arial" w:cs="Arial" w:eastAsia="Arial" w:hAnsi="Arial"/>
                <w:sz w:val="16"/>
                <w:szCs w:val="16"/>
                <w:color w:val="auto"/>
              </w:rPr>
              <w:t>582</w:t>
            </w:r>
          </w:p>
        </w:tc>
        <w:tc>
          <w:tcPr>
            <w:tcW w:w="280" w:type="dxa"/>
            <w:vAlign w:val="bottom"/>
            <w:tcBorders>
              <w:bottom w:val="single" w:sz="8" w:color="auto"/>
            </w:tcBorders>
            <w:shd w:val="clear" w:color="auto" w:fill="D4F1F5"/>
          </w:tcPr>
          <w:p>
            <w:pPr>
              <w:spacing w:after="0"/>
              <w:rPr>
                <w:sz w:val="18"/>
                <w:szCs w:val="18"/>
                <w:color w:val="auto"/>
              </w:rPr>
            </w:pPr>
          </w:p>
        </w:tc>
        <w:tc>
          <w:tcPr>
            <w:tcW w:w="980" w:type="dxa"/>
            <w:vAlign w:val="bottom"/>
            <w:tcBorders>
              <w:bottom w:val="single" w:sz="8" w:color="auto"/>
            </w:tcBorders>
            <w:shd w:val="clear" w:color="auto" w:fill="D4F1F5"/>
          </w:tcPr>
          <w:p>
            <w:pPr>
              <w:jc w:val="right"/>
              <w:ind w:right="99"/>
              <w:spacing w:after="0"/>
              <w:rPr>
                <w:sz w:val="20"/>
                <w:szCs w:val="20"/>
                <w:color w:val="auto"/>
              </w:rPr>
            </w:pPr>
            <w:r>
              <w:rPr>
                <w:rFonts w:ascii="Arial" w:cs="Arial" w:eastAsia="Arial" w:hAnsi="Arial"/>
                <w:sz w:val="16"/>
                <w:szCs w:val="16"/>
                <w:color w:val="auto"/>
              </w:rPr>
              <w:t>51</w:t>
            </w:r>
          </w:p>
        </w:tc>
        <w:tc>
          <w:tcPr>
            <w:tcW w:w="180" w:type="dxa"/>
            <w:vAlign w:val="bottom"/>
            <w:tcBorders>
              <w:bottom w:val="single" w:sz="8" w:color="auto"/>
            </w:tcBorders>
            <w:shd w:val="clear" w:color="auto" w:fill="D4F1F5"/>
          </w:tcPr>
          <w:p>
            <w:pPr>
              <w:spacing w:after="0"/>
              <w:rPr>
                <w:sz w:val="18"/>
                <w:szCs w:val="18"/>
                <w:color w:val="auto"/>
              </w:rPr>
            </w:pPr>
          </w:p>
        </w:tc>
        <w:tc>
          <w:tcPr>
            <w:tcW w:w="900" w:type="dxa"/>
            <w:vAlign w:val="bottom"/>
            <w:tcBorders>
              <w:bottom w:val="single" w:sz="8" w:color="auto"/>
            </w:tcBorders>
            <w:shd w:val="clear" w:color="auto" w:fill="D4F1F5"/>
          </w:tcPr>
          <w:p>
            <w:pPr>
              <w:jc w:val="right"/>
              <w:spacing w:after="0"/>
              <w:rPr>
                <w:sz w:val="20"/>
                <w:szCs w:val="20"/>
                <w:color w:val="auto"/>
              </w:rPr>
            </w:pPr>
            <w:r>
              <w:rPr>
                <w:rFonts w:ascii="Arial" w:cs="Arial" w:eastAsia="Arial" w:hAnsi="Arial"/>
                <w:sz w:val="16"/>
                <w:szCs w:val="16"/>
                <w:color w:val="auto"/>
              </w:rPr>
              <w:t>18</w:t>
            </w:r>
          </w:p>
        </w:tc>
        <w:tc>
          <w:tcPr>
            <w:tcW w:w="340" w:type="dxa"/>
            <w:vAlign w:val="bottom"/>
            <w:tcBorders>
              <w:bottom w:val="single" w:sz="8" w:color="auto"/>
            </w:tcBorders>
            <w:shd w:val="clear" w:color="auto" w:fill="D4F1F5"/>
          </w:tcPr>
          <w:p>
            <w:pPr>
              <w:spacing w:after="0"/>
              <w:rPr>
                <w:sz w:val="18"/>
                <w:szCs w:val="18"/>
                <w:color w:val="auto"/>
              </w:rPr>
            </w:pPr>
          </w:p>
        </w:tc>
        <w:tc>
          <w:tcPr>
            <w:tcW w:w="840" w:type="dxa"/>
            <w:vAlign w:val="bottom"/>
            <w:tcBorders>
              <w:bottom w:val="single" w:sz="8" w:color="auto"/>
            </w:tcBorders>
            <w:shd w:val="clear" w:color="auto" w:fill="D4F1F5"/>
          </w:tcPr>
          <w:p>
            <w:pPr>
              <w:jc w:val="right"/>
              <w:spacing w:after="0"/>
              <w:rPr>
                <w:sz w:val="20"/>
                <w:szCs w:val="20"/>
                <w:color w:val="auto"/>
              </w:rPr>
            </w:pPr>
            <w:r>
              <w:rPr>
                <w:rFonts w:ascii="Arial" w:cs="Arial" w:eastAsia="Arial" w:hAnsi="Arial"/>
                <w:sz w:val="16"/>
                <w:szCs w:val="16"/>
                <w:color w:val="auto"/>
              </w:rPr>
              <w:t>1,058</w:t>
            </w:r>
          </w:p>
        </w:tc>
        <w:tc>
          <w:tcPr>
            <w:tcW w:w="0" w:type="dxa"/>
            <w:vAlign w:val="bottom"/>
          </w:tcPr>
          <w:p>
            <w:pPr>
              <w:spacing w:after="0"/>
              <w:rPr>
                <w:sz w:val="1"/>
                <w:szCs w:val="1"/>
                <w:color w:val="auto"/>
              </w:rPr>
            </w:pPr>
          </w:p>
        </w:tc>
      </w:tr>
      <w:tr>
        <w:trPr>
          <w:trHeight w:val="195"/>
        </w:trPr>
        <w:tc>
          <w:tcPr>
            <w:tcW w:w="5400" w:type="dxa"/>
            <w:vAlign w:val="bottom"/>
          </w:tcPr>
          <w:p>
            <w:pPr>
              <w:ind w:left="260"/>
              <w:spacing w:after="0"/>
              <w:rPr>
                <w:sz w:val="20"/>
                <w:szCs w:val="20"/>
                <w:color w:val="auto"/>
              </w:rPr>
            </w:pPr>
            <w:r>
              <w:rPr>
                <w:rFonts w:ascii="Arial" w:cs="Arial" w:eastAsia="Arial" w:hAnsi="Arial"/>
                <w:sz w:val="16"/>
                <w:szCs w:val="16"/>
                <w:color w:val="auto"/>
              </w:rPr>
              <w:t>Assets held for sale:</w:t>
            </w: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5400" w:type="dxa"/>
            <w:vAlign w:val="bottom"/>
            <w:shd w:val="clear" w:color="auto" w:fill="D4F1F5"/>
          </w:tcPr>
          <w:p>
            <w:pPr>
              <w:ind w:left="480"/>
              <w:spacing w:after="0"/>
              <w:rPr>
                <w:sz w:val="20"/>
                <w:szCs w:val="20"/>
                <w:color w:val="auto"/>
              </w:rPr>
            </w:pPr>
            <w:r>
              <w:rPr>
                <w:rFonts w:ascii="Arial" w:cs="Arial" w:eastAsia="Arial" w:hAnsi="Arial"/>
                <w:sz w:val="16"/>
                <w:szCs w:val="16"/>
                <w:color w:val="auto"/>
              </w:rPr>
              <w:t>Interest rate instruments</w:t>
            </w:r>
          </w:p>
        </w:tc>
        <w:tc>
          <w:tcPr>
            <w:tcW w:w="220" w:type="dxa"/>
            <w:vAlign w:val="bottom"/>
            <w:shd w:val="clear" w:color="auto" w:fill="D4F1F5"/>
          </w:tcPr>
          <w:p>
            <w:pPr>
              <w:spacing w:after="0"/>
              <w:rPr>
                <w:sz w:val="18"/>
                <w:szCs w:val="18"/>
                <w:color w:val="auto"/>
              </w:rPr>
            </w:pPr>
          </w:p>
        </w:tc>
        <w:tc>
          <w:tcPr>
            <w:tcW w:w="880" w:type="dxa"/>
            <w:vAlign w:val="bottom"/>
            <w:shd w:val="clear" w:color="auto" w:fill="D4F1F5"/>
          </w:tcPr>
          <w:p>
            <w:pPr>
              <w:jc w:val="right"/>
              <w:spacing w:after="0"/>
              <w:rPr>
                <w:sz w:val="20"/>
                <w:szCs w:val="20"/>
                <w:color w:val="auto"/>
              </w:rPr>
            </w:pPr>
            <w:r>
              <w:rPr>
                <w:rFonts w:ascii="Arial" w:cs="Arial" w:eastAsia="Arial" w:hAnsi="Arial"/>
                <w:sz w:val="16"/>
                <w:szCs w:val="16"/>
                <w:color w:val="auto"/>
              </w:rPr>
              <w:t>—</w:t>
            </w:r>
          </w:p>
        </w:tc>
        <w:tc>
          <w:tcPr>
            <w:tcW w:w="300" w:type="dxa"/>
            <w:vAlign w:val="bottom"/>
            <w:shd w:val="clear" w:color="auto" w:fill="D4F1F5"/>
          </w:tcPr>
          <w:p>
            <w:pPr>
              <w:spacing w:after="0"/>
              <w:rPr>
                <w:sz w:val="18"/>
                <w:szCs w:val="18"/>
                <w:color w:val="auto"/>
              </w:rPr>
            </w:pPr>
          </w:p>
        </w:tc>
        <w:tc>
          <w:tcPr>
            <w:tcW w:w="880" w:type="dxa"/>
            <w:vAlign w:val="bottom"/>
            <w:shd w:val="clear" w:color="auto" w:fill="D4F1F5"/>
          </w:tcPr>
          <w:p>
            <w:pPr>
              <w:jc w:val="right"/>
              <w:spacing w:after="0"/>
              <w:rPr>
                <w:sz w:val="20"/>
                <w:szCs w:val="20"/>
                <w:color w:val="auto"/>
              </w:rPr>
            </w:pPr>
            <w:r>
              <w:rPr>
                <w:rFonts w:ascii="Arial" w:cs="Arial" w:eastAsia="Arial" w:hAnsi="Arial"/>
                <w:sz w:val="16"/>
                <w:szCs w:val="16"/>
                <w:color w:val="auto"/>
              </w:rPr>
              <w:t>178</w:t>
            </w:r>
          </w:p>
        </w:tc>
        <w:tc>
          <w:tcPr>
            <w:tcW w:w="280" w:type="dxa"/>
            <w:vAlign w:val="bottom"/>
            <w:shd w:val="clear" w:color="auto" w:fill="D4F1F5"/>
          </w:tcPr>
          <w:p>
            <w:pPr>
              <w:spacing w:after="0"/>
              <w:rPr>
                <w:sz w:val="18"/>
                <w:szCs w:val="18"/>
                <w:color w:val="auto"/>
              </w:rPr>
            </w:pPr>
          </w:p>
        </w:tc>
        <w:tc>
          <w:tcPr>
            <w:tcW w:w="980" w:type="dxa"/>
            <w:vAlign w:val="bottom"/>
            <w:shd w:val="clear" w:color="auto" w:fill="D4F1F5"/>
          </w:tcPr>
          <w:p>
            <w:pPr>
              <w:jc w:val="right"/>
              <w:ind w:right="99"/>
              <w:spacing w:after="0"/>
              <w:rPr>
                <w:sz w:val="20"/>
                <w:szCs w:val="20"/>
                <w:color w:val="auto"/>
              </w:rPr>
            </w:pPr>
            <w:r>
              <w:rPr>
                <w:rFonts w:ascii="Arial" w:cs="Arial" w:eastAsia="Arial" w:hAnsi="Arial"/>
                <w:sz w:val="16"/>
                <w:szCs w:val="16"/>
                <w:color w:val="auto"/>
              </w:rPr>
              <w:t>—</w:t>
            </w:r>
          </w:p>
        </w:tc>
        <w:tc>
          <w:tcPr>
            <w:tcW w:w="180" w:type="dxa"/>
            <w:vAlign w:val="bottom"/>
            <w:shd w:val="clear" w:color="auto" w:fill="D4F1F5"/>
          </w:tcPr>
          <w:p>
            <w:pPr>
              <w:spacing w:after="0"/>
              <w:rPr>
                <w:sz w:val="18"/>
                <w:szCs w:val="18"/>
                <w:color w:val="auto"/>
              </w:rPr>
            </w:pPr>
          </w:p>
        </w:tc>
        <w:tc>
          <w:tcPr>
            <w:tcW w:w="900" w:type="dxa"/>
            <w:vAlign w:val="bottom"/>
            <w:shd w:val="clear" w:color="auto" w:fill="D4F1F5"/>
          </w:tcPr>
          <w:p>
            <w:pPr>
              <w:jc w:val="right"/>
              <w:spacing w:after="0"/>
              <w:rPr>
                <w:sz w:val="20"/>
                <w:szCs w:val="20"/>
                <w:color w:val="auto"/>
              </w:rPr>
            </w:pPr>
            <w:r>
              <w:rPr>
                <w:rFonts w:ascii="Arial" w:cs="Arial" w:eastAsia="Arial" w:hAnsi="Arial"/>
                <w:sz w:val="16"/>
                <w:szCs w:val="16"/>
                <w:color w:val="auto"/>
              </w:rPr>
              <w:t>—</w:t>
            </w:r>
          </w:p>
        </w:tc>
        <w:tc>
          <w:tcPr>
            <w:tcW w:w="340" w:type="dxa"/>
            <w:vAlign w:val="bottom"/>
            <w:shd w:val="clear" w:color="auto" w:fill="D4F1F5"/>
          </w:tcPr>
          <w:p>
            <w:pPr>
              <w:spacing w:after="0"/>
              <w:rPr>
                <w:sz w:val="18"/>
                <w:szCs w:val="18"/>
                <w:color w:val="auto"/>
              </w:rPr>
            </w:pPr>
          </w:p>
        </w:tc>
        <w:tc>
          <w:tcPr>
            <w:tcW w:w="840" w:type="dxa"/>
            <w:vAlign w:val="bottom"/>
            <w:shd w:val="clear" w:color="auto" w:fill="D4F1F5"/>
          </w:tcPr>
          <w:p>
            <w:pPr>
              <w:jc w:val="right"/>
              <w:spacing w:after="0"/>
              <w:rPr>
                <w:sz w:val="20"/>
                <w:szCs w:val="20"/>
                <w:color w:val="auto"/>
              </w:rPr>
            </w:pPr>
            <w:r>
              <w:rPr>
                <w:rFonts w:ascii="Arial" w:cs="Arial" w:eastAsia="Arial" w:hAnsi="Arial"/>
                <w:sz w:val="16"/>
                <w:szCs w:val="16"/>
                <w:color w:val="auto"/>
              </w:rPr>
              <w:t>178</w:t>
            </w:r>
          </w:p>
        </w:tc>
        <w:tc>
          <w:tcPr>
            <w:tcW w:w="0" w:type="dxa"/>
            <w:vAlign w:val="bottom"/>
          </w:tcPr>
          <w:p>
            <w:pPr>
              <w:spacing w:after="0"/>
              <w:rPr>
                <w:sz w:val="1"/>
                <w:szCs w:val="1"/>
                <w:color w:val="auto"/>
              </w:rPr>
            </w:pPr>
          </w:p>
        </w:tc>
      </w:tr>
      <w:tr>
        <w:trPr>
          <w:trHeight w:val="215"/>
        </w:trPr>
        <w:tc>
          <w:tcPr>
            <w:tcW w:w="5400" w:type="dxa"/>
            <w:vAlign w:val="bottom"/>
          </w:tcPr>
          <w:p>
            <w:pPr>
              <w:ind w:left="480"/>
              <w:spacing w:after="0"/>
              <w:rPr>
                <w:sz w:val="20"/>
                <w:szCs w:val="20"/>
                <w:color w:val="auto"/>
              </w:rPr>
            </w:pPr>
            <w:r>
              <w:rPr>
                <w:rFonts w:ascii="Arial" w:cs="Arial" w:eastAsia="Arial" w:hAnsi="Arial"/>
                <w:sz w:val="16"/>
                <w:szCs w:val="16"/>
                <w:color w:val="auto"/>
              </w:rPr>
              <w:t>Foreign exchange instruments</w:t>
            </w: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12</w:t>
            </w:r>
          </w:p>
        </w:tc>
        <w:tc>
          <w:tcPr>
            <w:tcW w:w="280" w:type="dxa"/>
            <w:vAlign w:val="bottom"/>
          </w:tcPr>
          <w:p>
            <w:pPr>
              <w:spacing w:after="0"/>
              <w:rPr>
                <w:sz w:val="18"/>
                <w:szCs w:val="18"/>
                <w:color w:val="auto"/>
              </w:rPr>
            </w:pPr>
          </w:p>
        </w:tc>
        <w:tc>
          <w:tcPr>
            <w:tcW w:w="98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12</w:t>
            </w:r>
          </w:p>
        </w:tc>
        <w:tc>
          <w:tcPr>
            <w:tcW w:w="0" w:type="dxa"/>
            <w:vAlign w:val="bottom"/>
          </w:tcPr>
          <w:p>
            <w:pPr>
              <w:spacing w:after="0"/>
              <w:rPr>
                <w:sz w:val="1"/>
                <w:szCs w:val="1"/>
                <w:color w:val="auto"/>
              </w:rPr>
            </w:pPr>
          </w:p>
        </w:tc>
      </w:tr>
      <w:tr>
        <w:trPr>
          <w:trHeight w:val="217"/>
        </w:trPr>
        <w:tc>
          <w:tcPr>
            <w:tcW w:w="5400" w:type="dxa"/>
            <w:vAlign w:val="bottom"/>
            <w:shd w:val="clear" w:color="auto" w:fill="D4F1F5"/>
          </w:tcPr>
          <w:p>
            <w:pPr>
              <w:ind w:left="480"/>
              <w:spacing w:after="0"/>
              <w:rPr>
                <w:sz w:val="20"/>
                <w:szCs w:val="20"/>
                <w:color w:val="auto"/>
              </w:rPr>
            </w:pPr>
            <w:r>
              <w:rPr>
                <w:rFonts w:ascii="Arial" w:cs="Arial" w:eastAsia="Arial" w:hAnsi="Arial"/>
                <w:sz w:val="16"/>
                <w:szCs w:val="16"/>
                <w:color w:val="auto"/>
              </w:rPr>
              <w:t>Commodity contracts not subject to rate recovery</w:t>
            </w:r>
          </w:p>
        </w:tc>
        <w:tc>
          <w:tcPr>
            <w:tcW w:w="220" w:type="dxa"/>
            <w:vAlign w:val="bottom"/>
            <w:tcBorders>
              <w:bottom w:val="single" w:sz="8" w:color="auto"/>
            </w:tcBorders>
            <w:shd w:val="clear" w:color="auto" w:fill="D4F1F5"/>
          </w:tcPr>
          <w:p>
            <w:pPr>
              <w:spacing w:after="0"/>
              <w:rPr>
                <w:sz w:val="18"/>
                <w:szCs w:val="18"/>
                <w:color w:val="auto"/>
              </w:rPr>
            </w:pPr>
          </w:p>
        </w:tc>
        <w:tc>
          <w:tcPr>
            <w:tcW w:w="880" w:type="dxa"/>
            <w:vAlign w:val="bottom"/>
            <w:tcBorders>
              <w:bottom w:val="single" w:sz="8" w:color="auto"/>
            </w:tcBorders>
            <w:shd w:val="clear" w:color="auto" w:fill="D4F1F5"/>
          </w:tcPr>
          <w:p>
            <w:pPr>
              <w:jc w:val="right"/>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auto"/>
            </w:tcBorders>
            <w:shd w:val="clear" w:color="auto" w:fill="D4F1F5"/>
          </w:tcPr>
          <w:p>
            <w:pPr>
              <w:spacing w:after="0"/>
              <w:rPr>
                <w:sz w:val="18"/>
                <w:szCs w:val="18"/>
                <w:color w:val="auto"/>
              </w:rPr>
            </w:pPr>
          </w:p>
        </w:tc>
        <w:tc>
          <w:tcPr>
            <w:tcW w:w="880" w:type="dxa"/>
            <w:vAlign w:val="bottom"/>
            <w:tcBorders>
              <w:bottom w:val="single" w:sz="8" w:color="auto"/>
            </w:tcBorders>
            <w:shd w:val="clear" w:color="auto" w:fill="D4F1F5"/>
          </w:tcPr>
          <w:p>
            <w:pPr>
              <w:jc w:val="right"/>
              <w:spacing w:after="0"/>
              <w:rPr>
                <w:sz w:val="20"/>
                <w:szCs w:val="20"/>
                <w:color w:val="auto"/>
              </w:rPr>
            </w:pPr>
            <w:r>
              <w:rPr>
                <w:rFonts w:ascii="Arial" w:cs="Arial" w:eastAsia="Arial" w:hAnsi="Arial"/>
                <w:sz w:val="16"/>
                <w:szCs w:val="16"/>
                <w:color w:val="auto"/>
              </w:rPr>
              <w:t>218</w:t>
            </w:r>
          </w:p>
        </w:tc>
        <w:tc>
          <w:tcPr>
            <w:tcW w:w="280" w:type="dxa"/>
            <w:vAlign w:val="bottom"/>
            <w:tcBorders>
              <w:bottom w:val="single" w:sz="8" w:color="auto"/>
            </w:tcBorders>
            <w:shd w:val="clear" w:color="auto" w:fill="D4F1F5"/>
          </w:tcPr>
          <w:p>
            <w:pPr>
              <w:spacing w:after="0"/>
              <w:rPr>
                <w:sz w:val="18"/>
                <w:szCs w:val="18"/>
                <w:color w:val="auto"/>
              </w:rPr>
            </w:pPr>
          </w:p>
        </w:tc>
        <w:tc>
          <w:tcPr>
            <w:tcW w:w="980" w:type="dxa"/>
            <w:vAlign w:val="bottom"/>
            <w:tcBorders>
              <w:bottom w:val="single" w:sz="8" w:color="auto"/>
            </w:tcBorders>
            <w:shd w:val="clear" w:color="auto" w:fill="D4F1F5"/>
          </w:tcPr>
          <w:p>
            <w:pPr>
              <w:jc w:val="right"/>
              <w:ind w:right="99"/>
              <w:spacing w:after="0"/>
              <w:rPr>
                <w:sz w:val="20"/>
                <w:szCs w:val="20"/>
                <w:color w:val="auto"/>
              </w:rPr>
            </w:pPr>
            <w:r>
              <w:rPr>
                <w:rFonts w:ascii="Arial" w:cs="Arial" w:eastAsia="Arial" w:hAnsi="Arial"/>
                <w:sz w:val="16"/>
                <w:szCs w:val="16"/>
                <w:color w:val="auto"/>
              </w:rPr>
              <w:t>8</w:t>
            </w:r>
          </w:p>
        </w:tc>
        <w:tc>
          <w:tcPr>
            <w:tcW w:w="180" w:type="dxa"/>
            <w:vAlign w:val="bottom"/>
            <w:tcBorders>
              <w:bottom w:val="single" w:sz="8" w:color="auto"/>
            </w:tcBorders>
            <w:shd w:val="clear" w:color="auto" w:fill="D4F1F5"/>
          </w:tcPr>
          <w:p>
            <w:pPr>
              <w:spacing w:after="0"/>
              <w:rPr>
                <w:sz w:val="18"/>
                <w:szCs w:val="18"/>
                <w:color w:val="auto"/>
              </w:rPr>
            </w:pPr>
          </w:p>
        </w:tc>
        <w:tc>
          <w:tcPr>
            <w:tcW w:w="900" w:type="dxa"/>
            <w:vAlign w:val="bottom"/>
            <w:tcBorders>
              <w:bottom w:val="single" w:sz="8" w:color="auto"/>
            </w:tcBorders>
            <w:shd w:val="clear" w:color="auto" w:fill="D4F1F5"/>
          </w:tcPr>
          <w:p>
            <w:pPr>
              <w:jc w:val="right"/>
              <w:spacing w:after="0"/>
              <w:rPr>
                <w:sz w:val="20"/>
                <w:szCs w:val="20"/>
                <w:color w:val="auto"/>
              </w:rPr>
            </w:pPr>
            <w:r>
              <w:rPr>
                <w:rFonts w:ascii="Arial" w:cs="Arial" w:eastAsia="Arial" w:hAnsi="Arial"/>
                <w:sz w:val="16"/>
                <w:szCs w:val="16"/>
                <w:color w:val="auto"/>
              </w:rPr>
              <w:t>51</w:t>
            </w:r>
          </w:p>
        </w:tc>
        <w:tc>
          <w:tcPr>
            <w:tcW w:w="340" w:type="dxa"/>
            <w:vAlign w:val="bottom"/>
            <w:tcBorders>
              <w:bottom w:val="single" w:sz="8" w:color="auto"/>
            </w:tcBorders>
            <w:shd w:val="clear" w:color="auto" w:fill="D4F1F5"/>
          </w:tcPr>
          <w:p>
            <w:pPr>
              <w:spacing w:after="0"/>
              <w:rPr>
                <w:sz w:val="18"/>
                <w:szCs w:val="18"/>
                <w:color w:val="auto"/>
              </w:rPr>
            </w:pPr>
          </w:p>
        </w:tc>
        <w:tc>
          <w:tcPr>
            <w:tcW w:w="840" w:type="dxa"/>
            <w:vAlign w:val="bottom"/>
            <w:tcBorders>
              <w:bottom w:val="single" w:sz="8" w:color="auto"/>
            </w:tcBorders>
            <w:shd w:val="clear" w:color="auto" w:fill="D4F1F5"/>
          </w:tcPr>
          <w:p>
            <w:pPr>
              <w:jc w:val="right"/>
              <w:spacing w:after="0"/>
              <w:rPr>
                <w:sz w:val="20"/>
                <w:szCs w:val="20"/>
                <w:color w:val="auto"/>
              </w:rPr>
            </w:pPr>
            <w:r>
              <w:rPr>
                <w:rFonts w:ascii="Arial" w:cs="Arial" w:eastAsia="Arial" w:hAnsi="Arial"/>
                <w:sz w:val="16"/>
                <w:szCs w:val="16"/>
                <w:color w:val="auto"/>
              </w:rPr>
              <w:t>277</w:t>
            </w:r>
          </w:p>
        </w:tc>
        <w:tc>
          <w:tcPr>
            <w:tcW w:w="0" w:type="dxa"/>
            <w:vAlign w:val="bottom"/>
          </w:tcPr>
          <w:p>
            <w:pPr>
              <w:spacing w:after="0"/>
              <w:rPr>
                <w:sz w:val="1"/>
                <w:szCs w:val="1"/>
                <w:color w:val="auto"/>
              </w:rPr>
            </w:pPr>
          </w:p>
        </w:tc>
      </w:tr>
      <w:tr>
        <w:trPr>
          <w:trHeight w:val="209"/>
        </w:trPr>
        <w:tc>
          <w:tcPr>
            <w:tcW w:w="5400" w:type="dxa"/>
            <w:vAlign w:val="bottom"/>
            <w:tcBorders>
              <w:bottom w:val="single" w:sz="8" w:color="D4F1F5"/>
            </w:tcBorders>
          </w:tcPr>
          <w:p>
            <w:pPr>
              <w:ind w:left="260"/>
              <w:spacing w:after="0"/>
              <w:rPr>
                <w:sz w:val="20"/>
                <w:szCs w:val="20"/>
                <w:color w:val="auto"/>
              </w:rPr>
            </w:pPr>
            <w:r>
              <w:rPr>
                <w:rFonts w:ascii="Arial" w:cs="Arial" w:eastAsia="Arial" w:hAnsi="Arial"/>
                <w:sz w:val="16"/>
                <w:szCs w:val="16"/>
                <w:color w:val="auto"/>
              </w:rPr>
              <w:t>Total assets held for sale</w:t>
            </w:r>
          </w:p>
        </w:tc>
        <w:tc>
          <w:tcPr>
            <w:tcW w:w="2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408</w:t>
            </w: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8</w:t>
            </w:r>
          </w:p>
        </w:tc>
        <w:tc>
          <w:tcPr>
            <w:tcW w:w="1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w:t>
            </w:r>
          </w:p>
        </w:tc>
        <w:tc>
          <w:tcPr>
            <w:tcW w:w="3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467</w:t>
            </w:r>
          </w:p>
        </w:tc>
        <w:tc>
          <w:tcPr>
            <w:tcW w:w="0" w:type="dxa"/>
            <w:vAlign w:val="bottom"/>
          </w:tcPr>
          <w:p>
            <w:pPr>
              <w:spacing w:after="0"/>
              <w:rPr>
                <w:sz w:val="1"/>
                <w:szCs w:val="1"/>
                <w:color w:val="auto"/>
              </w:rPr>
            </w:pPr>
          </w:p>
        </w:tc>
      </w:tr>
      <w:tr>
        <w:trPr>
          <w:trHeight w:val="230"/>
        </w:trPr>
        <w:tc>
          <w:tcPr>
            <w:tcW w:w="5400" w:type="dxa"/>
            <w:vAlign w:val="bottom"/>
            <w:tcBorders>
              <w:bottom w:val="single" w:sz="8" w:color="D4F1F5"/>
            </w:tcBorders>
            <w:shd w:val="clear" w:color="auto" w:fill="D4F1F5"/>
          </w:tcPr>
          <w:p>
            <w:pPr>
              <w:ind w:left="20"/>
              <w:spacing w:after="0"/>
              <w:rPr>
                <w:sz w:val="20"/>
                <w:szCs w:val="20"/>
                <w:color w:val="auto"/>
              </w:rPr>
            </w:pPr>
            <w:r>
              <w:rPr>
                <w:rFonts w:ascii="Arial" w:cs="Arial" w:eastAsia="Arial" w:hAnsi="Arial"/>
                <w:sz w:val="16"/>
                <w:szCs w:val="16"/>
                <w:color w:val="auto"/>
              </w:rPr>
              <w:t>Total assets</w:t>
            </w:r>
          </w:p>
        </w:tc>
        <w:tc>
          <w:tcPr>
            <w:tcW w:w="220" w:type="dxa"/>
            <w:vAlign w:val="bottom"/>
            <w:tcBorders>
              <w:bottom w:val="single" w:sz="8" w:color="auto"/>
            </w:tcBorders>
            <w:shd w:val="clear" w:color="auto" w:fill="D4F1F5"/>
          </w:tcPr>
          <w:p>
            <w:pPr>
              <w:jc w:val="right"/>
              <w:ind w:right="1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shd w:val="clear" w:color="auto" w:fill="D4F1F5"/>
          </w:tcPr>
          <w:p>
            <w:pPr>
              <w:jc w:val="right"/>
              <w:spacing w:after="0"/>
              <w:rPr>
                <w:sz w:val="20"/>
                <w:szCs w:val="20"/>
                <w:color w:val="auto"/>
              </w:rPr>
            </w:pPr>
            <w:r>
              <w:rPr>
                <w:rFonts w:ascii="Arial" w:cs="Arial" w:eastAsia="Arial" w:hAnsi="Arial"/>
                <w:sz w:val="16"/>
                <w:szCs w:val="16"/>
                <w:color w:val="auto"/>
              </w:rPr>
              <w:t>407</w:t>
            </w:r>
          </w:p>
        </w:tc>
        <w:tc>
          <w:tcPr>
            <w:tcW w:w="300" w:type="dxa"/>
            <w:vAlign w:val="bottom"/>
            <w:tcBorders>
              <w:bottom w:val="single" w:sz="8" w:color="auto"/>
            </w:tcBorders>
            <w:shd w:val="clear" w:color="auto" w:fill="D4F1F5"/>
          </w:tcPr>
          <w:p>
            <w:pPr>
              <w:jc w:val="right"/>
              <w:ind w:right="1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shd w:val="clear" w:color="auto" w:fill="D4F1F5"/>
          </w:tcPr>
          <w:p>
            <w:pPr>
              <w:jc w:val="right"/>
              <w:spacing w:after="0"/>
              <w:rPr>
                <w:sz w:val="20"/>
                <w:szCs w:val="20"/>
                <w:color w:val="auto"/>
              </w:rPr>
            </w:pPr>
            <w:r>
              <w:rPr>
                <w:rFonts w:ascii="Arial" w:cs="Arial" w:eastAsia="Arial" w:hAnsi="Arial"/>
                <w:sz w:val="16"/>
                <w:szCs w:val="16"/>
                <w:color w:val="auto"/>
              </w:rPr>
              <w:t>990</w:t>
            </w:r>
          </w:p>
        </w:tc>
        <w:tc>
          <w:tcPr>
            <w:tcW w:w="280" w:type="dxa"/>
            <w:vAlign w:val="bottom"/>
            <w:tcBorders>
              <w:bottom w:val="single" w:sz="8" w:color="auto"/>
            </w:tcBorders>
            <w:shd w:val="clear" w:color="auto" w:fill="D4F1F5"/>
          </w:tcPr>
          <w:p>
            <w:pPr>
              <w:jc w:val="right"/>
              <w:ind w:right="1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shd w:val="clear" w:color="auto" w:fill="D4F1F5"/>
          </w:tcPr>
          <w:p>
            <w:pPr>
              <w:jc w:val="right"/>
              <w:ind w:right="99"/>
              <w:spacing w:after="0"/>
              <w:rPr>
                <w:sz w:val="20"/>
                <w:szCs w:val="20"/>
                <w:color w:val="auto"/>
              </w:rPr>
            </w:pPr>
            <w:r>
              <w:rPr>
                <w:rFonts w:ascii="Arial" w:cs="Arial" w:eastAsia="Arial" w:hAnsi="Arial"/>
                <w:sz w:val="16"/>
                <w:szCs w:val="16"/>
                <w:color w:val="auto"/>
              </w:rPr>
              <w:t>59</w:t>
            </w:r>
          </w:p>
        </w:tc>
        <w:tc>
          <w:tcPr>
            <w:tcW w:w="180" w:type="dxa"/>
            <w:vAlign w:val="bottom"/>
            <w:tcBorders>
              <w:bottom w:val="single" w:sz="8" w:color="auto"/>
            </w:tcBorders>
            <w:shd w:val="clear" w:color="auto" w:fill="D4F1F5"/>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auto"/>
            </w:tcBorders>
            <w:shd w:val="clear" w:color="auto" w:fill="D4F1F5"/>
          </w:tcPr>
          <w:p>
            <w:pPr>
              <w:jc w:val="right"/>
              <w:spacing w:after="0"/>
              <w:rPr>
                <w:sz w:val="20"/>
                <w:szCs w:val="20"/>
                <w:color w:val="auto"/>
              </w:rPr>
            </w:pPr>
            <w:r>
              <w:rPr>
                <w:rFonts w:ascii="Arial" w:cs="Arial" w:eastAsia="Arial" w:hAnsi="Arial"/>
                <w:sz w:val="16"/>
                <w:szCs w:val="16"/>
                <w:color w:val="auto"/>
              </w:rPr>
              <w:t>69</w:t>
            </w:r>
          </w:p>
        </w:tc>
        <w:tc>
          <w:tcPr>
            <w:tcW w:w="340" w:type="dxa"/>
            <w:vAlign w:val="bottom"/>
            <w:tcBorders>
              <w:bottom w:val="single" w:sz="8" w:color="auto"/>
            </w:tcBorders>
            <w:shd w:val="clear" w:color="auto" w:fill="D4F1F5"/>
          </w:tcPr>
          <w:p>
            <w:pPr>
              <w:jc w:val="right"/>
              <w:ind w:right="59"/>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shd w:val="clear" w:color="auto" w:fill="D4F1F5"/>
          </w:tcPr>
          <w:p>
            <w:pPr>
              <w:jc w:val="right"/>
              <w:spacing w:after="0"/>
              <w:rPr>
                <w:sz w:val="20"/>
                <w:szCs w:val="20"/>
                <w:color w:val="auto"/>
              </w:rPr>
            </w:pPr>
            <w:r>
              <w:rPr>
                <w:rFonts w:ascii="Arial" w:cs="Arial" w:eastAsia="Arial" w:hAnsi="Arial"/>
                <w:sz w:val="16"/>
                <w:szCs w:val="16"/>
                <w:color w:val="auto"/>
              </w:rPr>
              <w:t>1,525</w:t>
            </w:r>
          </w:p>
        </w:tc>
        <w:tc>
          <w:tcPr>
            <w:tcW w:w="0" w:type="dxa"/>
            <w:vAlign w:val="bottom"/>
          </w:tcPr>
          <w:p>
            <w:pPr>
              <w:spacing w:after="0"/>
              <w:rPr>
                <w:sz w:val="1"/>
                <w:szCs w:val="1"/>
                <w:color w:val="auto"/>
              </w:rPr>
            </w:pPr>
          </w:p>
        </w:tc>
      </w:tr>
      <w:tr>
        <w:trPr>
          <w:trHeight w:val="202"/>
        </w:trPr>
        <w:tc>
          <w:tcPr>
            <w:tcW w:w="5400" w:type="dxa"/>
            <w:vAlign w:val="bottom"/>
          </w:tcPr>
          <w:p>
            <w:pPr>
              <w:ind w:left="20"/>
              <w:spacing w:after="0"/>
              <w:rPr>
                <w:sz w:val="20"/>
                <w:szCs w:val="20"/>
                <w:color w:val="auto"/>
              </w:rPr>
            </w:pPr>
            <w:r>
              <w:rPr>
                <w:rFonts w:ascii="Arial" w:cs="Arial" w:eastAsia="Arial" w:hAnsi="Arial"/>
                <w:sz w:val="16"/>
                <w:szCs w:val="16"/>
                <w:color w:val="auto"/>
              </w:rPr>
              <w:t>Liabilities:</w:t>
            </w: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5400" w:type="dxa"/>
            <w:vAlign w:val="bottom"/>
            <w:shd w:val="clear" w:color="auto" w:fill="D4F1F5"/>
          </w:tcPr>
          <w:p>
            <w:pPr>
              <w:ind w:left="240"/>
              <w:spacing w:after="0"/>
              <w:rPr>
                <w:sz w:val="20"/>
                <w:szCs w:val="20"/>
                <w:color w:val="auto"/>
              </w:rPr>
            </w:pPr>
            <w:r>
              <w:rPr>
                <w:rFonts w:ascii="Arial" w:cs="Arial" w:eastAsia="Arial" w:hAnsi="Arial"/>
                <w:sz w:val="16"/>
                <w:szCs w:val="16"/>
                <w:color w:val="auto"/>
              </w:rPr>
              <w:t>Foreign exchange instruments</w:t>
            </w:r>
          </w:p>
        </w:tc>
        <w:tc>
          <w:tcPr>
            <w:tcW w:w="220" w:type="dxa"/>
            <w:vAlign w:val="bottom"/>
            <w:shd w:val="clear" w:color="auto" w:fill="D4F1F5"/>
          </w:tcPr>
          <w:p>
            <w:pPr>
              <w:jc w:val="right"/>
              <w:ind w:right="19"/>
              <w:spacing w:after="0"/>
              <w:rPr>
                <w:sz w:val="20"/>
                <w:szCs w:val="20"/>
                <w:color w:val="auto"/>
              </w:rPr>
            </w:pPr>
            <w:r>
              <w:rPr>
                <w:rFonts w:ascii="Arial" w:cs="Arial" w:eastAsia="Arial" w:hAnsi="Arial"/>
                <w:sz w:val="16"/>
                <w:szCs w:val="16"/>
                <w:color w:val="auto"/>
              </w:rPr>
              <w:t>$</w:t>
            </w:r>
          </w:p>
        </w:tc>
        <w:tc>
          <w:tcPr>
            <w:tcW w:w="880" w:type="dxa"/>
            <w:vAlign w:val="bottom"/>
            <w:shd w:val="clear" w:color="auto" w:fill="D4F1F5"/>
          </w:tcPr>
          <w:p>
            <w:pPr>
              <w:jc w:val="right"/>
              <w:spacing w:after="0"/>
              <w:rPr>
                <w:sz w:val="20"/>
                <w:szCs w:val="20"/>
                <w:color w:val="auto"/>
              </w:rPr>
            </w:pPr>
            <w:r>
              <w:rPr>
                <w:rFonts w:ascii="Arial" w:cs="Arial" w:eastAsia="Arial" w:hAnsi="Arial"/>
                <w:sz w:val="16"/>
                <w:szCs w:val="16"/>
                <w:color w:val="auto"/>
              </w:rPr>
              <w:t>—</w:t>
            </w:r>
          </w:p>
        </w:tc>
        <w:tc>
          <w:tcPr>
            <w:tcW w:w="300" w:type="dxa"/>
            <w:vAlign w:val="bottom"/>
            <w:shd w:val="clear" w:color="auto" w:fill="D4F1F5"/>
          </w:tcPr>
          <w:p>
            <w:pPr>
              <w:jc w:val="right"/>
              <w:ind w:right="19"/>
              <w:spacing w:after="0"/>
              <w:rPr>
                <w:sz w:val="20"/>
                <w:szCs w:val="20"/>
                <w:color w:val="auto"/>
              </w:rPr>
            </w:pPr>
            <w:r>
              <w:rPr>
                <w:rFonts w:ascii="Arial" w:cs="Arial" w:eastAsia="Arial" w:hAnsi="Arial"/>
                <w:sz w:val="16"/>
                <w:szCs w:val="16"/>
                <w:color w:val="auto"/>
              </w:rPr>
              <w:t>$</w:t>
            </w:r>
          </w:p>
        </w:tc>
        <w:tc>
          <w:tcPr>
            <w:tcW w:w="880" w:type="dxa"/>
            <w:vAlign w:val="bottom"/>
            <w:shd w:val="clear" w:color="auto" w:fill="D4F1F5"/>
          </w:tcPr>
          <w:p>
            <w:pPr>
              <w:jc w:val="right"/>
              <w:spacing w:after="0"/>
              <w:rPr>
                <w:sz w:val="20"/>
                <w:szCs w:val="20"/>
                <w:color w:val="auto"/>
              </w:rPr>
            </w:pPr>
            <w:r>
              <w:rPr>
                <w:rFonts w:ascii="Arial" w:cs="Arial" w:eastAsia="Arial" w:hAnsi="Arial"/>
                <w:sz w:val="16"/>
                <w:szCs w:val="16"/>
                <w:color w:val="auto"/>
              </w:rPr>
              <w:t>3</w:t>
            </w:r>
          </w:p>
        </w:tc>
        <w:tc>
          <w:tcPr>
            <w:tcW w:w="280" w:type="dxa"/>
            <w:vAlign w:val="bottom"/>
            <w:shd w:val="clear" w:color="auto" w:fill="D4F1F5"/>
          </w:tcPr>
          <w:p>
            <w:pPr>
              <w:jc w:val="right"/>
              <w:ind w:right="19"/>
              <w:spacing w:after="0"/>
              <w:rPr>
                <w:sz w:val="20"/>
                <w:szCs w:val="20"/>
                <w:color w:val="auto"/>
              </w:rPr>
            </w:pPr>
            <w:r>
              <w:rPr>
                <w:rFonts w:ascii="Arial" w:cs="Arial" w:eastAsia="Arial" w:hAnsi="Arial"/>
                <w:sz w:val="16"/>
                <w:szCs w:val="16"/>
                <w:color w:val="auto"/>
              </w:rPr>
              <w:t>$</w:t>
            </w:r>
          </w:p>
        </w:tc>
        <w:tc>
          <w:tcPr>
            <w:tcW w:w="980" w:type="dxa"/>
            <w:vAlign w:val="bottom"/>
            <w:shd w:val="clear" w:color="auto" w:fill="D4F1F5"/>
          </w:tcPr>
          <w:p>
            <w:pPr>
              <w:jc w:val="right"/>
              <w:ind w:right="99"/>
              <w:spacing w:after="0"/>
              <w:rPr>
                <w:sz w:val="20"/>
                <w:szCs w:val="20"/>
                <w:color w:val="auto"/>
              </w:rPr>
            </w:pPr>
            <w:r>
              <w:rPr>
                <w:rFonts w:ascii="Arial" w:cs="Arial" w:eastAsia="Arial" w:hAnsi="Arial"/>
                <w:sz w:val="16"/>
                <w:szCs w:val="16"/>
                <w:color w:val="auto"/>
              </w:rPr>
              <w:t>—</w:t>
            </w:r>
          </w:p>
        </w:tc>
        <w:tc>
          <w:tcPr>
            <w:tcW w:w="180" w:type="dxa"/>
            <w:vAlign w:val="bottom"/>
            <w:shd w:val="clear" w:color="auto" w:fill="D4F1F5"/>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D4F1F5"/>
          </w:tcPr>
          <w:p>
            <w:pPr>
              <w:jc w:val="right"/>
              <w:spacing w:after="0"/>
              <w:rPr>
                <w:sz w:val="20"/>
                <w:szCs w:val="20"/>
                <w:color w:val="auto"/>
              </w:rPr>
            </w:pPr>
            <w:r>
              <w:rPr>
                <w:rFonts w:ascii="Arial" w:cs="Arial" w:eastAsia="Arial" w:hAnsi="Arial"/>
                <w:sz w:val="16"/>
                <w:szCs w:val="16"/>
                <w:color w:val="auto"/>
              </w:rPr>
              <w:t>—</w:t>
            </w:r>
          </w:p>
        </w:tc>
        <w:tc>
          <w:tcPr>
            <w:tcW w:w="340" w:type="dxa"/>
            <w:vAlign w:val="bottom"/>
            <w:shd w:val="clear" w:color="auto" w:fill="D4F1F5"/>
          </w:tcPr>
          <w:p>
            <w:pPr>
              <w:jc w:val="right"/>
              <w:ind w:right="59"/>
              <w:spacing w:after="0"/>
              <w:rPr>
                <w:sz w:val="20"/>
                <w:szCs w:val="20"/>
                <w:color w:val="auto"/>
              </w:rPr>
            </w:pPr>
            <w:r>
              <w:rPr>
                <w:rFonts w:ascii="Arial" w:cs="Arial" w:eastAsia="Arial" w:hAnsi="Arial"/>
                <w:sz w:val="16"/>
                <w:szCs w:val="16"/>
                <w:color w:val="auto"/>
              </w:rPr>
              <w:t>$</w:t>
            </w:r>
          </w:p>
        </w:tc>
        <w:tc>
          <w:tcPr>
            <w:tcW w:w="840" w:type="dxa"/>
            <w:vAlign w:val="bottom"/>
            <w:shd w:val="clear" w:color="auto" w:fill="D4F1F5"/>
          </w:tcPr>
          <w:p>
            <w:pPr>
              <w:jc w:val="right"/>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15"/>
        </w:trPr>
        <w:tc>
          <w:tcPr>
            <w:tcW w:w="5400" w:type="dxa"/>
            <w:vAlign w:val="bottom"/>
            <w:tcBorders>
              <w:bottom w:val="single" w:sz="8" w:color="D4F1F5"/>
            </w:tcBorders>
          </w:tcPr>
          <w:p>
            <w:pPr>
              <w:ind w:left="240"/>
              <w:spacing w:after="0"/>
              <w:rPr>
                <w:sz w:val="20"/>
                <w:szCs w:val="20"/>
                <w:color w:val="auto"/>
              </w:rPr>
            </w:pPr>
            <w:r>
              <w:rPr>
                <w:rFonts w:ascii="Arial" w:cs="Arial" w:eastAsia="Arial" w:hAnsi="Arial"/>
                <w:sz w:val="16"/>
                <w:szCs w:val="16"/>
                <w:color w:val="auto"/>
              </w:rPr>
              <w:t>Commodity contracts subject to rate recovery</w:t>
            </w:r>
          </w:p>
        </w:tc>
        <w:tc>
          <w:tcPr>
            <w:tcW w:w="2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w:t>
            </w:r>
          </w:p>
        </w:tc>
        <w:tc>
          <w:tcPr>
            <w:tcW w:w="3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w:t>
            </w: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w:t>
            </w:r>
          </w:p>
        </w:tc>
        <w:tc>
          <w:tcPr>
            <w:tcW w:w="3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w:t>
            </w:r>
          </w:p>
        </w:tc>
        <w:tc>
          <w:tcPr>
            <w:tcW w:w="0" w:type="dxa"/>
            <w:vAlign w:val="bottom"/>
          </w:tcPr>
          <w:p>
            <w:pPr>
              <w:spacing w:after="0"/>
              <w:rPr>
                <w:sz w:val="1"/>
                <w:szCs w:val="1"/>
                <w:color w:val="auto"/>
              </w:rPr>
            </w:pPr>
          </w:p>
        </w:tc>
      </w:tr>
      <w:tr>
        <w:trPr>
          <w:trHeight w:val="210"/>
        </w:trPr>
        <w:tc>
          <w:tcPr>
            <w:tcW w:w="5400" w:type="dxa"/>
            <w:vAlign w:val="bottom"/>
            <w:shd w:val="clear" w:color="auto" w:fill="D4F1F5"/>
          </w:tcPr>
          <w:p>
            <w:pPr>
              <w:spacing w:after="0"/>
              <w:rPr>
                <w:sz w:val="18"/>
                <w:szCs w:val="18"/>
                <w:color w:val="auto"/>
              </w:rPr>
            </w:pPr>
          </w:p>
        </w:tc>
        <w:tc>
          <w:tcPr>
            <w:tcW w:w="220" w:type="dxa"/>
            <w:vAlign w:val="bottom"/>
            <w:tcBorders>
              <w:bottom w:val="single" w:sz="8" w:color="auto"/>
            </w:tcBorders>
            <w:shd w:val="clear" w:color="auto" w:fill="D4F1F5"/>
          </w:tcPr>
          <w:p>
            <w:pPr>
              <w:spacing w:after="0"/>
              <w:rPr>
                <w:sz w:val="18"/>
                <w:szCs w:val="18"/>
                <w:color w:val="auto"/>
              </w:rPr>
            </w:pPr>
          </w:p>
        </w:tc>
        <w:tc>
          <w:tcPr>
            <w:tcW w:w="880" w:type="dxa"/>
            <w:vAlign w:val="bottom"/>
            <w:tcBorders>
              <w:bottom w:val="single" w:sz="8" w:color="auto"/>
            </w:tcBorders>
            <w:shd w:val="clear" w:color="auto" w:fill="D4F1F5"/>
          </w:tcPr>
          <w:p>
            <w:pPr>
              <w:jc w:val="right"/>
              <w:spacing w:after="0"/>
              <w:rPr>
                <w:sz w:val="20"/>
                <w:szCs w:val="20"/>
                <w:color w:val="auto"/>
              </w:rPr>
            </w:pPr>
            <w:r>
              <w:rPr>
                <w:rFonts w:ascii="Arial" w:cs="Arial" w:eastAsia="Arial" w:hAnsi="Arial"/>
                <w:sz w:val="16"/>
                <w:szCs w:val="16"/>
                <w:color w:val="auto"/>
              </w:rPr>
              <w:t>17</w:t>
            </w:r>
          </w:p>
        </w:tc>
        <w:tc>
          <w:tcPr>
            <w:tcW w:w="300" w:type="dxa"/>
            <w:vAlign w:val="bottom"/>
            <w:tcBorders>
              <w:bottom w:val="single" w:sz="8" w:color="auto"/>
            </w:tcBorders>
            <w:shd w:val="clear" w:color="auto" w:fill="D4F1F5"/>
          </w:tcPr>
          <w:p>
            <w:pPr>
              <w:spacing w:after="0"/>
              <w:rPr>
                <w:sz w:val="18"/>
                <w:szCs w:val="18"/>
                <w:color w:val="auto"/>
              </w:rPr>
            </w:pPr>
          </w:p>
        </w:tc>
        <w:tc>
          <w:tcPr>
            <w:tcW w:w="880" w:type="dxa"/>
            <w:vAlign w:val="bottom"/>
            <w:tcBorders>
              <w:bottom w:val="single" w:sz="8" w:color="auto"/>
            </w:tcBorders>
            <w:shd w:val="clear" w:color="auto" w:fill="D4F1F5"/>
          </w:tcPr>
          <w:p>
            <w:pPr>
              <w:jc w:val="right"/>
              <w:spacing w:after="0"/>
              <w:rPr>
                <w:sz w:val="20"/>
                <w:szCs w:val="20"/>
                <w:color w:val="auto"/>
              </w:rPr>
            </w:pPr>
            <w:r>
              <w:rPr>
                <w:rFonts w:ascii="Arial" w:cs="Arial" w:eastAsia="Arial" w:hAnsi="Arial"/>
                <w:sz w:val="16"/>
                <w:szCs w:val="16"/>
                <w:color w:val="auto"/>
              </w:rPr>
              <w:t>27</w:t>
            </w:r>
          </w:p>
        </w:tc>
        <w:tc>
          <w:tcPr>
            <w:tcW w:w="280" w:type="dxa"/>
            <w:vAlign w:val="bottom"/>
            <w:tcBorders>
              <w:bottom w:val="single" w:sz="8" w:color="auto"/>
            </w:tcBorders>
            <w:shd w:val="clear" w:color="auto" w:fill="D4F1F5"/>
          </w:tcPr>
          <w:p>
            <w:pPr>
              <w:spacing w:after="0"/>
              <w:rPr>
                <w:sz w:val="18"/>
                <w:szCs w:val="18"/>
                <w:color w:val="auto"/>
              </w:rPr>
            </w:pPr>
          </w:p>
        </w:tc>
        <w:tc>
          <w:tcPr>
            <w:tcW w:w="980" w:type="dxa"/>
            <w:vAlign w:val="bottom"/>
            <w:tcBorders>
              <w:bottom w:val="single" w:sz="8" w:color="auto"/>
            </w:tcBorders>
            <w:shd w:val="clear" w:color="auto" w:fill="D4F1F5"/>
          </w:tcPr>
          <w:p>
            <w:pPr>
              <w:jc w:val="right"/>
              <w:ind w:right="99"/>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auto"/>
            </w:tcBorders>
            <w:shd w:val="clear" w:color="auto" w:fill="D4F1F5"/>
          </w:tcPr>
          <w:p>
            <w:pPr>
              <w:spacing w:after="0"/>
              <w:rPr>
                <w:sz w:val="18"/>
                <w:szCs w:val="18"/>
                <w:color w:val="auto"/>
              </w:rPr>
            </w:pPr>
          </w:p>
        </w:tc>
        <w:tc>
          <w:tcPr>
            <w:tcW w:w="900" w:type="dxa"/>
            <w:vAlign w:val="bottom"/>
            <w:tcBorders>
              <w:bottom w:val="single" w:sz="8" w:color="auto"/>
            </w:tcBorders>
            <w:shd w:val="clear" w:color="auto" w:fill="D4F1F5"/>
          </w:tcPr>
          <w:p>
            <w:pPr>
              <w:jc w:val="right"/>
              <w:spacing w:after="0"/>
              <w:rPr>
                <w:sz w:val="20"/>
                <w:szCs w:val="20"/>
                <w:color w:val="auto"/>
              </w:rPr>
            </w:pPr>
            <w:r>
              <w:rPr>
                <w:rFonts w:ascii="Arial" w:cs="Arial" w:eastAsia="Arial" w:hAnsi="Arial"/>
                <w:sz w:val="16"/>
                <w:szCs w:val="16"/>
                <w:color w:val="auto"/>
              </w:rPr>
              <w:t>(23)</w:t>
            </w:r>
          </w:p>
        </w:tc>
        <w:tc>
          <w:tcPr>
            <w:tcW w:w="340" w:type="dxa"/>
            <w:vAlign w:val="bottom"/>
            <w:tcBorders>
              <w:bottom w:val="single" w:sz="8" w:color="auto"/>
            </w:tcBorders>
            <w:shd w:val="clear" w:color="auto" w:fill="D4F1F5"/>
          </w:tcPr>
          <w:p>
            <w:pPr>
              <w:spacing w:after="0"/>
              <w:rPr>
                <w:sz w:val="18"/>
                <w:szCs w:val="18"/>
                <w:color w:val="auto"/>
              </w:rPr>
            </w:pPr>
          </w:p>
        </w:tc>
        <w:tc>
          <w:tcPr>
            <w:tcW w:w="840" w:type="dxa"/>
            <w:vAlign w:val="bottom"/>
            <w:tcBorders>
              <w:bottom w:val="single" w:sz="8" w:color="auto"/>
            </w:tcBorders>
            <w:shd w:val="clear" w:color="auto" w:fill="D4F1F5"/>
          </w:tcPr>
          <w:p>
            <w:pPr>
              <w:jc w:val="right"/>
              <w:spacing w:after="0"/>
              <w:rPr>
                <w:sz w:val="20"/>
                <w:szCs w:val="20"/>
                <w:color w:val="auto"/>
              </w:rPr>
            </w:pPr>
            <w:r>
              <w:rPr>
                <w:rFonts w:ascii="Arial" w:cs="Arial" w:eastAsia="Arial" w:hAnsi="Arial"/>
                <w:sz w:val="16"/>
                <w:szCs w:val="16"/>
                <w:color w:val="auto"/>
              </w:rPr>
              <w:t>21</w:t>
            </w:r>
          </w:p>
        </w:tc>
        <w:tc>
          <w:tcPr>
            <w:tcW w:w="0" w:type="dxa"/>
            <w:vAlign w:val="bottom"/>
          </w:tcPr>
          <w:p>
            <w:pPr>
              <w:spacing w:after="0"/>
              <w:rPr>
                <w:sz w:val="1"/>
                <w:szCs w:val="1"/>
                <w:color w:val="auto"/>
              </w:rPr>
            </w:pPr>
          </w:p>
        </w:tc>
      </w:tr>
      <w:tr>
        <w:trPr>
          <w:trHeight w:val="195"/>
        </w:trPr>
        <w:tc>
          <w:tcPr>
            <w:tcW w:w="5400" w:type="dxa"/>
            <w:vAlign w:val="bottom"/>
          </w:tcPr>
          <w:p>
            <w:pPr>
              <w:ind w:left="260"/>
              <w:spacing w:after="0"/>
              <w:rPr>
                <w:sz w:val="20"/>
                <w:szCs w:val="20"/>
                <w:color w:val="auto"/>
              </w:rPr>
            </w:pPr>
            <w:r>
              <w:rPr>
                <w:rFonts w:ascii="Arial" w:cs="Arial" w:eastAsia="Arial" w:hAnsi="Arial"/>
                <w:sz w:val="16"/>
                <w:szCs w:val="16"/>
                <w:color w:val="auto"/>
              </w:rPr>
              <w:t>Liabilities held for sale:</w:t>
            </w: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5400" w:type="dxa"/>
            <w:vAlign w:val="bottom"/>
            <w:shd w:val="clear" w:color="auto" w:fill="D4F1F5"/>
          </w:tcPr>
          <w:p>
            <w:pPr>
              <w:ind w:left="480"/>
              <w:spacing w:after="0"/>
              <w:rPr>
                <w:sz w:val="20"/>
                <w:szCs w:val="20"/>
                <w:color w:val="auto"/>
              </w:rPr>
            </w:pPr>
            <w:r>
              <w:rPr>
                <w:rFonts w:ascii="Arial" w:cs="Arial" w:eastAsia="Arial" w:hAnsi="Arial"/>
                <w:sz w:val="16"/>
                <w:szCs w:val="16"/>
                <w:color w:val="auto"/>
              </w:rPr>
              <w:t>Foreign exchange instruments</w:t>
            </w:r>
          </w:p>
        </w:tc>
        <w:tc>
          <w:tcPr>
            <w:tcW w:w="220" w:type="dxa"/>
            <w:vAlign w:val="bottom"/>
            <w:shd w:val="clear" w:color="auto" w:fill="D4F1F5"/>
          </w:tcPr>
          <w:p>
            <w:pPr>
              <w:spacing w:after="0"/>
              <w:rPr>
                <w:sz w:val="18"/>
                <w:szCs w:val="18"/>
                <w:color w:val="auto"/>
              </w:rPr>
            </w:pPr>
          </w:p>
        </w:tc>
        <w:tc>
          <w:tcPr>
            <w:tcW w:w="880" w:type="dxa"/>
            <w:vAlign w:val="bottom"/>
            <w:shd w:val="clear" w:color="auto" w:fill="D4F1F5"/>
          </w:tcPr>
          <w:p>
            <w:pPr>
              <w:jc w:val="right"/>
              <w:spacing w:after="0"/>
              <w:rPr>
                <w:sz w:val="20"/>
                <w:szCs w:val="20"/>
                <w:color w:val="auto"/>
              </w:rPr>
            </w:pPr>
            <w:r>
              <w:rPr>
                <w:rFonts w:ascii="Arial" w:cs="Arial" w:eastAsia="Arial" w:hAnsi="Arial"/>
                <w:sz w:val="16"/>
                <w:szCs w:val="16"/>
                <w:color w:val="auto"/>
              </w:rPr>
              <w:t>—</w:t>
            </w:r>
          </w:p>
        </w:tc>
        <w:tc>
          <w:tcPr>
            <w:tcW w:w="300" w:type="dxa"/>
            <w:vAlign w:val="bottom"/>
            <w:shd w:val="clear" w:color="auto" w:fill="D4F1F5"/>
          </w:tcPr>
          <w:p>
            <w:pPr>
              <w:spacing w:after="0"/>
              <w:rPr>
                <w:sz w:val="18"/>
                <w:szCs w:val="18"/>
                <w:color w:val="auto"/>
              </w:rPr>
            </w:pPr>
          </w:p>
        </w:tc>
        <w:tc>
          <w:tcPr>
            <w:tcW w:w="880" w:type="dxa"/>
            <w:vAlign w:val="bottom"/>
            <w:shd w:val="clear" w:color="auto" w:fill="D4F1F5"/>
          </w:tcPr>
          <w:p>
            <w:pPr>
              <w:jc w:val="right"/>
              <w:spacing w:after="0"/>
              <w:rPr>
                <w:sz w:val="20"/>
                <w:szCs w:val="20"/>
                <w:color w:val="auto"/>
              </w:rPr>
            </w:pPr>
            <w:r>
              <w:rPr>
                <w:rFonts w:ascii="Arial" w:cs="Arial" w:eastAsia="Arial" w:hAnsi="Arial"/>
                <w:sz w:val="16"/>
                <w:szCs w:val="16"/>
                <w:color w:val="auto"/>
              </w:rPr>
              <w:t>6</w:t>
            </w:r>
          </w:p>
        </w:tc>
        <w:tc>
          <w:tcPr>
            <w:tcW w:w="280" w:type="dxa"/>
            <w:vAlign w:val="bottom"/>
            <w:shd w:val="clear" w:color="auto" w:fill="D4F1F5"/>
          </w:tcPr>
          <w:p>
            <w:pPr>
              <w:spacing w:after="0"/>
              <w:rPr>
                <w:sz w:val="18"/>
                <w:szCs w:val="18"/>
                <w:color w:val="auto"/>
              </w:rPr>
            </w:pPr>
          </w:p>
        </w:tc>
        <w:tc>
          <w:tcPr>
            <w:tcW w:w="980" w:type="dxa"/>
            <w:vAlign w:val="bottom"/>
            <w:shd w:val="clear" w:color="auto" w:fill="D4F1F5"/>
          </w:tcPr>
          <w:p>
            <w:pPr>
              <w:jc w:val="right"/>
              <w:ind w:right="99"/>
              <w:spacing w:after="0"/>
              <w:rPr>
                <w:sz w:val="20"/>
                <w:szCs w:val="20"/>
                <w:color w:val="auto"/>
              </w:rPr>
            </w:pPr>
            <w:r>
              <w:rPr>
                <w:rFonts w:ascii="Arial" w:cs="Arial" w:eastAsia="Arial" w:hAnsi="Arial"/>
                <w:sz w:val="16"/>
                <w:szCs w:val="16"/>
                <w:color w:val="auto"/>
              </w:rPr>
              <w:t>—</w:t>
            </w:r>
          </w:p>
        </w:tc>
        <w:tc>
          <w:tcPr>
            <w:tcW w:w="180" w:type="dxa"/>
            <w:vAlign w:val="bottom"/>
            <w:shd w:val="clear" w:color="auto" w:fill="D4F1F5"/>
          </w:tcPr>
          <w:p>
            <w:pPr>
              <w:spacing w:after="0"/>
              <w:rPr>
                <w:sz w:val="18"/>
                <w:szCs w:val="18"/>
                <w:color w:val="auto"/>
              </w:rPr>
            </w:pPr>
          </w:p>
        </w:tc>
        <w:tc>
          <w:tcPr>
            <w:tcW w:w="900" w:type="dxa"/>
            <w:vAlign w:val="bottom"/>
            <w:shd w:val="clear" w:color="auto" w:fill="D4F1F5"/>
          </w:tcPr>
          <w:p>
            <w:pPr>
              <w:jc w:val="right"/>
              <w:spacing w:after="0"/>
              <w:rPr>
                <w:sz w:val="20"/>
                <w:szCs w:val="20"/>
                <w:color w:val="auto"/>
              </w:rPr>
            </w:pPr>
            <w:r>
              <w:rPr>
                <w:rFonts w:ascii="Arial" w:cs="Arial" w:eastAsia="Arial" w:hAnsi="Arial"/>
                <w:sz w:val="16"/>
                <w:szCs w:val="16"/>
                <w:color w:val="auto"/>
              </w:rPr>
              <w:t>—</w:t>
            </w:r>
          </w:p>
        </w:tc>
        <w:tc>
          <w:tcPr>
            <w:tcW w:w="340" w:type="dxa"/>
            <w:vAlign w:val="bottom"/>
            <w:shd w:val="clear" w:color="auto" w:fill="D4F1F5"/>
          </w:tcPr>
          <w:p>
            <w:pPr>
              <w:spacing w:after="0"/>
              <w:rPr>
                <w:sz w:val="18"/>
                <w:szCs w:val="18"/>
                <w:color w:val="auto"/>
              </w:rPr>
            </w:pPr>
          </w:p>
        </w:tc>
        <w:tc>
          <w:tcPr>
            <w:tcW w:w="840" w:type="dxa"/>
            <w:vAlign w:val="bottom"/>
            <w:shd w:val="clear" w:color="auto" w:fill="D4F1F5"/>
          </w:tcPr>
          <w:p>
            <w:pPr>
              <w:jc w:val="right"/>
              <w:spacing w:after="0"/>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215"/>
        </w:trPr>
        <w:tc>
          <w:tcPr>
            <w:tcW w:w="5400" w:type="dxa"/>
            <w:vAlign w:val="bottom"/>
            <w:tcBorders>
              <w:bottom w:val="single" w:sz="8" w:color="D4F1F5"/>
            </w:tcBorders>
          </w:tcPr>
          <w:p>
            <w:pPr>
              <w:ind w:left="480"/>
              <w:spacing w:after="0"/>
              <w:rPr>
                <w:sz w:val="20"/>
                <w:szCs w:val="20"/>
                <w:color w:val="auto"/>
              </w:rPr>
            </w:pPr>
            <w:r>
              <w:rPr>
                <w:rFonts w:ascii="Arial" w:cs="Arial" w:eastAsia="Arial" w:hAnsi="Arial"/>
                <w:sz w:val="16"/>
                <w:szCs w:val="16"/>
                <w:color w:val="auto"/>
              </w:rPr>
              <w:t>Commodity contracts not subject to rate recovery</w:t>
            </w:r>
          </w:p>
        </w:tc>
        <w:tc>
          <w:tcPr>
            <w:tcW w:w="2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172</w:t>
            </w: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59</w:t>
            </w:r>
          </w:p>
        </w:tc>
        <w:tc>
          <w:tcPr>
            <w:tcW w:w="1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w:t>
            </w:r>
          </w:p>
        </w:tc>
        <w:tc>
          <w:tcPr>
            <w:tcW w:w="3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222</w:t>
            </w:r>
          </w:p>
        </w:tc>
        <w:tc>
          <w:tcPr>
            <w:tcW w:w="0" w:type="dxa"/>
            <w:vAlign w:val="bottom"/>
          </w:tcPr>
          <w:p>
            <w:pPr>
              <w:spacing w:after="0"/>
              <w:rPr>
                <w:sz w:val="1"/>
                <w:szCs w:val="1"/>
                <w:color w:val="auto"/>
              </w:rPr>
            </w:pPr>
          </w:p>
        </w:tc>
      </w:tr>
      <w:tr>
        <w:trPr>
          <w:trHeight w:val="210"/>
        </w:trPr>
        <w:tc>
          <w:tcPr>
            <w:tcW w:w="5400" w:type="dxa"/>
            <w:vAlign w:val="bottom"/>
            <w:shd w:val="clear" w:color="auto" w:fill="D4F1F5"/>
          </w:tcPr>
          <w:p>
            <w:pPr>
              <w:ind w:left="260"/>
              <w:spacing w:after="0"/>
              <w:rPr>
                <w:sz w:val="20"/>
                <w:szCs w:val="20"/>
                <w:color w:val="auto"/>
              </w:rPr>
            </w:pPr>
            <w:r>
              <w:rPr>
                <w:rFonts w:ascii="Arial" w:cs="Arial" w:eastAsia="Arial" w:hAnsi="Arial"/>
                <w:sz w:val="16"/>
                <w:szCs w:val="16"/>
                <w:color w:val="auto"/>
              </w:rPr>
              <w:t>Total liabilities held for sale</w:t>
            </w:r>
          </w:p>
        </w:tc>
        <w:tc>
          <w:tcPr>
            <w:tcW w:w="220" w:type="dxa"/>
            <w:vAlign w:val="bottom"/>
            <w:tcBorders>
              <w:bottom w:val="single" w:sz="8" w:color="auto"/>
            </w:tcBorders>
            <w:shd w:val="clear" w:color="auto" w:fill="D4F1F5"/>
          </w:tcPr>
          <w:p>
            <w:pPr>
              <w:spacing w:after="0"/>
              <w:rPr>
                <w:sz w:val="18"/>
                <w:szCs w:val="18"/>
                <w:color w:val="auto"/>
              </w:rPr>
            </w:pPr>
          </w:p>
        </w:tc>
        <w:tc>
          <w:tcPr>
            <w:tcW w:w="880" w:type="dxa"/>
            <w:vAlign w:val="bottom"/>
            <w:tcBorders>
              <w:bottom w:val="single" w:sz="8" w:color="auto"/>
            </w:tcBorders>
            <w:shd w:val="clear" w:color="auto" w:fill="D4F1F5"/>
          </w:tcPr>
          <w:p>
            <w:pPr>
              <w:jc w:val="right"/>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auto"/>
            </w:tcBorders>
            <w:shd w:val="clear" w:color="auto" w:fill="D4F1F5"/>
          </w:tcPr>
          <w:p>
            <w:pPr>
              <w:spacing w:after="0"/>
              <w:rPr>
                <w:sz w:val="18"/>
                <w:szCs w:val="18"/>
                <w:color w:val="auto"/>
              </w:rPr>
            </w:pPr>
          </w:p>
        </w:tc>
        <w:tc>
          <w:tcPr>
            <w:tcW w:w="880" w:type="dxa"/>
            <w:vAlign w:val="bottom"/>
            <w:tcBorders>
              <w:bottom w:val="single" w:sz="8" w:color="auto"/>
            </w:tcBorders>
            <w:shd w:val="clear" w:color="auto" w:fill="D4F1F5"/>
          </w:tcPr>
          <w:p>
            <w:pPr>
              <w:jc w:val="right"/>
              <w:spacing w:after="0"/>
              <w:rPr>
                <w:sz w:val="20"/>
                <w:szCs w:val="20"/>
                <w:color w:val="auto"/>
              </w:rPr>
            </w:pPr>
            <w:r>
              <w:rPr>
                <w:rFonts w:ascii="Arial" w:cs="Arial" w:eastAsia="Arial" w:hAnsi="Arial"/>
                <w:sz w:val="16"/>
                <w:szCs w:val="16"/>
                <w:color w:val="auto"/>
              </w:rPr>
              <w:t>178</w:t>
            </w:r>
          </w:p>
        </w:tc>
        <w:tc>
          <w:tcPr>
            <w:tcW w:w="280" w:type="dxa"/>
            <w:vAlign w:val="bottom"/>
            <w:tcBorders>
              <w:bottom w:val="single" w:sz="8" w:color="auto"/>
            </w:tcBorders>
            <w:shd w:val="clear" w:color="auto" w:fill="D4F1F5"/>
          </w:tcPr>
          <w:p>
            <w:pPr>
              <w:spacing w:after="0"/>
              <w:rPr>
                <w:sz w:val="18"/>
                <w:szCs w:val="18"/>
                <w:color w:val="auto"/>
              </w:rPr>
            </w:pPr>
          </w:p>
        </w:tc>
        <w:tc>
          <w:tcPr>
            <w:tcW w:w="980" w:type="dxa"/>
            <w:vAlign w:val="bottom"/>
            <w:tcBorders>
              <w:bottom w:val="single" w:sz="8" w:color="auto"/>
            </w:tcBorders>
            <w:shd w:val="clear" w:color="auto" w:fill="D4F1F5"/>
          </w:tcPr>
          <w:p>
            <w:pPr>
              <w:jc w:val="right"/>
              <w:ind w:right="99"/>
              <w:spacing w:after="0"/>
              <w:rPr>
                <w:sz w:val="20"/>
                <w:szCs w:val="20"/>
                <w:color w:val="auto"/>
              </w:rPr>
            </w:pPr>
            <w:r>
              <w:rPr>
                <w:rFonts w:ascii="Arial" w:cs="Arial" w:eastAsia="Arial" w:hAnsi="Arial"/>
                <w:sz w:val="16"/>
                <w:szCs w:val="16"/>
                <w:color w:val="auto"/>
              </w:rPr>
              <w:t>59</w:t>
            </w:r>
          </w:p>
        </w:tc>
        <w:tc>
          <w:tcPr>
            <w:tcW w:w="180" w:type="dxa"/>
            <w:vAlign w:val="bottom"/>
            <w:tcBorders>
              <w:bottom w:val="single" w:sz="8" w:color="auto"/>
            </w:tcBorders>
            <w:shd w:val="clear" w:color="auto" w:fill="D4F1F5"/>
          </w:tcPr>
          <w:p>
            <w:pPr>
              <w:spacing w:after="0"/>
              <w:rPr>
                <w:sz w:val="18"/>
                <w:szCs w:val="18"/>
                <w:color w:val="auto"/>
              </w:rPr>
            </w:pPr>
          </w:p>
        </w:tc>
        <w:tc>
          <w:tcPr>
            <w:tcW w:w="900" w:type="dxa"/>
            <w:vAlign w:val="bottom"/>
            <w:tcBorders>
              <w:bottom w:val="single" w:sz="8" w:color="auto"/>
            </w:tcBorders>
            <w:shd w:val="clear" w:color="auto" w:fill="D4F1F5"/>
          </w:tcPr>
          <w:p>
            <w:pPr>
              <w:jc w:val="right"/>
              <w:spacing w:after="0"/>
              <w:rPr>
                <w:sz w:val="20"/>
                <w:szCs w:val="20"/>
                <w:color w:val="auto"/>
              </w:rPr>
            </w:pPr>
            <w:r>
              <w:rPr>
                <w:rFonts w:ascii="Arial" w:cs="Arial" w:eastAsia="Arial" w:hAnsi="Arial"/>
                <w:sz w:val="16"/>
                <w:szCs w:val="16"/>
                <w:color w:val="auto"/>
              </w:rPr>
              <w:t>(9)</w:t>
            </w:r>
          </w:p>
        </w:tc>
        <w:tc>
          <w:tcPr>
            <w:tcW w:w="340" w:type="dxa"/>
            <w:vAlign w:val="bottom"/>
            <w:tcBorders>
              <w:bottom w:val="single" w:sz="8" w:color="auto"/>
            </w:tcBorders>
            <w:shd w:val="clear" w:color="auto" w:fill="D4F1F5"/>
          </w:tcPr>
          <w:p>
            <w:pPr>
              <w:spacing w:after="0"/>
              <w:rPr>
                <w:sz w:val="18"/>
                <w:szCs w:val="18"/>
                <w:color w:val="auto"/>
              </w:rPr>
            </w:pPr>
          </w:p>
        </w:tc>
        <w:tc>
          <w:tcPr>
            <w:tcW w:w="840" w:type="dxa"/>
            <w:vAlign w:val="bottom"/>
            <w:tcBorders>
              <w:bottom w:val="single" w:sz="8" w:color="auto"/>
            </w:tcBorders>
            <w:shd w:val="clear" w:color="auto" w:fill="D4F1F5"/>
          </w:tcPr>
          <w:p>
            <w:pPr>
              <w:jc w:val="right"/>
              <w:spacing w:after="0"/>
              <w:rPr>
                <w:sz w:val="20"/>
                <w:szCs w:val="20"/>
                <w:color w:val="auto"/>
              </w:rPr>
            </w:pPr>
            <w:r>
              <w:rPr>
                <w:rFonts w:ascii="Arial" w:cs="Arial" w:eastAsia="Arial" w:hAnsi="Arial"/>
                <w:sz w:val="16"/>
                <w:szCs w:val="16"/>
                <w:color w:val="auto"/>
              </w:rPr>
              <w:t>228</w:t>
            </w:r>
          </w:p>
        </w:tc>
        <w:tc>
          <w:tcPr>
            <w:tcW w:w="0" w:type="dxa"/>
            <w:vAlign w:val="bottom"/>
          </w:tcPr>
          <w:p>
            <w:pPr>
              <w:spacing w:after="0"/>
              <w:rPr>
                <w:sz w:val="1"/>
                <w:szCs w:val="1"/>
                <w:color w:val="auto"/>
              </w:rPr>
            </w:pPr>
          </w:p>
        </w:tc>
      </w:tr>
      <w:tr>
        <w:trPr>
          <w:trHeight w:val="209"/>
        </w:trPr>
        <w:tc>
          <w:tcPr>
            <w:tcW w:w="54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Total liabilities</w:t>
            </w: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w:t>
            </w:r>
          </w:p>
        </w:tc>
        <w:tc>
          <w:tcPr>
            <w:tcW w:w="3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205</w:t>
            </w:r>
          </w:p>
        </w:tc>
        <w:tc>
          <w:tcPr>
            <w:tcW w:w="2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59</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w:t>
            </w:r>
          </w:p>
        </w:tc>
        <w:tc>
          <w:tcPr>
            <w:tcW w:w="3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249</w:t>
            </w:r>
          </w:p>
        </w:tc>
        <w:tc>
          <w:tcPr>
            <w:tcW w:w="0" w:type="dxa"/>
            <w:vAlign w:val="bottom"/>
          </w:tcPr>
          <w:p>
            <w:pPr>
              <w:spacing w:after="0"/>
              <w:rPr>
                <w:sz w:val="1"/>
                <w:szCs w:val="1"/>
                <w:color w:val="auto"/>
              </w:rPr>
            </w:pPr>
          </w:p>
        </w:tc>
      </w:tr>
    </w:tbl>
    <w:p>
      <w:pPr>
        <w:spacing w:after="0" w:line="61" w:lineRule="exact"/>
        <w:rPr>
          <w:sz w:val="20"/>
          <w:szCs w:val="20"/>
          <w:color w:val="auto"/>
        </w:rPr>
      </w:pPr>
    </w:p>
    <w:p>
      <w:pPr>
        <w:ind w:left="260" w:hanging="252"/>
        <w:spacing w:after="0"/>
        <w:tabs>
          <w:tab w:leader="none" w:pos="260" w:val="left"/>
        </w:tabs>
        <w:numPr>
          <w:ilvl w:val="0"/>
          <w:numId w:val="26"/>
        </w:numPr>
        <w:rPr>
          <w:rFonts w:ascii="Arial" w:cs="Arial" w:eastAsia="Arial" w:hAnsi="Arial"/>
          <w:sz w:val="21"/>
          <w:szCs w:val="21"/>
          <w:i w:val="1"/>
          <w:iCs w:val="1"/>
          <w:color w:val="auto"/>
          <w:vertAlign w:val="superscript"/>
        </w:rPr>
      </w:pPr>
      <w:r>
        <w:rPr>
          <w:rFonts w:ascii="Arial" w:cs="Arial" w:eastAsia="Arial" w:hAnsi="Arial"/>
          <w:sz w:val="14"/>
          <w:szCs w:val="14"/>
          <w:i w:val="1"/>
          <w:iCs w:val="1"/>
          <w:color w:val="auto"/>
        </w:rPr>
        <w:t>Includes the effect of the contractual ability to settle contracts under master netting agreements and with cash collateral, as well as cash collateral not offset.</w:t>
      </w:r>
    </w:p>
    <w:p>
      <w:pPr>
        <w:spacing w:after="0" w:line="39" w:lineRule="exact"/>
        <w:rPr>
          <w:rFonts w:ascii="Arial" w:cs="Arial" w:eastAsia="Arial" w:hAnsi="Arial"/>
          <w:sz w:val="21"/>
          <w:szCs w:val="21"/>
          <w:i w:val="1"/>
          <w:iCs w:val="1"/>
          <w:color w:val="auto"/>
          <w:vertAlign w:val="superscript"/>
        </w:rPr>
      </w:pPr>
    </w:p>
    <w:p>
      <w:pPr>
        <w:ind w:left="260" w:hanging="252"/>
        <w:spacing w:after="0" w:line="183" w:lineRule="auto"/>
        <w:tabs>
          <w:tab w:leader="none" w:pos="260" w:val="left"/>
        </w:tabs>
        <w:numPr>
          <w:ilvl w:val="0"/>
          <w:numId w:val="26"/>
        </w:numPr>
        <w:rPr>
          <w:rFonts w:ascii="Arial" w:cs="Arial" w:eastAsia="Arial" w:hAnsi="Arial"/>
          <w:sz w:val="20"/>
          <w:szCs w:val="20"/>
          <w:i w:val="1"/>
          <w:iCs w:val="1"/>
          <w:color w:val="auto"/>
          <w:vertAlign w:val="superscript"/>
        </w:rPr>
      </w:pPr>
      <w:r>
        <w:rPr>
          <w:rFonts w:ascii="Arial" w:cs="Arial" w:eastAsia="Arial" w:hAnsi="Arial"/>
          <w:sz w:val="14"/>
          <w:szCs w:val="14"/>
          <w:i w:val="1"/>
          <w:iCs w:val="1"/>
          <w:color w:val="auto"/>
        </w:rPr>
        <w:t>Excludes receivables (payables), net.</w:t>
      </w:r>
    </w:p>
    <w:p>
      <w:pPr>
        <w:spacing w:after="0" w:line="200" w:lineRule="exact"/>
        <w:rPr>
          <w:sz w:val="20"/>
          <w:szCs w:val="20"/>
          <w:color w:val="auto"/>
        </w:rPr>
      </w:pPr>
    </w:p>
    <w:p>
      <w:pPr>
        <w:spacing w:after="0" w:line="25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150495</wp:posOffset>
            </wp:positionV>
            <wp:extent cx="7157720"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480060</wp:posOffset>
            </wp:positionV>
            <wp:extent cx="6900545" cy="3003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900545" cy="3003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FFFFFF"/>
        </w:rPr>
        <w:t>RECURRING FAIR VALUE MEASURES</w:t>
      </w:r>
    </w:p>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5240" w:type="dxa"/>
            <w:vAlign w:val="bottom"/>
          </w:tcPr>
          <w:p>
            <w:pPr>
              <w:ind w:left="20"/>
              <w:spacing w:after="0"/>
              <w:rPr>
                <w:sz w:val="20"/>
                <w:szCs w:val="20"/>
                <w:color w:val="auto"/>
              </w:rPr>
            </w:pPr>
            <w:r>
              <w:rPr>
                <w:rFonts w:ascii="Arial" w:cs="Arial" w:eastAsia="Arial" w:hAnsi="Arial"/>
                <w:sz w:val="14"/>
                <w:szCs w:val="14"/>
                <w:i w:val="1"/>
                <w:iCs w:val="1"/>
                <w:color w:val="FFFFFF"/>
              </w:rPr>
              <w:t>(Dollars in millions)</w:t>
            </w:r>
          </w:p>
        </w:tc>
        <w:tc>
          <w:tcPr>
            <w:tcW w:w="2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52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20"/>
              <w:spacing w:after="0"/>
              <w:rPr>
                <w:sz w:val="20"/>
                <w:szCs w:val="20"/>
                <w:color w:val="auto"/>
              </w:rPr>
            </w:pPr>
            <w:r>
              <w:rPr>
                <w:rFonts w:ascii="Arial" w:cs="Arial" w:eastAsia="Arial" w:hAnsi="Arial"/>
                <w:sz w:val="14"/>
                <w:szCs w:val="14"/>
                <w:color w:val="auto"/>
              </w:rPr>
              <w:t>Level 1</w:t>
            </w:r>
          </w:p>
        </w:tc>
        <w:tc>
          <w:tcPr>
            <w:tcW w:w="28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41"/>
              <w:spacing w:after="0"/>
              <w:rPr>
                <w:sz w:val="20"/>
                <w:szCs w:val="20"/>
                <w:color w:val="auto"/>
              </w:rPr>
            </w:pPr>
            <w:r>
              <w:rPr>
                <w:rFonts w:ascii="Arial" w:cs="Arial" w:eastAsia="Arial" w:hAnsi="Arial"/>
                <w:sz w:val="14"/>
                <w:szCs w:val="14"/>
                <w:color w:val="auto"/>
              </w:rPr>
              <w:t>Level 2</w:t>
            </w:r>
          </w:p>
        </w:tc>
        <w:tc>
          <w:tcPr>
            <w:tcW w:w="26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Level 3</w:t>
            </w:r>
          </w:p>
        </w:tc>
        <w:tc>
          <w:tcPr>
            <w:tcW w:w="3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ind w:left="240"/>
              <w:spacing w:after="0"/>
              <w:rPr>
                <w:sz w:val="20"/>
                <w:szCs w:val="20"/>
                <w:color w:val="auto"/>
              </w:rPr>
            </w:pPr>
            <w:r>
              <w:rPr>
                <w:rFonts w:ascii="Arial" w:cs="Arial" w:eastAsia="Arial" w:hAnsi="Arial"/>
                <w:sz w:val="14"/>
                <w:szCs w:val="14"/>
                <w:color w:val="auto"/>
              </w:rPr>
              <w:t>Netting</w:t>
            </w:r>
            <w:r>
              <w:rPr>
                <w:rFonts w:ascii="Arial" w:cs="Arial" w:eastAsia="Arial" w:hAnsi="Arial"/>
                <w:sz w:val="18"/>
                <w:szCs w:val="18"/>
                <w:color w:val="auto"/>
                <w:vertAlign w:val="superscript"/>
              </w:rPr>
              <w:t>(1)</w:t>
            </w:r>
          </w:p>
        </w:tc>
        <w:tc>
          <w:tcPr>
            <w:tcW w:w="3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300"/>
              <w:spacing w:after="0"/>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205"/>
        </w:trPr>
        <w:tc>
          <w:tcPr>
            <w:tcW w:w="524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3140" w:type="dxa"/>
            <w:vAlign w:val="bottom"/>
            <w:tcBorders>
              <w:bottom w:val="single" w:sz="8" w:color="auto"/>
            </w:tcBorders>
            <w:gridSpan w:val="5"/>
          </w:tcPr>
          <w:p>
            <w:pPr>
              <w:jc w:val="center"/>
              <w:ind w:right="128"/>
              <w:spacing w:after="0"/>
              <w:rPr>
                <w:sz w:val="20"/>
                <w:szCs w:val="20"/>
                <w:color w:val="auto"/>
              </w:rPr>
            </w:pPr>
            <w:r>
              <w:rPr>
                <w:rFonts w:ascii="Arial" w:cs="Arial" w:eastAsia="Arial" w:hAnsi="Arial"/>
                <w:sz w:val="14"/>
                <w:szCs w:val="14"/>
                <w:color w:val="auto"/>
              </w:rPr>
              <w:t>Fair value at December 31, 2025</w:t>
            </w:r>
          </w:p>
        </w:tc>
        <w:tc>
          <w:tcPr>
            <w:tcW w:w="3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5240" w:type="dxa"/>
            <w:vAlign w:val="bottom"/>
            <w:shd w:val="clear" w:color="auto" w:fill="D4F1F5"/>
          </w:tcPr>
          <w:p>
            <w:pPr>
              <w:ind w:left="20"/>
              <w:spacing w:after="0"/>
              <w:rPr>
                <w:sz w:val="20"/>
                <w:szCs w:val="20"/>
                <w:color w:val="auto"/>
              </w:rPr>
            </w:pPr>
            <w:r>
              <w:rPr>
                <w:rFonts w:ascii="Arial" w:cs="Arial" w:eastAsia="Arial" w:hAnsi="Arial"/>
                <w:sz w:val="16"/>
                <w:szCs w:val="16"/>
                <w:b w:val="1"/>
                <w:bCs w:val="1"/>
                <w:color w:val="auto"/>
              </w:rPr>
              <w:t>Sempra:</w:t>
            </w:r>
          </w:p>
        </w:tc>
        <w:tc>
          <w:tcPr>
            <w:tcW w:w="200" w:type="dxa"/>
            <w:vAlign w:val="bottom"/>
            <w:shd w:val="clear" w:color="auto" w:fill="D4F1F5"/>
          </w:tcPr>
          <w:p>
            <w:pPr>
              <w:spacing w:after="0"/>
              <w:rPr>
                <w:sz w:val="18"/>
                <w:szCs w:val="18"/>
                <w:color w:val="auto"/>
              </w:rPr>
            </w:pPr>
          </w:p>
        </w:tc>
        <w:tc>
          <w:tcPr>
            <w:tcW w:w="860" w:type="dxa"/>
            <w:vAlign w:val="bottom"/>
            <w:shd w:val="clear" w:color="auto" w:fill="D4F1F5"/>
          </w:tcPr>
          <w:p>
            <w:pPr>
              <w:spacing w:after="0"/>
              <w:rPr>
                <w:sz w:val="18"/>
                <w:szCs w:val="18"/>
                <w:color w:val="auto"/>
              </w:rPr>
            </w:pPr>
          </w:p>
        </w:tc>
        <w:tc>
          <w:tcPr>
            <w:tcW w:w="280" w:type="dxa"/>
            <w:vAlign w:val="bottom"/>
            <w:shd w:val="clear" w:color="auto" w:fill="D4F1F5"/>
          </w:tcPr>
          <w:p>
            <w:pPr>
              <w:spacing w:after="0"/>
              <w:rPr>
                <w:sz w:val="18"/>
                <w:szCs w:val="18"/>
                <w:color w:val="auto"/>
              </w:rPr>
            </w:pPr>
          </w:p>
        </w:tc>
        <w:tc>
          <w:tcPr>
            <w:tcW w:w="880" w:type="dxa"/>
            <w:vAlign w:val="bottom"/>
            <w:shd w:val="clear" w:color="auto" w:fill="D4F1F5"/>
          </w:tcPr>
          <w:p>
            <w:pPr>
              <w:spacing w:after="0"/>
              <w:rPr>
                <w:sz w:val="18"/>
                <w:szCs w:val="18"/>
                <w:color w:val="auto"/>
              </w:rPr>
            </w:pPr>
          </w:p>
        </w:tc>
        <w:tc>
          <w:tcPr>
            <w:tcW w:w="260" w:type="dxa"/>
            <w:vAlign w:val="bottom"/>
            <w:shd w:val="clear" w:color="auto" w:fill="D4F1F5"/>
          </w:tcPr>
          <w:p>
            <w:pPr>
              <w:spacing w:after="0"/>
              <w:rPr>
                <w:sz w:val="18"/>
                <w:szCs w:val="18"/>
                <w:color w:val="auto"/>
              </w:rPr>
            </w:pPr>
          </w:p>
        </w:tc>
        <w:tc>
          <w:tcPr>
            <w:tcW w:w="600" w:type="dxa"/>
            <w:vAlign w:val="bottom"/>
            <w:shd w:val="clear" w:color="auto" w:fill="D4F1F5"/>
          </w:tcPr>
          <w:p>
            <w:pPr>
              <w:spacing w:after="0"/>
              <w:rPr>
                <w:sz w:val="18"/>
                <w:szCs w:val="18"/>
                <w:color w:val="auto"/>
              </w:rPr>
            </w:pPr>
          </w:p>
        </w:tc>
        <w:tc>
          <w:tcPr>
            <w:tcW w:w="360" w:type="dxa"/>
            <w:vAlign w:val="bottom"/>
            <w:shd w:val="clear" w:color="auto" w:fill="D4F1F5"/>
          </w:tcPr>
          <w:p>
            <w:pPr>
              <w:spacing w:after="0"/>
              <w:rPr>
                <w:sz w:val="18"/>
                <w:szCs w:val="18"/>
                <w:color w:val="auto"/>
              </w:rPr>
            </w:pPr>
          </w:p>
        </w:tc>
        <w:tc>
          <w:tcPr>
            <w:tcW w:w="1040" w:type="dxa"/>
            <w:vAlign w:val="bottom"/>
            <w:shd w:val="clear" w:color="auto" w:fill="D4F1F5"/>
          </w:tcPr>
          <w:p>
            <w:pPr>
              <w:spacing w:after="0"/>
              <w:rPr>
                <w:sz w:val="18"/>
                <w:szCs w:val="18"/>
                <w:color w:val="auto"/>
              </w:rPr>
            </w:pPr>
          </w:p>
        </w:tc>
        <w:tc>
          <w:tcPr>
            <w:tcW w:w="340" w:type="dxa"/>
            <w:vAlign w:val="bottom"/>
            <w:shd w:val="clear" w:color="auto" w:fill="D4F1F5"/>
          </w:tcPr>
          <w:p>
            <w:pPr>
              <w:spacing w:after="0"/>
              <w:rPr>
                <w:sz w:val="18"/>
                <w:szCs w:val="18"/>
                <w:color w:val="auto"/>
              </w:rPr>
            </w:pPr>
          </w:p>
        </w:tc>
        <w:tc>
          <w:tcPr>
            <w:tcW w:w="820" w:type="dxa"/>
            <w:vAlign w:val="bottom"/>
            <w:shd w:val="clear" w:color="auto" w:fill="D4F1F5"/>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240" w:type="dxa"/>
            <w:vAlign w:val="bottom"/>
          </w:tcPr>
          <w:p>
            <w:pPr>
              <w:ind w:left="20"/>
              <w:spacing w:after="0"/>
              <w:rPr>
                <w:sz w:val="20"/>
                <w:szCs w:val="20"/>
                <w:color w:val="auto"/>
              </w:rPr>
            </w:pPr>
            <w:r>
              <w:rPr>
                <w:rFonts w:ascii="Arial" w:cs="Arial" w:eastAsia="Arial" w:hAnsi="Arial"/>
                <w:sz w:val="16"/>
                <w:szCs w:val="16"/>
                <w:color w:val="auto"/>
              </w:rPr>
              <w:t>Assets:</w:t>
            </w: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5240" w:type="dxa"/>
            <w:vAlign w:val="bottom"/>
            <w:shd w:val="clear" w:color="auto" w:fill="D4F1F5"/>
          </w:tcPr>
          <w:p>
            <w:pPr>
              <w:ind w:left="240"/>
              <w:spacing w:after="0"/>
              <w:rPr>
                <w:sz w:val="20"/>
                <w:szCs w:val="20"/>
                <w:color w:val="auto"/>
              </w:rPr>
            </w:pPr>
            <w:r>
              <w:rPr>
                <w:rFonts w:ascii="Arial" w:cs="Arial" w:eastAsia="Arial" w:hAnsi="Arial"/>
                <w:sz w:val="16"/>
                <w:szCs w:val="16"/>
                <w:color w:val="auto"/>
              </w:rPr>
              <w:t>Nuclear decommissioning trusts:</w:t>
            </w:r>
          </w:p>
        </w:tc>
        <w:tc>
          <w:tcPr>
            <w:tcW w:w="200" w:type="dxa"/>
            <w:vAlign w:val="bottom"/>
            <w:shd w:val="clear" w:color="auto" w:fill="D4F1F5"/>
          </w:tcPr>
          <w:p>
            <w:pPr>
              <w:spacing w:after="0"/>
              <w:rPr>
                <w:sz w:val="18"/>
                <w:szCs w:val="18"/>
                <w:color w:val="auto"/>
              </w:rPr>
            </w:pPr>
          </w:p>
        </w:tc>
        <w:tc>
          <w:tcPr>
            <w:tcW w:w="860" w:type="dxa"/>
            <w:vAlign w:val="bottom"/>
            <w:shd w:val="clear" w:color="auto" w:fill="D4F1F5"/>
          </w:tcPr>
          <w:p>
            <w:pPr>
              <w:spacing w:after="0"/>
              <w:rPr>
                <w:sz w:val="18"/>
                <w:szCs w:val="18"/>
                <w:color w:val="auto"/>
              </w:rPr>
            </w:pPr>
          </w:p>
        </w:tc>
        <w:tc>
          <w:tcPr>
            <w:tcW w:w="280" w:type="dxa"/>
            <w:vAlign w:val="bottom"/>
            <w:shd w:val="clear" w:color="auto" w:fill="D4F1F5"/>
          </w:tcPr>
          <w:p>
            <w:pPr>
              <w:spacing w:after="0"/>
              <w:rPr>
                <w:sz w:val="18"/>
                <w:szCs w:val="18"/>
                <w:color w:val="auto"/>
              </w:rPr>
            </w:pPr>
          </w:p>
        </w:tc>
        <w:tc>
          <w:tcPr>
            <w:tcW w:w="880" w:type="dxa"/>
            <w:vAlign w:val="bottom"/>
            <w:shd w:val="clear" w:color="auto" w:fill="D4F1F5"/>
          </w:tcPr>
          <w:p>
            <w:pPr>
              <w:spacing w:after="0"/>
              <w:rPr>
                <w:sz w:val="18"/>
                <w:szCs w:val="18"/>
                <w:color w:val="auto"/>
              </w:rPr>
            </w:pPr>
          </w:p>
        </w:tc>
        <w:tc>
          <w:tcPr>
            <w:tcW w:w="260" w:type="dxa"/>
            <w:vAlign w:val="bottom"/>
            <w:shd w:val="clear" w:color="auto" w:fill="D4F1F5"/>
          </w:tcPr>
          <w:p>
            <w:pPr>
              <w:spacing w:after="0"/>
              <w:rPr>
                <w:sz w:val="18"/>
                <w:szCs w:val="18"/>
                <w:color w:val="auto"/>
              </w:rPr>
            </w:pPr>
          </w:p>
        </w:tc>
        <w:tc>
          <w:tcPr>
            <w:tcW w:w="600" w:type="dxa"/>
            <w:vAlign w:val="bottom"/>
            <w:shd w:val="clear" w:color="auto" w:fill="D4F1F5"/>
          </w:tcPr>
          <w:p>
            <w:pPr>
              <w:spacing w:after="0"/>
              <w:rPr>
                <w:sz w:val="18"/>
                <w:szCs w:val="18"/>
                <w:color w:val="auto"/>
              </w:rPr>
            </w:pPr>
          </w:p>
        </w:tc>
        <w:tc>
          <w:tcPr>
            <w:tcW w:w="360" w:type="dxa"/>
            <w:vAlign w:val="bottom"/>
            <w:shd w:val="clear" w:color="auto" w:fill="D4F1F5"/>
          </w:tcPr>
          <w:p>
            <w:pPr>
              <w:spacing w:after="0"/>
              <w:rPr>
                <w:sz w:val="18"/>
                <w:szCs w:val="18"/>
                <w:color w:val="auto"/>
              </w:rPr>
            </w:pPr>
          </w:p>
        </w:tc>
        <w:tc>
          <w:tcPr>
            <w:tcW w:w="1040" w:type="dxa"/>
            <w:vAlign w:val="bottom"/>
            <w:shd w:val="clear" w:color="auto" w:fill="D4F1F5"/>
          </w:tcPr>
          <w:p>
            <w:pPr>
              <w:spacing w:after="0"/>
              <w:rPr>
                <w:sz w:val="18"/>
                <w:szCs w:val="18"/>
                <w:color w:val="auto"/>
              </w:rPr>
            </w:pPr>
          </w:p>
        </w:tc>
        <w:tc>
          <w:tcPr>
            <w:tcW w:w="340" w:type="dxa"/>
            <w:vAlign w:val="bottom"/>
            <w:shd w:val="clear" w:color="auto" w:fill="D4F1F5"/>
          </w:tcPr>
          <w:p>
            <w:pPr>
              <w:spacing w:after="0"/>
              <w:rPr>
                <w:sz w:val="18"/>
                <w:szCs w:val="18"/>
                <w:color w:val="auto"/>
              </w:rPr>
            </w:pPr>
          </w:p>
        </w:tc>
        <w:tc>
          <w:tcPr>
            <w:tcW w:w="820" w:type="dxa"/>
            <w:vAlign w:val="bottom"/>
            <w:shd w:val="clear" w:color="auto" w:fill="D4F1F5"/>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240" w:type="dxa"/>
            <w:vAlign w:val="bottom"/>
          </w:tcPr>
          <w:p>
            <w:pPr>
              <w:ind w:left="460"/>
              <w:spacing w:after="0"/>
              <w:rPr>
                <w:sz w:val="20"/>
                <w:szCs w:val="20"/>
                <w:color w:val="auto"/>
              </w:rPr>
            </w:pPr>
            <w:r>
              <w:rPr>
                <w:rFonts w:ascii="Arial" w:cs="Arial" w:eastAsia="Arial" w:hAnsi="Arial"/>
                <w:sz w:val="16"/>
                <w:szCs w:val="16"/>
                <w:color w:val="auto"/>
              </w:rPr>
              <w:t>Short-term investments, primarily cash equivalents</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9</w:t>
            </w:r>
          </w:p>
        </w:tc>
        <w:tc>
          <w:tcPr>
            <w:tcW w:w="2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21"/>
              <w:spacing w:after="0"/>
              <w:rPr>
                <w:sz w:val="20"/>
                <w:szCs w:val="20"/>
                <w:color w:val="auto"/>
              </w:rPr>
            </w:pPr>
            <w:r>
              <w:rPr>
                <w:rFonts w:ascii="Arial" w:cs="Arial" w:eastAsia="Arial" w:hAnsi="Arial"/>
                <w:sz w:val="16"/>
                <w:szCs w:val="16"/>
                <w:color w:val="auto"/>
              </w:rPr>
              <w:t>3</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600" w:type="dxa"/>
            <w:vAlign w:val="bottom"/>
          </w:tcPr>
          <w:p>
            <w:pPr>
              <w:spacing w:after="0"/>
              <w:rPr>
                <w:sz w:val="18"/>
                <w:szCs w:val="18"/>
                <w:color w:val="auto"/>
              </w:rPr>
            </w:pPr>
          </w:p>
        </w:tc>
        <w:tc>
          <w:tcPr>
            <w:tcW w:w="1400" w:type="dxa"/>
            <w:vAlign w:val="bottom"/>
            <w:gridSpan w:val="2"/>
          </w:tcPr>
          <w:p>
            <w:pPr>
              <w:ind w:left="20"/>
              <w:spacing w:after="0"/>
              <w:rPr>
                <w:sz w:val="20"/>
                <w:szCs w:val="20"/>
                <w:color w:val="auto"/>
              </w:rPr>
            </w:pPr>
            <w:r>
              <w:rPr>
                <w:rFonts w:ascii="Arial" w:cs="Arial" w:eastAsia="Arial" w:hAnsi="Arial"/>
                <w:sz w:val="16"/>
                <w:szCs w:val="16"/>
                <w:color w:val="auto"/>
              </w:rPr>
              <w:t>—</w:t>
            </w:r>
          </w:p>
        </w:tc>
        <w:tc>
          <w:tcPr>
            <w:tcW w:w="3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12</w:t>
            </w:r>
          </w:p>
        </w:tc>
        <w:tc>
          <w:tcPr>
            <w:tcW w:w="0" w:type="dxa"/>
            <w:vAlign w:val="bottom"/>
          </w:tcPr>
          <w:p>
            <w:pPr>
              <w:spacing w:after="0"/>
              <w:rPr>
                <w:sz w:val="1"/>
                <w:szCs w:val="1"/>
                <w:color w:val="auto"/>
              </w:rPr>
            </w:pPr>
          </w:p>
        </w:tc>
      </w:tr>
      <w:tr>
        <w:trPr>
          <w:trHeight w:val="210"/>
        </w:trPr>
        <w:tc>
          <w:tcPr>
            <w:tcW w:w="5240" w:type="dxa"/>
            <w:vAlign w:val="bottom"/>
            <w:tcBorders>
              <w:top w:val="single" w:sz="8" w:color="D4F1F5"/>
            </w:tcBorders>
            <w:shd w:val="clear" w:color="auto" w:fill="D4F1F5"/>
          </w:tcPr>
          <w:p>
            <w:pPr>
              <w:ind w:left="460"/>
              <w:spacing w:after="0"/>
              <w:rPr>
                <w:sz w:val="20"/>
                <w:szCs w:val="20"/>
                <w:color w:val="auto"/>
              </w:rPr>
            </w:pPr>
            <w:r>
              <w:rPr>
                <w:rFonts w:ascii="Arial" w:cs="Arial" w:eastAsia="Arial" w:hAnsi="Arial"/>
                <w:sz w:val="16"/>
                <w:szCs w:val="16"/>
                <w:color w:val="auto"/>
              </w:rPr>
              <w:t>Equity securities</w:t>
            </w:r>
          </w:p>
        </w:tc>
        <w:tc>
          <w:tcPr>
            <w:tcW w:w="200" w:type="dxa"/>
            <w:vAlign w:val="bottom"/>
            <w:tcBorders>
              <w:top w:val="single" w:sz="8" w:color="auto"/>
              <w:bottom w:val="single" w:sz="8" w:color="auto"/>
            </w:tcBorders>
            <w:shd w:val="clear" w:color="auto" w:fill="D4F1F5"/>
          </w:tcPr>
          <w:p>
            <w:pPr>
              <w:spacing w:after="0"/>
              <w:rPr>
                <w:sz w:val="18"/>
                <w:szCs w:val="18"/>
                <w:color w:val="auto"/>
              </w:rPr>
            </w:pPr>
          </w:p>
        </w:tc>
        <w:tc>
          <w:tcPr>
            <w:tcW w:w="860" w:type="dxa"/>
            <w:vAlign w:val="bottom"/>
            <w:tcBorders>
              <w:top w:val="single" w:sz="8" w:color="auto"/>
              <w:bottom w:val="single" w:sz="8" w:color="auto"/>
            </w:tcBorders>
            <w:shd w:val="clear" w:color="auto" w:fill="D4F1F5"/>
          </w:tcPr>
          <w:p>
            <w:pPr>
              <w:jc w:val="right"/>
              <w:spacing w:after="0"/>
              <w:rPr>
                <w:sz w:val="20"/>
                <w:szCs w:val="20"/>
                <w:color w:val="auto"/>
              </w:rPr>
            </w:pPr>
            <w:r>
              <w:rPr>
                <w:rFonts w:ascii="Arial" w:cs="Arial" w:eastAsia="Arial" w:hAnsi="Arial"/>
                <w:sz w:val="16"/>
                <w:szCs w:val="16"/>
                <w:color w:val="auto"/>
              </w:rPr>
              <w:t>285</w:t>
            </w:r>
          </w:p>
        </w:tc>
        <w:tc>
          <w:tcPr>
            <w:tcW w:w="280" w:type="dxa"/>
            <w:vAlign w:val="bottom"/>
            <w:tcBorders>
              <w:top w:val="single" w:sz="8" w:color="auto"/>
              <w:bottom w:val="single" w:sz="8" w:color="auto"/>
            </w:tcBorders>
            <w:shd w:val="clear" w:color="auto" w:fill="D4F1F5"/>
          </w:tcPr>
          <w:p>
            <w:pPr>
              <w:spacing w:after="0"/>
              <w:rPr>
                <w:sz w:val="18"/>
                <w:szCs w:val="18"/>
                <w:color w:val="auto"/>
              </w:rPr>
            </w:pPr>
          </w:p>
        </w:tc>
        <w:tc>
          <w:tcPr>
            <w:tcW w:w="880" w:type="dxa"/>
            <w:vAlign w:val="bottom"/>
            <w:tcBorders>
              <w:top w:val="single" w:sz="8" w:color="auto"/>
              <w:bottom w:val="single" w:sz="8" w:color="auto"/>
            </w:tcBorders>
            <w:shd w:val="clear" w:color="auto" w:fill="D4F1F5"/>
          </w:tcPr>
          <w:p>
            <w:pPr>
              <w:jc w:val="right"/>
              <w:ind w:right="21"/>
              <w:spacing w:after="0"/>
              <w:rPr>
                <w:sz w:val="20"/>
                <w:szCs w:val="20"/>
                <w:color w:val="auto"/>
              </w:rPr>
            </w:pPr>
            <w:r>
              <w:rPr>
                <w:rFonts w:ascii="Arial" w:cs="Arial" w:eastAsia="Arial" w:hAnsi="Arial"/>
                <w:sz w:val="16"/>
                <w:szCs w:val="16"/>
                <w:color w:val="auto"/>
              </w:rPr>
              <w:t>3</w:t>
            </w:r>
          </w:p>
        </w:tc>
        <w:tc>
          <w:tcPr>
            <w:tcW w:w="260" w:type="dxa"/>
            <w:vAlign w:val="bottom"/>
            <w:tcBorders>
              <w:top w:val="single" w:sz="8" w:color="auto"/>
              <w:bottom w:val="single" w:sz="8" w:color="auto"/>
            </w:tcBorders>
            <w:shd w:val="clear" w:color="auto" w:fill="D4F1F5"/>
          </w:tcPr>
          <w:p>
            <w:pPr>
              <w:spacing w:after="0"/>
              <w:rPr>
                <w:sz w:val="18"/>
                <w:szCs w:val="18"/>
                <w:color w:val="auto"/>
              </w:rPr>
            </w:pPr>
          </w:p>
        </w:tc>
        <w:tc>
          <w:tcPr>
            <w:tcW w:w="600" w:type="dxa"/>
            <w:vAlign w:val="bottom"/>
            <w:tcBorders>
              <w:top w:val="single" w:sz="8" w:color="auto"/>
              <w:bottom w:val="single" w:sz="8" w:color="auto"/>
            </w:tcBorders>
            <w:shd w:val="clear" w:color="auto" w:fill="D4F1F5"/>
          </w:tcPr>
          <w:p>
            <w:pPr>
              <w:spacing w:after="0"/>
              <w:rPr>
                <w:sz w:val="18"/>
                <w:szCs w:val="18"/>
                <w:color w:val="auto"/>
              </w:rPr>
            </w:pPr>
          </w:p>
        </w:tc>
        <w:tc>
          <w:tcPr>
            <w:tcW w:w="360" w:type="dxa"/>
            <w:vAlign w:val="bottom"/>
            <w:tcBorders>
              <w:top w:val="single" w:sz="8" w:color="auto"/>
              <w:bottom w:val="single" w:sz="8" w:color="auto"/>
            </w:tcBorders>
            <w:shd w:val="clear" w:color="auto" w:fill="D4F1F5"/>
          </w:tcPr>
          <w:p>
            <w:pPr>
              <w:ind w:left="20"/>
              <w:spacing w:after="0"/>
              <w:rPr>
                <w:sz w:val="20"/>
                <w:szCs w:val="20"/>
                <w:color w:val="auto"/>
              </w:rPr>
            </w:pPr>
            <w:r>
              <w:rPr>
                <w:rFonts w:ascii="Arial" w:cs="Arial" w:eastAsia="Arial" w:hAnsi="Arial"/>
                <w:sz w:val="16"/>
                <w:szCs w:val="16"/>
                <w:color w:val="auto"/>
              </w:rPr>
              <w:t>—</w:t>
            </w:r>
          </w:p>
        </w:tc>
        <w:tc>
          <w:tcPr>
            <w:tcW w:w="1040" w:type="dxa"/>
            <w:vAlign w:val="bottom"/>
            <w:tcBorders>
              <w:top w:val="single" w:sz="8" w:color="D4F1F5"/>
            </w:tcBorders>
            <w:shd w:val="clear" w:color="auto" w:fill="D4F1F5"/>
          </w:tcPr>
          <w:p>
            <w:pPr>
              <w:spacing w:after="0"/>
              <w:rPr>
                <w:sz w:val="18"/>
                <w:szCs w:val="18"/>
                <w:color w:val="auto"/>
              </w:rPr>
            </w:pPr>
          </w:p>
        </w:tc>
        <w:tc>
          <w:tcPr>
            <w:tcW w:w="340" w:type="dxa"/>
            <w:vAlign w:val="bottom"/>
            <w:tcBorders>
              <w:top w:val="single" w:sz="8" w:color="auto"/>
              <w:bottom w:val="single" w:sz="8" w:color="auto"/>
            </w:tcBorders>
            <w:shd w:val="clear" w:color="auto" w:fill="D4F1F5"/>
          </w:tcPr>
          <w:p>
            <w:pPr>
              <w:spacing w:after="0"/>
              <w:rPr>
                <w:sz w:val="18"/>
                <w:szCs w:val="18"/>
                <w:color w:val="auto"/>
              </w:rPr>
            </w:pPr>
          </w:p>
        </w:tc>
        <w:tc>
          <w:tcPr>
            <w:tcW w:w="820" w:type="dxa"/>
            <w:vAlign w:val="bottom"/>
            <w:tcBorders>
              <w:top w:val="single" w:sz="8" w:color="auto"/>
              <w:bottom w:val="single" w:sz="8" w:color="auto"/>
            </w:tcBorders>
            <w:shd w:val="clear" w:color="auto" w:fill="D4F1F5"/>
          </w:tcPr>
          <w:p>
            <w:pPr>
              <w:jc w:val="right"/>
              <w:spacing w:after="0"/>
              <w:rPr>
                <w:sz w:val="20"/>
                <w:szCs w:val="20"/>
                <w:color w:val="auto"/>
              </w:rPr>
            </w:pPr>
            <w:r>
              <w:rPr>
                <w:rFonts w:ascii="Arial" w:cs="Arial" w:eastAsia="Arial" w:hAnsi="Arial"/>
                <w:sz w:val="16"/>
                <w:szCs w:val="16"/>
                <w:color w:val="auto"/>
              </w:rPr>
              <w:t>288</w:t>
            </w:r>
          </w:p>
        </w:tc>
        <w:tc>
          <w:tcPr>
            <w:tcW w:w="0" w:type="dxa"/>
            <w:vAlign w:val="bottom"/>
          </w:tcPr>
          <w:p>
            <w:pPr>
              <w:spacing w:after="0"/>
              <w:rPr>
                <w:sz w:val="1"/>
                <w:szCs w:val="1"/>
                <w:color w:val="auto"/>
              </w:rPr>
            </w:pPr>
          </w:p>
        </w:tc>
      </w:tr>
      <w:tr>
        <w:trPr>
          <w:trHeight w:val="195"/>
        </w:trPr>
        <w:tc>
          <w:tcPr>
            <w:tcW w:w="5240" w:type="dxa"/>
            <w:vAlign w:val="bottom"/>
          </w:tcPr>
          <w:p>
            <w:pPr>
              <w:ind w:left="460"/>
              <w:spacing w:after="0"/>
              <w:rPr>
                <w:sz w:val="20"/>
                <w:szCs w:val="20"/>
                <w:color w:val="auto"/>
              </w:rPr>
            </w:pPr>
            <w:r>
              <w:rPr>
                <w:rFonts w:ascii="Arial" w:cs="Arial" w:eastAsia="Arial" w:hAnsi="Arial"/>
                <w:sz w:val="16"/>
                <w:szCs w:val="16"/>
                <w:color w:val="auto"/>
              </w:rPr>
              <w:t>Debt securities:</w:t>
            </w:r>
          </w:p>
        </w:tc>
        <w:tc>
          <w:tcPr>
            <w:tcW w:w="2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3"/>
        </w:trPr>
        <w:tc>
          <w:tcPr>
            <w:tcW w:w="5240" w:type="dxa"/>
            <w:vAlign w:val="bottom"/>
            <w:shd w:val="clear" w:color="auto" w:fill="D4F1F5"/>
          </w:tcPr>
          <w:p>
            <w:pPr>
              <w:ind w:left="680"/>
              <w:spacing w:after="0" w:line="163" w:lineRule="exact"/>
              <w:rPr>
                <w:sz w:val="20"/>
                <w:szCs w:val="20"/>
                <w:color w:val="auto"/>
              </w:rPr>
            </w:pPr>
            <w:r>
              <w:rPr>
                <w:rFonts w:ascii="Arial" w:cs="Arial" w:eastAsia="Arial" w:hAnsi="Arial"/>
                <w:sz w:val="16"/>
                <w:szCs w:val="16"/>
                <w:color w:val="auto"/>
              </w:rPr>
              <w:t>Debt securities issued by the U.S. Treasury and other</w:t>
            </w:r>
          </w:p>
        </w:tc>
        <w:tc>
          <w:tcPr>
            <w:tcW w:w="200" w:type="dxa"/>
            <w:vAlign w:val="bottom"/>
            <w:shd w:val="clear" w:color="auto" w:fill="D4F1F5"/>
          </w:tcPr>
          <w:p>
            <w:pPr>
              <w:spacing w:after="0"/>
              <w:rPr>
                <w:sz w:val="14"/>
                <w:szCs w:val="14"/>
                <w:color w:val="auto"/>
              </w:rPr>
            </w:pPr>
          </w:p>
        </w:tc>
        <w:tc>
          <w:tcPr>
            <w:tcW w:w="860" w:type="dxa"/>
            <w:vAlign w:val="bottom"/>
            <w:vMerge w:val="restart"/>
            <w:shd w:val="clear" w:color="auto" w:fill="D4F1F5"/>
          </w:tcPr>
          <w:p>
            <w:pPr>
              <w:jc w:val="right"/>
              <w:spacing w:after="0"/>
              <w:rPr>
                <w:sz w:val="20"/>
                <w:szCs w:val="20"/>
                <w:color w:val="auto"/>
              </w:rPr>
            </w:pPr>
            <w:r>
              <w:rPr>
                <w:rFonts w:ascii="Arial" w:cs="Arial" w:eastAsia="Arial" w:hAnsi="Arial"/>
                <w:sz w:val="16"/>
                <w:szCs w:val="16"/>
                <w:color w:val="auto"/>
              </w:rPr>
              <w:t>28</w:t>
            </w:r>
          </w:p>
        </w:tc>
        <w:tc>
          <w:tcPr>
            <w:tcW w:w="280" w:type="dxa"/>
            <w:vAlign w:val="bottom"/>
            <w:shd w:val="clear" w:color="auto" w:fill="D4F1F5"/>
          </w:tcPr>
          <w:p>
            <w:pPr>
              <w:spacing w:after="0"/>
              <w:rPr>
                <w:sz w:val="14"/>
                <w:szCs w:val="14"/>
                <w:color w:val="auto"/>
              </w:rPr>
            </w:pPr>
          </w:p>
        </w:tc>
        <w:tc>
          <w:tcPr>
            <w:tcW w:w="880" w:type="dxa"/>
            <w:vAlign w:val="bottom"/>
            <w:vMerge w:val="restart"/>
            <w:shd w:val="clear" w:color="auto" w:fill="D4F1F5"/>
          </w:tcPr>
          <w:p>
            <w:pPr>
              <w:jc w:val="right"/>
              <w:ind w:right="21"/>
              <w:spacing w:after="0"/>
              <w:rPr>
                <w:sz w:val="20"/>
                <w:szCs w:val="20"/>
                <w:color w:val="auto"/>
              </w:rPr>
            </w:pPr>
            <w:r>
              <w:rPr>
                <w:rFonts w:ascii="Arial" w:cs="Arial" w:eastAsia="Arial" w:hAnsi="Arial"/>
                <w:sz w:val="16"/>
                <w:szCs w:val="16"/>
                <w:color w:val="auto"/>
              </w:rPr>
              <w:t>19</w:t>
            </w:r>
          </w:p>
        </w:tc>
        <w:tc>
          <w:tcPr>
            <w:tcW w:w="260" w:type="dxa"/>
            <w:vAlign w:val="bottom"/>
            <w:shd w:val="clear" w:color="auto" w:fill="D4F1F5"/>
          </w:tcPr>
          <w:p>
            <w:pPr>
              <w:spacing w:after="0"/>
              <w:rPr>
                <w:sz w:val="14"/>
                <w:szCs w:val="14"/>
                <w:color w:val="auto"/>
              </w:rPr>
            </w:pPr>
          </w:p>
        </w:tc>
        <w:tc>
          <w:tcPr>
            <w:tcW w:w="600" w:type="dxa"/>
            <w:vAlign w:val="bottom"/>
            <w:shd w:val="clear" w:color="auto" w:fill="D4F1F5"/>
          </w:tcPr>
          <w:p>
            <w:pPr>
              <w:spacing w:after="0"/>
              <w:rPr>
                <w:sz w:val="14"/>
                <w:szCs w:val="14"/>
                <w:color w:val="auto"/>
              </w:rPr>
            </w:pPr>
          </w:p>
        </w:tc>
        <w:tc>
          <w:tcPr>
            <w:tcW w:w="1400" w:type="dxa"/>
            <w:vAlign w:val="bottom"/>
            <w:gridSpan w:val="2"/>
            <w:vMerge w:val="restart"/>
            <w:shd w:val="clear" w:color="auto" w:fill="D4F1F5"/>
          </w:tcPr>
          <w:p>
            <w:pPr>
              <w:ind w:left="20"/>
              <w:spacing w:after="0"/>
              <w:rPr>
                <w:sz w:val="20"/>
                <w:szCs w:val="20"/>
                <w:color w:val="auto"/>
              </w:rPr>
            </w:pPr>
            <w:r>
              <w:rPr>
                <w:rFonts w:ascii="Arial" w:cs="Arial" w:eastAsia="Arial" w:hAnsi="Arial"/>
                <w:sz w:val="16"/>
                <w:szCs w:val="16"/>
                <w:color w:val="auto"/>
              </w:rPr>
              <w:t>—</w:t>
            </w:r>
          </w:p>
        </w:tc>
        <w:tc>
          <w:tcPr>
            <w:tcW w:w="340" w:type="dxa"/>
            <w:vAlign w:val="bottom"/>
            <w:shd w:val="clear" w:color="auto" w:fill="D4F1F5"/>
          </w:tcPr>
          <w:p>
            <w:pPr>
              <w:spacing w:after="0"/>
              <w:rPr>
                <w:sz w:val="14"/>
                <w:szCs w:val="14"/>
                <w:color w:val="auto"/>
              </w:rPr>
            </w:pPr>
          </w:p>
        </w:tc>
        <w:tc>
          <w:tcPr>
            <w:tcW w:w="820" w:type="dxa"/>
            <w:vAlign w:val="bottom"/>
            <w:vMerge w:val="restart"/>
            <w:shd w:val="clear" w:color="auto" w:fill="D4F1F5"/>
          </w:tcPr>
          <w:p>
            <w:pPr>
              <w:jc w:val="right"/>
              <w:spacing w:after="0"/>
              <w:rPr>
                <w:sz w:val="20"/>
                <w:szCs w:val="20"/>
                <w:color w:val="auto"/>
              </w:rPr>
            </w:pPr>
            <w:r>
              <w:rPr>
                <w:rFonts w:ascii="Arial" w:cs="Arial" w:eastAsia="Arial" w:hAnsi="Arial"/>
                <w:sz w:val="16"/>
                <w:szCs w:val="16"/>
                <w:color w:val="auto"/>
              </w:rPr>
              <w:t>47</w:t>
            </w:r>
          </w:p>
        </w:tc>
        <w:tc>
          <w:tcPr>
            <w:tcW w:w="0" w:type="dxa"/>
            <w:vAlign w:val="bottom"/>
          </w:tcPr>
          <w:p>
            <w:pPr>
              <w:spacing w:after="0"/>
              <w:rPr>
                <w:sz w:val="1"/>
                <w:szCs w:val="1"/>
                <w:color w:val="auto"/>
              </w:rPr>
            </w:pPr>
          </w:p>
        </w:tc>
      </w:tr>
      <w:tr>
        <w:trPr>
          <w:trHeight w:val="216"/>
        </w:trPr>
        <w:tc>
          <w:tcPr>
            <w:tcW w:w="5240" w:type="dxa"/>
            <w:vAlign w:val="bottom"/>
            <w:shd w:val="clear" w:color="auto" w:fill="D4F1F5"/>
          </w:tcPr>
          <w:p>
            <w:pPr>
              <w:ind w:left="880"/>
              <w:spacing w:after="0"/>
              <w:rPr>
                <w:sz w:val="20"/>
                <w:szCs w:val="20"/>
                <w:color w:val="auto"/>
              </w:rPr>
            </w:pPr>
            <w:r>
              <w:rPr>
                <w:rFonts w:ascii="Arial" w:cs="Arial" w:eastAsia="Arial" w:hAnsi="Arial"/>
                <w:sz w:val="16"/>
                <w:szCs w:val="16"/>
                <w:color w:val="auto"/>
              </w:rPr>
              <w:t>U.S. government corporations and agencies</w:t>
            </w:r>
          </w:p>
        </w:tc>
        <w:tc>
          <w:tcPr>
            <w:tcW w:w="200" w:type="dxa"/>
            <w:vAlign w:val="bottom"/>
            <w:shd w:val="clear" w:color="auto" w:fill="D4F1F5"/>
          </w:tcPr>
          <w:p>
            <w:pPr>
              <w:spacing w:after="0"/>
              <w:rPr>
                <w:sz w:val="18"/>
                <w:szCs w:val="18"/>
                <w:color w:val="auto"/>
              </w:rPr>
            </w:pPr>
          </w:p>
        </w:tc>
        <w:tc>
          <w:tcPr>
            <w:tcW w:w="860" w:type="dxa"/>
            <w:vAlign w:val="bottom"/>
            <w:vMerge w:val="continue"/>
            <w:shd w:val="clear" w:color="auto" w:fill="D4F1F5"/>
          </w:tcPr>
          <w:p>
            <w:pPr>
              <w:spacing w:after="0"/>
              <w:rPr>
                <w:sz w:val="18"/>
                <w:szCs w:val="18"/>
                <w:color w:val="auto"/>
              </w:rPr>
            </w:pPr>
          </w:p>
        </w:tc>
        <w:tc>
          <w:tcPr>
            <w:tcW w:w="280" w:type="dxa"/>
            <w:vAlign w:val="bottom"/>
            <w:shd w:val="clear" w:color="auto" w:fill="D4F1F5"/>
          </w:tcPr>
          <w:p>
            <w:pPr>
              <w:spacing w:after="0"/>
              <w:rPr>
                <w:sz w:val="18"/>
                <w:szCs w:val="18"/>
                <w:color w:val="auto"/>
              </w:rPr>
            </w:pPr>
          </w:p>
        </w:tc>
        <w:tc>
          <w:tcPr>
            <w:tcW w:w="880" w:type="dxa"/>
            <w:vAlign w:val="bottom"/>
            <w:vMerge w:val="continue"/>
            <w:shd w:val="clear" w:color="auto" w:fill="D4F1F5"/>
          </w:tcPr>
          <w:p>
            <w:pPr>
              <w:spacing w:after="0"/>
              <w:rPr>
                <w:sz w:val="18"/>
                <w:szCs w:val="18"/>
                <w:color w:val="auto"/>
              </w:rPr>
            </w:pPr>
          </w:p>
        </w:tc>
        <w:tc>
          <w:tcPr>
            <w:tcW w:w="260" w:type="dxa"/>
            <w:vAlign w:val="bottom"/>
            <w:shd w:val="clear" w:color="auto" w:fill="D4F1F5"/>
          </w:tcPr>
          <w:p>
            <w:pPr>
              <w:spacing w:after="0"/>
              <w:rPr>
                <w:sz w:val="18"/>
                <w:szCs w:val="18"/>
                <w:color w:val="auto"/>
              </w:rPr>
            </w:pPr>
          </w:p>
        </w:tc>
        <w:tc>
          <w:tcPr>
            <w:tcW w:w="600" w:type="dxa"/>
            <w:vAlign w:val="bottom"/>
            <w:shd w:val="clear" w:color="auto" w:fill="D4F1F5"/>
          </w:tcPr>
          <w:p>
            <w:pPr>
              <w:spacing w:after="0"/>
              <w:rPr>
                <w:sz w:val="18"/>
                <w:szCs w:val="18"/>
                <w:color w:val="auto"/>
              </w:rPr>
            </w:pPr>
          </w:p>
        </w:tc>
        <w:tc>
          <w:tcPr>
            <w:tcW w:w="1400" w:type="dxa"/>
            <w:vAlign w:val="bottom"/>
            <w:gridSpan w:val="2"/>
            <w:vMerge w:val="continue"/>
            <w:shd w:val="clear" w:color="auto" w:fill="D4F1F5"/>
          </w:tcPr>
          <w:p>
            <w:pPr>
              <w:spacing w:after="0"/>
              <w:rPr>
                <w:sz w:val="18"/>
                <w:szCs w:val="18"/>
                <w:color w:val="auto"/>
              </w:rPr>
            </w:pPr>
          </w:p>
        </w:tc>
        <w:tc>
          <w:tcPr>
            <w:tcW w:w="340" w:type="dxa"/>
            <w:vAlign w:val="bottom"/>
            <w:shd w:val="clear" w:color="auto" w:fill="D4F1F5"/>
          </w:tcPr>
          <w:p>
            <w:pPr>
              <w:spacing w:after="0"/>
              <w:rPr>
                <w:sz w:val="18"/>
                <w:szCs w:val="18"/>
                <w:color w:val="auto"/>
              </w:rPr>
            </w:pPr>
          </w:p>
        </w:tc>
        <w:tc>
          <w:tcPr>
            <w:tcW w:w="820" w:type="dxa"/>
            <w:vAlign w:val="bottom"/>
            <w:vMerge w:val="continue"/>
            <w:shd w:val="clear" w:color="auto" w:fill="D4F1F5"/>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240" w:type="dxa"/>
            <w:vAlign w:val="bottom"/>
          </w:tcPr>
          <w:p>
            <w:pPr>
              <w:ind w:left="680"/>
              <w:spacing w:after="0"/>
              <w:rPr>
                <w:sz w:val="20"/>
                <w:szCs w:val="20"/>
                <w:color w:val="auto"/>
              </w:rPr>
            </w:pPr>
            <w:r>
              <w:rPr>
                <w:rFonts w:ascii="Arial" w:cs="Arial" w:eastAsia="Arial" w:hAnsi="Arial"/>
                <w:sz w:val="16"/>
                <w:szCs w:val="16"/>
                <w:color w:val="auto"/>
              </w:rPr>
              <w:t>Municipal bonds</w:t>
            </w:r>
          </w:p>
        </w:tc>
        <w:tc>
          <w:tcPr>
            <w:tcW w:w="2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880" w:type="dxa"/>
            <w:vAlign w:val="bottom"/>
          </w:tcPr>
          <w:p>
            <w:pPr>
              <w:jc w:val="right"/>
              <w:ind w:right="21"/>
              <w:spacing w:after="0"/>
              <w:rPr>
                <w:sz w:val="20"/>
                <w:szCs w:val="20"/>
                <w:color w:val="auto"/>
              </w:rPr>
            </w:pPr>
            <w:r>
              <w:rPr>
                <w:rFonts w:ascii="Arial" w:cs="Arial" w:eastAsia="Arial" w:hAnsi="Arial"/>
                <w:sz w:val="16"/>
                <w:szCs w:val="16"/>
                <w:color w:val="auto"/>
              </w:rPr>
              <w:t>300</w:t>
            </w:r>
          </w:p>
        </w:tc>
        <w:tc>
          <w:tcPr>
            <w:tcW w:w="2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0" w:type="dxa"/>
            <w:vAlign w:val="bottom"/>
            <w:gridSpan w:val="2"/>
          </w:tcPr>
          <w:p>
            <w:pPr>
              <w:ind w:left="2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300</w:t>
            </w:r>
          </w:p>
        </w:tc>
        <w:tc>
          <w:tcPr>
            <w:tcW w:w="0" w:type="dxa"/>
            <w:vAlign w:val="bottom"/>
          </w:tcPr>
          <w:p>
            <w:pPr>
              <w:spacing w:after="0"/>
              <w:rPr>
                <w:sz w:val="1"/>
                <w:szCs w:val="1"/>
                <w:color w:val="auto"/>
              </w:rPr>
            </w:pPr>
          </w:p>
        </w:tc>
      </w:tr>
      <w:tr>
        <w:trPr>
          <w:trHeight w:val="217"/>
        </w:trPr>
        <w:tc>
          <w:tcPr>
            <w:tcW w:w="5240" w:type="dxa"/>
            <w:vAlign w:val="bottom"/>
            <w:shd w:val="clear" w:color="auto" w:fill="D4F1F5"/>
          </w:tcPr>
          <w:p>
            <w:pPr>
              <w:ind w:left="680"/>
              <w:spacing w:after="0"/>
              <w:rPr>
                <w:sz w:val="20"/>
                <w:szCs w:val="20"/>
                <w:color w:val="auto"/>
              </w:rPr>
            </w:pPr>
            <w:r>
              <w:rPr>
                <w:rFonts w:ascii="Arial" w:cs="Arial" w:eastAsia="Arial" w:hAnsi="Arial"/>
                <w:sz w:val="16"/>
                <w:szCs w:val="16"/>
                <w:color w:val="auto"/>
              </w:rPr>
              <w:t>Other securities</w:t>
            </w:r>
          </w:p>
        </w:tc>
        <w:tc>
          <w:tcPr>
            <w:tcW w:w="200" w:type="dxa"/>
            <w:vAlign w:val="bottom"/>
            <w:shd w:val="clear" w:color="auto" w:fill="D4F1F5"/>
          </w:tcPr>
          <w:p>
            <w:pPr>
              <w:spacing w:after="0"/>
              <w:rPr>
                <w:sz w:val="18"/>
                <w:szCs w:val="18"/>
                <w:color w:val="auto"/>
              </w:rPr>
            </w:pPr>
          </w:p>
        </w:tc>
        <w:tc>
          <w:tcPr>
            <w:tcW w:w="860" w:type="dxa"/>
            <w:vAlign w:val="bottom"/>
            <w:shd w:val="clear" w:color="auto" w:fill="D4F1F5"/>
          </w:tcPr>
          <w:p>
            <w:pPr>
              <w:jc w:val="right"/>
              <w:spacing w:after="0"/>
              <w:rPr>
                <w:sz w:val="20"/>
                <w:szCs w:val="20"/>
                <w:color w:val="auto"/>
              </w:rPr>
            </w:pPr>
            <w:r>
              <w:rPr>
                <w:rFonts w:ascii="Arial" w:cs="Arial" w:eastAsia="Arial" w:hAnsi="Arial"/>
                <w:sz w:val="16"/>
                <w:szCs w:val="16"/>
                <w:color w:val="auto"/>
              </w:rPr>
              <w:t>—</w:t>
            </w:r>
          </w:p>
        </w:tc>
        <w:tc>
          <w:tcPr>
            <w:tcW w:w="280" w:type="dxa"/>
            <w:vAlign w:val="bottom"/>
            <w:shd w:val="clear" w:color="auto" w:fill="D4F1F5"/>
          </w:tcPr>
          <w:p>
            <w:pPr>
              <w:spacing w:after="0"/>
              <w:rPr>
                <w:sz w:val="18"/>
                <w:szCs w:val="18"/>
                <w:color w:val="auto"/>
              </w:rPr>
            </w:pPr>
          </w:p>
        </w:tc>
        <w:tc>
          <w:tcPr>
            <w:tcW w:w="880" w:type="dxa"/>
            <w:vAlign w:val="bottom"/>
            <w:shd w:val="clear" w:color="auto" w:fill="D4F1F5"/>
          </w:tcPr>
          <w:p>
            <w:pPr>
              <w:jc w:val="right"/>
              <w:ind w:right="21"/>
              <w:spacing w:after="0"/>
              <w:rPr>
                <w:sz w:val="20"/>
                <w:szCs w:val="20"/>
                <w:color w:val="auto"/>
              </w:rPr>
            </w:pPr>
            <w:r>
              <w:rPr>
                <w:rFonts w:ascii="Arial" w:cs="Arial" w:eastAsia="Arial" w:hAnsi="Arial"/>
                <w:sz w:val="16"/>
                <w:szCs w:val="16"/>
                <w:color w:val="auto"/>
              </w:rPr>
              <w:t>255</w:t>
            </w:r>
          </w:p>
        </w:tc>
        <w:tc>
          <w:tcPr>
            <w:tcW w:w="260" w:type="dxa"/>
            <w:vAlign w:val="bottom"/>
            <w:shd w:val="clear" w:color="auto" w:fill="D4F1F5"/>
          </w:tcPr>
          <w:p>
            <w:pPr>
              <w:spacing w:after="0"/>
              <w:rPr>
                <w:sz w:val="18"/>
                <w:szCs w:val="18"/>
                <w:color w:val="auto"/>
              </w:rPr>
            </w:pPr>
          </w:p>
        </w:tc>
        <w:tc>
          <w:tcPr>
            <w:tcW w:w="600" w:type="dxa"/>
            <w:vAlign w:val="bottom"/>
            <w:shd w:val="clear" w:color="auto" w:fill="D4F1F5"/>
          </w:tcPr>
          <w:p>
            <w:pPr>
              <w:spacing w:after="0"/>
              <w:rPr>
                <w:sz w:val="18"/>
                <w:szCs w:val="18"/>
                <w:color w:val="auto"/>
              </w:rPr>
            </w:pPr>
          </w:p>
        </w:tc>
        <w:tc>
          <w:tcPr>
            <w:tcW w:w="1400" w:type="dxa"/>
            <w:vAlign w:val="bottom"/>
            <w:gridSpan w:val="2"/>
            <w:shd w:val="clear" w:color="auto" w:fill="D4F1F5"/>
          </w:tcPr>
          <w:p>
            <w:pPr>
              <w:ind w:left="20"/>
              <w:spacing w:after="0"/>
              <w:rPr>
                <w:sz w:val="20"/>
                <w:szCs w:val="20"/>
                <w:color w:val="auto"/>
              </w:rPr>
            </w:pPr>
            <w:r>
              <w:rPr>
                <w:rFonts w:ascii="Arial" w:cs="Arial" w:eastAsia="Arial" w:hAnsi="Arial"/>
                <w:sz w:val="16"/>
                <w:szCs w:val="16"/>
                <w:color w:val="auto"/>
              </w:rPr>
              <w:t>—</w:t>
            </w:r>
          </w:p>
        </w:tc>
        <w:tc>
          <w:tcPr>
            <w:tcW w:w="340" w:type="dxa"/>
            <w:vAlign w:val="bottom"/>
            <w:shd w:val="clear" w:color="auto" w:fill="D4F1F5"/>
          </w:tcPr>
          <w:p>
            <w:pPr>
              <w:spacing w:after="0"/>
              <w:rPr>
                <w:sz w:val="18"/>
                <w:szCs w:val="18"/>
                <w:color w:val="auto"/>
              </w:rPr>
            </w:pPr>
          </w:p>
        </w:tc>
        <w:tc>
          <w:tcPr>
            <w:tcW w:w="820" w:type="dxa"/>
            <w:vAlign w:val="bottom"/>
            <w:shd w:val="clear" w:color="auto" w:fill="D4F1F5"/>
          </w:tcPr>
          <w:p>
            <w:pPr>
              <w:jc w:val="right"/>
              <w:spacing w:after="0"/>
              <w:rPr>
                <w:sz w:val="20"/>
                <w:szCs w:val="20"/>
                <w:color w:val="auto"/>
              </w:rPr>
            </w:pPr>
            <w:r>
              <w:rPr>
                <w:rFonts w:ascii="Arial" w:cs="Arial" w:eastAsia="Arial" w:hAnsi="Arial"/>
                <w:sz w:val="16"/>
                <w:szCs w:val="16"/>
                <w:color w:val="auto"/>
              </w:rPr>
              <w:t>255</w:t>
            </w:r>
          </w:p>
        </w:tc>
        <w:tc>
          <w:tcPr>
            <w:tcW w:w="0" w:type="dxa"/>
            <w:vAlign w:val="bottom"/>
          </w:tcPr>
          <w:p>
            <w:pPr>
              <w:spacing w:after="0"/>
              <w:rPr>
                <w:sz w:val="1"/>
                <w:szCs w:val="1"/>
                <w:color w:val="auto"/>
              </w:rPr>
            </w:pPr>
          </w:p>
        </w:tc>
      </w:tr>
      <w:tr>
        <w:trPr>
          <w:trHeight w:val="209"/>
        </w:trPr>
        <w:tc>
          <w:tcPr>
            <w:tcW w:w="5240" w:type="dxa"/>
            <w:vAlign w:val="bottom"/>
            <w:tcBorders>
              <w:bottom w:val="single" w:sz="8" w:color="D4F1F5"/>
            </w:tcBorders>
          </w:tcPr>
          <w:p>
            <w:pPr>
              <w:ind w:left="460"/>
              <w:spacing w:after="0"/>
              <w:rPr>
                <w:sz w:val="20"/>
                <w:szCs w:val="20"/>
                <w:color w:val="auto"/>
              </w:rPr>
            </w:pPr>
            <w:r>
              <w:rPr>
                <w:rFonts w:ascii="Arial" w:cs="Arial" w:eastAsia="Arial" w:hAnsi="Arial"/>
                <w:sz w:val="16"/>
                <w:szCs w:val="16"/>
                <w:color w:val="auto"/>
              </w:rPr>
              <w:t>Total debt securities</w:t>
            </w:r>
          </w:p>
        </w:tc>
        <w:tc>
          <w:tcPr>
            <w:tcW w:w="20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28</w:t>
            </w:r>
          </w:p>
        </w:tc>
        <w:tc>
          <w:tcPr>
            <w:tcW w:w="28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21"/>
              <w:spacing w:after="0"/>
              <w:rPr>
                <w:sz w:val="20"/>
                <w:szCs w:val="20"/>
                <w:color w:val="auto"/>
              </w:rPr>
            </w:pPr>
            <w:r>
              <w:rPr>
                <w:rFonts w:ascii="Arial" w:cs="Arial" w:eastAsia="Arial" w:hAnsi="Arial"/>
                <w:sz w:val="16"/>
                <w:szCs w:val="16"/>
                <w:color w:val="auto"/>
              </w:rPr>
              <w:t>574</w:t>
            </w:r>
          </w:p>
        </w:tc>
        <w:tc>
          <w:tcPr>
            <w:tcW w:w="260" w:type="dxa"/>
            <w:vAlign w:val="bottom"/>
            <w:tcBorders>
              <w:top w:val="single" w:sz="8" w:color="auto"/>
              <w:bottom w:val="single" w:sz="8" w:color="auto"/>
            </w:tcBorders>
          </w:tcPr>
          <w:p>
            <w:pPr>
              <w:spacing w:after="0"/>
              <w:rPr>
                <w:sz w:val="18"/>
                <w:szCs w:val="18"/>
                <w:color w:val="auto"/>
              </w:rPr>
            </w:pPr>
          </w:p>
        </w:tc>
        <w:tc>
          <w:tcPr>
            <w:tcW w:w="600" w:type="dxa"/>
            <w:vAlign w:val="bottom"/>
            <w:tcBorders>
              <w:top w:val="single" w:sz="8" w:color="auto"/>
              <w:bottom w:val="single" w:sz="8" w:color="auto"/>
            </w:tcBorders>
          </w:tcPr>
          <w:p>
            <w:pPr>
              <w:spacing w:after="0"/>
              <w:rPr>
                <w:sz w:val="18"/>
                <w:szCs w:val="18"/>
                <w:color w:val="auto"/>
              </w:rPr>
            </w:pPr>
          </w:p>
        </w:tc>
        <w:tc>
          <w:tcPr>
            <w:tcW w:w="3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D4F1F5"/>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602</w:t>
            </w:r>
          </w:p>
        </w:tc>
        <w:tc>
          <w:tcPr>
            <w:tcW w:w="0" w:type="dxa"/>
            <w:vAlign w:val="bottom"/>
          </w:tcPr>
          <w:p>
            <w:pPr>
              <w:spacing w:after="0"/>
              <w:rPr>
                <w:sz w:val="1"/>
                <w:szCs w:val="1"/>
                <w:color w:val="auto"/>
              </w:rPr>
            </w:pPr>
          </w:p>
        </w:tc>
      </w:tr>
      <w:tr>
        <w:trPr>
          <w:trHeight w:val="210"/>
        </w:trPr>
        <w:tc>
          <w:tcPr>
            <w:tcW w:w="5240" w:type="dxa"/>
            <w:vAlign w:val="bottom"/>
            <w:shd w:val="clear" w:color="auto" w:fill="D4F1F5"/>
          </w:tcPr>
          <w:p>
            <w:pPr>
              <w:ind w:left="240"/>
              <w:spacing w:after="0" w:line="210" w:lineRule="exact"/>
              <w:rPr>
                <w:sz w:val="20"/>
                <w:szCs w:val="20"/>
                <w:color w:val="auto"/>
              </w:rPr>
            </w:pPr>
            <w:r>
              <w:rPr>
                <w:rFonts w:ascii="Arial" w:cs="Arial" w:eastAsia="Arial" w:hAnsi="Arial"/>
                <w:sz w:val="16"/>
                <w:szCs w:val="16"/>
                <w:color w:val="auto"/>
              </w:rPr>
              <w:t>Total nuclear decommissioning trusts</w:t>
            </w:r>
            <w:r>
              <w:rPr>
                <w:rFonts w:ascii="Arial" w:cs="Arial" w:eastAsia="Arial" w:hAnsi="Arial"/>
                <w:sz w:val="21"/>
                <w:szCs w:val="21"/>
                <w:color w:val="auto"/>
                <w:vertAlign w:val="superscript"/>
              </w:rPr>
              <w:t>(2)</w:t>
            </w:r>
          </w:p>
        </w:tc>
        <w:tc>
          <w:tcPr>
            <w:tcW w:w="200" w:type="dxa"/>
            <w:vAlign w:val="bottom"/>
            <w:shd w:val="clear" w:color="auto" w:fill="D4F1F5"/>
          </w:tcPr>
          <w:p>
            <w:pPr>
              <w:spacing w:after="0"/>
              <w:rPr>
                <w:sz w:val="18"/>
                <w:szCs w:val="18"/>
                <w:color w:val="auto"/>
              </w:rPr>
            </w:pPr>
          </w:p>
        </w:tc>
        <w:tc>
          <w:tcPr>
            <w:tcW w:w="860" w:type="dxa"/>
            <w:vAlign w:val="bottom"/>
            <w:shd w:val="clear" w:color="auto" w:fill="D4F1F5"/>
          </w:tcPr>
          <w:p>
            <w:pPr>
              <w:jc w:val="right"/>
              <w:spacing w:after="0"/>
              <w:rPr>
                <w:sz w:val="20"/>
                <w:szCs w:val="20"/>
                <w:color w:val="auto"/>
              </w:rPr>
            </w:pPr>
            <w:r>
              <w:rPr>
                <w:rFonts w:ascii="Arial" w:cs="Arial" w:eastAsia="Arial" w:hAnsi="Arial"/>
                <w:sz w:val="16"/>
                <w:szCs w:val="16"/>
                <w:color w:val="auto"/>
              </w:rPr>
              <w:t>322</w:t>
            </w:r>
          </w:p>
        </w:tc>
        <w:tc>
          <w:tcPr>
            <w:tcW w:w="280" w:type="dxa"/>
            <w:vAlign w:val="bottom"/>
            <w:shd w:val="clear" w:color="auto" w:fill="D4F1F5"/>
          </w:tcPr>
          <w:p>
            <w:pPr>
              <w:spacing w:after="0"/>
              <w:rPr>
                <w:sz w:val="18"/>
                <w:szCs w:val="18"/>
                <w:color w:val="auto"/>
              </w:rPr>
            </w:pPr>
          </w:p>
        </w:tc>
        <w:tc>
          <w:tcPr>
            <w:tcW w:w="880" w:type="dxa"/>
            <w:vAlign w:val="bottom"/>
            <w:shd w:val="clear" w:color="auto" w:fill="D4F1F5"/>
          </w:tcPr>
          <w:p>
            <w:pPr>
              <w:jc w:val="right"/>
              <w:ind w:right="21"/>
              <w:spacing w:after="0"/>
              <w:rPr>
                <w:sz w:val="20"/>
                <w:szCs w:val="20"/>
                <w:color w:val="auto"/>
              </w:rPr>
            </w:pPr>
            <w:r>
              <w:rPr>
                <w:rFonts w:ascii="Arial" w:cs="Arial" w:eastAsia="Arial" w:hAnsi="Arial"/>
                <w:sz w:val="16"/>
                <w:szCs w:val="16"/>
                <w:color w:val="auto"/>
              </w:rPr>
              <w:t>580</w:t>
            </w:r>
          </w:p>
        </w:tc>
        <w:tc>
          <w:tcPr>
            <w:tcW w:w="260" w:type="dxa"/>
            <w:vAlign w:val="bottom"/>
            <w:shd w:val="clear" w:color="auto" w:fill="D4F1F5"/>
          </w:tcPr>
          <w:p>
            <w:pPr>
              <w:spacing w:after="0"/>
              <w:rPr>
                <w:sz w:val="18"/>
                <w:szCs w:val="18"/>
                <w:color w:val="auto"/>
              </w:rPr>
            </w:pPr>
          </w:p>
        </w:tc>
        <w:tc>
          <w:tcPr>
            <w:tcW w:w="600" w:type="dxa"/>
            <w:vAlign w:val="bottom"/>
            <w:shd w:val="clear" w:color="auto" w:fill="D4F1F5"/>
          </w:tcPr>
          <w:p>
            <w:pPr>
              <w:spacing w:after="0"/>
              <w:rPr>
                <w:sz w:val="18"/>
                <w:szCs w:val="18"/>
                <w:color w:val="auto"/>
              </w:rPr>
            </w:pPr>
          </w:p>
        </w:tc>
        <w:tc>
          <w:tcPr>
            <w:tcW w:w="360" w:type="dxa"/>
            <w:vAlign w:val="bottom"/>
            <w:shd w:val="clear" w:color="auto" w:fill="D4F1F5"/>
          </w:tcPr>
          <w:p>
            <w:pPr>
              <w:ind w:left="20"/>
              <w:spacing w:after="0"/>
              <w:rPr>
                <w:sz w:val="20"/>
                <w:szCs w:val="20"/>
                <w:color w:val="auto"/>
              </w:rPr>
            </w:pPr>
            <w:r>
              <w:rPr>
                <w:rFonts w:ascii="Arial" w:cs="Arial" w:eastAsia="Arial" w:hAnsi="Arial"/>
                <w:sz w:val="16"/>
                <w:szCs w:val="16"/>
                <w:color w:val="auto"/>
              </w:rPr>
              <w:t>—</w:t>
            </w:r>
          </w:p>
        </w:tc>
        <w:tc>
          <w:tcPr>
            <w:tcW w:w="1040" w:type="dxa"/>
            <w:vAlign w:val="bottom"/>
            <w:shd w:val="clear" w:color="auto" w:fill="D4F1F5"/>
          </w:tcPr>
          <w:p>
            <w:pPr>
              <w:spacing w:after="0"/>
              <w:rPr>
                <w:sz w:val="18"/>
                <w:szCs w:val="18"/>
                <w:color w:val="auto"/>
              </w:rPr>
            </w:pPr>
          </w:p>
        </w:tc>
        <w:tc>
          <w:tcPr>
            <w:tcW w:w="340" w:type="dxa"/>
            <w:vAlign w:val="bottom"/>
            <w:shd w:val="clear" w:color="auto" w:fill="D4F1F5"/>
          </w:tcPr>
          <w:p>
            <w:pPr>
              <w:spacing w:after="0"/>
              <w:rPr>
                <w:sz w:val="18"/>
                <w:szCs w:val="18"/>
                <w:color w:val="auto"/>
              </w:rPr>
            </w:pPr>
          </w:p>
        </w:tc>
        <w:tc>
          <w:tcPr>
            <w:tcW w:w="820" w:type="dxa"/>
            <w:vAlign w:val="bottom"/>
            <w:shd w:val="clear" w:color="auto" w:fill="D4F1F5"/>
          </w:tcPr>
          <w:p>
            <w:pPr>
              <w:jc w:val="right"/>
              <w:spacing w:after="0"/>
              <w:rPr>
                <w:sz w:val="20"/>
                <w:szCs w:val="20"/>
                <w:color w:val="auto"/>
              </w:rPr>
            </w:pPr>
            <w:r>
              <w:rPr>
                <w:rFonts w:ascii="Arial" w:cs="Arial" w:eastAsia="Arial" w:hAnsi="Arial"/>
                <w:sz w:val="16"/>
                <w:szCs w:val="16"/>
                <w:color w:val="auto"/>
              </w:rPr>
              <w:t>902</w:t>
            </w: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0880"/>
          </w:cols>
          <w:pgMar w:left="320" w:top="121" w:right="699" w:bottom="1440" w:gutter="0" w:footer="0" w:header="0"/>
        </w:sectPr>
      </w:pPr>
    </w:p>
    <w:p>
      <w:pPr>
        <w:ind w:left="240" w:right="720"/>
        <w:spacing w:after="0" w:line="301" w:lineRule="auto"/>
        <w:rPr>
          <w:sz w:val="20"/>
          <w:szCs w:val="20"/>
          <w:color w:val="auto"/>
        </w:rPr>
      </w:pPr>
      <w:r>
        <w:rPr>
          <w:rFonts w:ascii="Arial" w:cs="Arial" w:eastAsia="Arial" w:hAnsi="Arial"/>
          <w:sz w:val="16"/>
          <w:szCs w:val="16"/>
          <w:color w:val="auto"/>
        </w:rPr>
        <w:t>Short-term investments held in Rabbi Trust Support Agreement, net of related guarantee fees Commodity contracts subject to rate recovery</w:t>
      </w:r>
    </w:p>
    <w:p>
      <w:pPr>
        <w:spacing w:after="0" w:line="185" w:lineRule="exact"/>
        <w:rPr>
          <w:sz w:val="20"/>
          <w:szCs w:val="20"/>
          <w:color w:val="auto"/>
        </w:rPr>
      </w:pPr>
    </w:p>
    <w:p>
      <w:pPr>
        <w:ind w:left="260"/>
        <w:spacing w:after="0"/>
        <w:rPr>
          <w:sz w:val="20"/>
          <w:szCs w:val="20"/>
          <w:color w:val="auto"/>
        </w:rPr>
      </w:pPr>
      <w:r>
        <w:rPr>
          <w:rFonts w:ascii="Arial" w:cs="Arial" w:eastAsia="Arial" w:hAnsi="Arial"/>
          <w:sz w:val="16"/>
          <w:szCs w:val="16"/>
          <w:color w:val="auto"/>
        </w:rPr>
        <w:t>Assets held for sale:</w:t>
      </w:r>
    </w:p>
    <w:p>
      <w:pPr>
        <w:spacing w:after="0" w:line="32" w:lineRule="exact"/>
        <w:rPr>
          <w:sz w:val="20"/>
          <w:szCs w:val="20"/>
          <w:color w:val="auto"/>
        </w:rPr>
      </w:pPr>
    </w:p>
    <w:p>
      <w:pPr>
        <w:ind w:left="480"/>
        <w:spacing w:after="0"/>
        <w:rPr>
          <w:sz w:val="20"/>
          <w:szCs w:val="20"/>
          <w:color w:val="auto"/>
        </w:rPr>
      </w:pPr>
      <w:r>
        <w:rPr>
          <w:rFonts w:ascii="Arial" w:cs="Arial" w:eastAsia="Arial" w:hAnsi="Arial"/>
          <w:sz w:val="16"/>
          <w:szCs w:val="16"/>
          <w:color w:val="auto"/>
        </w:rPr>
        <w:t>Interest rate instruments</w:t>
      </w:r>
    </w:p>
    <w:p>
      <w:pPr>
        <w:spacing w:after="0" w:line="32" w:lineRule="exact"/>
        <w:rPr>
          <w:sz w:val="20"/>
          <w:szCs w:val="20"/>
          <w:color w:val="auto"/>
        </w:rPr>
      </w:pPr>
    </w:p>
    <w:p>
      <w:pPr>
        <w:ind w:left="260" w:right="520" w:firstLine="216"/>
        <w:spacing w:after="0" w:line="308" w:lineRule="auto"/>
        <w:rPr>
          <w:sz w:val="20"/>
          <w:szCs w:val="20"/>
          <w:color w:val="auto"/>
        </w:rPr>
      </w:pPr>
      <w:r>
        <w:rPr>
          <w:rFonts w:ascii="Arial" w:cs="Arial" w:eastAsia="Arial" w:hAnsi="Arial"/>
          <w:sz w:val="16"/>
          <w:szCs w:val="16"/>
          <w:color w:val="auto"/>
        </w:rPr>
        <w:t>Commodity contracts not subject to rate recovery Total assets held for sale</w:t>
      </w:r>
    </w:p>
    <w:p>
      <w:pPr>
        <w:ind w:left="20"/>
        <w:spacing w:after="0"/>
        <w:rPr>
          <w:sz w:val="20"/>
          <w:szCs w:val="20"/>
          <w:color w:val="auto"/>
        </w:rPr>
      </w:pPr>
      <w:r>
        <w:rPr>
          <w:rFonts w:ascii="Arial" w:cs="Arial" w:eastAsia="Arial" w:hAnsi="Arial"/>
          <w:sz w:val="16"/>
          <w:szCs w:val="16"/>
          <w:color w:val="auto"/>
        </w:rPr>
        <w:t>Total assets</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6"/>
          <w:szCs w:val="16"/>
          <w:color w:val="auto"/>
        </w:rPr>
        <w:t>Liabilities:</w:t>
      </w:r>
    </w:p>
    <w:p>
      <w:pPr>
        <w:spacing w:after="0" w:line="32" w:lineRule="exact"/>
        <w:rPr>
          <w:sz w:val="20"/>
          <w:szCs w:val="20"/>
          <w:color w:val="auto"/>
        </w:rPr>
      </w:pPr>
    </w:p>
    <w:p>
      <w:pPr>
        <w:ind w:left="240"/>
        <w:spacing w:after="0"/>
        <w:rPr>
          <w:sz w:val="20"/>
          <w:szCs w:val="20"/>
          <w:color w:val="auto"/>
        </w:rPr>
      </w:pPr>
      <w:r>
        <w:rPr>
          <w:rFonts w:ascii="Arial" w:cs="Arial" w:eastAsia="Arial" w:hAnsi="Arial"/>
          <w:sz w:val="16"/>
          <w:szCs w:val="16"/>
          <w:color w:val="auto"/>
        </w:rPr>
        <w:t>Commodity contracts subject to rate recovery</w:t>
      </w:r>
    </w:p>
    <w:p>
      <w:pPr>
        <w:spacing w:after="0" w:line="32" w:lineRule="exact"/>
        <w:rPr>
          <w:sz w:val="20"/>
          <w:szCs w:val="20"/>
          <w:color w:val="auto"/>
        </w:rPr>
      </w:pPr>
    </w:p>
    <w:p>
      <w:pPr>
        <w:ind w:left="260"/>
        <w:spacing w:after="0"/>
        <w:rPr>
          <w:sz w:val="20"/>
          <w:szCs w:val="20"/>
          <w:color w:val="auto"/>
        </w:rPr>
      </w:pPr>
      <w:r>
        <w:rPr>
          <w:rFonts w:ascii="Arial" w:cs="Arial" w:eastAsia="Arial" w:hAnsi="Arial"/>
          <w:sz w:val="16"/>
          <w:szCs w:val="16"/>
          <w:color w:val="auto"/>
        </w:rPr>
        <w:t>Liabilities held for sale:</w:t>
      </w:r>
    </w:p>
    <w:p>
      <w:pPr>
        <w:spacing w:after="0" w:line="32" w:lineRule="exact"/>
        <w:rPr>
          <w:sz w:val="20"/>
          <w:szCs w:val="20"/>
          <w:color w:val="auto"/>
        </w:rPr>
      </w:pPr>
    </w:p>
    <w:p>
      <w:pPr>
        <w:ind w:left="480"/>
        <w:spacing w:after="0"/>
        <w:rPr>
          <w:sz w:val="20"/>
          <w:szCs w:val="20"/>
          <w:color w:val="auto"/>
        </w:rPr>
      </w:pPr>
      <w:r>
        <w:rPr>
          <w:rFonts w:ascii="Arial" w:cs="Arial" w:eastAsia="Arial" w:hAnsi="Arial"/>
          <w:sz w:val="16"/>
          <w:szCs w:val="16"/>
          <w:color w:val="auto"/>
        </w:rPr>
        <w:t>Foreign exchange instruments</w:t>
      </w:r>
    </w:p>
    <w:p>
      <w:pPr>
        <w:spacing w:after="0" w:line="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Commodity contracts not subject to rate recovery</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5"/>
        </w:trPr>
        <w:tc>
          <w:tcPr>
            <w:tcW w:w="4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49</w:t>
            </w:r>
          </w:p>
        </w:tc>
        <w:tc>
          <w:tcPr>
            <w:tcW w:w="480" w:type="dxa"/>
            <w:vAlign w:val="bottom"/>
          </w:tcPr>
          <w:p>
            <w:pPr>
              <w:spacing w:after="0"/>
              <w:rPr>
                <w:sz w:val="18"/>
                <w:szCs w:val="18"/>
                <w:color w:val="auto"/>
              </w:rPr>
            </w:pPr>
          </w:p>
        </w:tc>
        <w:tc>
          <w:tcPr>
            <w:tcW w:w="6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520" w:type="dxa"/>
            <w:vAlign w:val="bottom"/>
          </w:tcPr>
          <w:p>
            <w:pPr>
              <w:spacing w:after="0"/>
              <w:rPr>
                <w:sz w:val="18"/>
                <w:szCs w:val="18"/>
                <w:color w:val="auto"/>
              </w:rPr>
            </w:pPr>
          </w:p>
        </w:tc>
        <w:tc>
          <w:tcPr>
            <w:tcW w:w="6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5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49</w:t>
            </w:r>
          </w:p>
        </w:tc>
      </w:tr>
      <w:tr>
        <w:trPr>
          <w:trHeight w:val="215"/>
        </w:trPr>
        <w:tc>
          <w:tcPr>
            <w:tcW w:w="4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w:t>
            </w:r>
          </w:p>
        </w:tc>
        <w:tc>
          <w:tcPr>
            <w:tcW w:w="480" w:type="dxa"/>
            <w:vAlign w:val="bottom"/>
          </w:tcPr>
          <w:p>
            <w:pPr>
              <w:spacing w:after="0"/>
              <w:rPr>
                <w:sz w:val="18"/>
                <w:szCs w:val="18"/>
                <w:color w:val="auto"/>
              </w:rPr>
            </w:pPr>
          </w:p>
        </w:tc>
        <w:tc>
          <w:tcPr>
            <w:tcW w:w="6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520" w:type="dxa"/>
            <w:vAlign w:val="bottom"/>
          </w:tcPr>
          <w:p>
            <w:pPr>
              <w:spacing w:after="0"/>
              <w:rPr>
                <w:sz w:val="18"/>
                <w:szCs w:val="18"/>
                <w:color w:val="auto"/>
              </w:rPr>
            </w:pPr>
          </w:p>
        </w:tc>
        <w:tc>
          <w:tcPr>
            <w:tcW w:w="620" w:type="dxa"/>
            <w:vAlign w:val="bottom"/>
          </w:tcPr>
          <w:p>
            <w:pPr>
              <w:jc w:val="right"/>
              <w:ind w:right="19"/>
              <w:spacing w:after="0"/>
              <w:rPr>
                <w:sz w:val="20"/>
                <w:szCs w:val="20"/>
                <w:color w:val="auto"/>
              </w:rPr>
            </w:pPr>
            <w:r>
              <w:rPr>
                <w:rFonts w:ascii="Arial" w:cs="Arial" w:eastAsia="Arial" w:hAnsi="Arial"/>
                <w:sz w:val="16"/>
                <w:szCs w:val="16"/>
                <w:color w:val="auto"/>
              </w:rPr>
              <w:t>41</w:t>
            </w:r>
          </w:p>
        </w:tc>
        <w:tc>
          <w:tcPr>
            <w:tcW w:w="5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41</w:t>
            </w:r>
          </w:p>
        </w:tc>
      </w:tr>
      <w:tr>
        <w:trPr>
          <w:trHeight w:val="217"/>
        </w:trPr>
        <w:tc>
          <w:tcPr>
            <w:tcW w:w="4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w:t>
            </w:r>
          </w:p>
        </w:tc>
        <w:tc>
          <w:tcPr>
            <w:tcW w:w="4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24</w:t>
            </w:r>
          </w:p>
        </w:tc>
        <w:tc>
          <w:tcPr>
            <w:tcW w:w="5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10</w:t>
            </w:r>
          </w:p>
        </w:tc>
        <w:tc>
          <w:tcPr>
            <w:tcW w:w="50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17</w:t>
            </w:r>
          </w:p>
        </w:tc>
        <w:tc>
          <w:tcPr>
            <w:tcW w:w="3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53</w:t>
            </w:r>
          </w:p>
        </w:tc>
      </w:tr>
      <w:tr>
        <w:trPr>
          <w:trHeight w:val="210"/>
        </w:trPr>
        <w:tc>
          <w:tcPr>
            <w:tcW w:w="4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373</w:t>
            </w:r>
          </w:p>
        </w:tc>
        <w:tc>
          <w:tcPr>
            <w:tcW w:w="4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604</w:t>
            </w:r>
          </w:p>
        </w:tc>
        <w:tc>
          <w:tcPr>
            <w:tcW w:w="5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51</w:t>
            </w:r>
          </w:p>
        </w:tc>
        <w:tc>
          <w:tcPr>
            <w:tcW w:w="5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17</w:t>
            </w:r>
          </w:p>
        </w:tc>
        <w:tc>
          <w:tcPr>
            <w:tcW w:w="3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1,045</w:t>
            </w:r>
          </w:p>
        </w:tc>
      </w:tr>
      <w:tr>
        <w:trPr>
          <w:trHeight w:val="411"/>
        </w:trPr>
        <w:tc>
          <w:tcPr>
            <w:tcW w:w="40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w:t>
            </w:r>
          </w:p>
        </w:tc>
        <w:tc>
          <w:tcPr>
            <w:tcW w:w="480" w:type="dxa"/>
            <w:vAlign w:val="bottom"/>
          </w:tcPr>
          <w:p>
            <w:pPr>
              <w:spacing w:after="0"/>
              <w:rPr>
                <w:sz w:val="24"/>
                <w:szCs w:val="24"/>
                <w:color w:val="auto"/>
              </w:rPr>
            </w:pPr>
          </w:p>
        </w:tc>
        <w:tc>
          <w:tcPr>
            <w:tcW w:w="680" w:type="dxa"/>
            <w:vAlign w:val="bottom"/>
          </w:tcPr>
          <w:p>
            <w:pPr>
              <w:jc w:val="right"/>
              <w:ind w:right="19"/>
              <w:spacing w:after="0"/>
              <w:rPr>
                <w:sz w:val="20"/>
                <w:szCs w:val="20"/>
                <w:color w:val="auto"/>
              </w:rPr>
            </w:pPr>
            <w:r>
              <w:rPr>
                <w:rFonts w:ascii="Arial" w:cs="Arial" w:eastAsia="Arial" w:hAnsi="Arial"/>
                <w:sz w:val="16"/>
                <w:szCs w:val="16"/>
                <w:color w:val="auto"/>
              </w:rPr>
              <w:t>267</w:t>
            </w:r>
          </w:p>
        </w:tc>
        <w:tc>
          <w:tcPr>
            <w:tcW w:w="520" w:type="dxa"/>
            <w:vAlign w:val="bottom"/>
          </w:tcPr>
          <w:p>
            <w:pPr>
              <w:spacing w:after="0"/>
              <w:rPr>
                <w:sz w:val="24"/>
                <w:szCs w:val="24"/>
                <w:color w:val="auto"/>
              </w:rPr>
            </w:pPr>
          </w:p>
        </w:tc>
        <w:tc>
          <w:tcPr>
            <w:tcW w:w="6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500" w:type="dxa"/>
            <w:vAlign w:val="bottom"/>
          </w:tcPr>
          <w:p>
            <w:pPr>
              <w:spacing w:after="0"/>
              <w:rPr>
                <w:sz w:val="24"/>
                <w:szCs w:val="24"/>
                <w:color w:val="auto"/>
              </w:rPr>
            </w:pPr>
          </w:p>
        </w:tc>
        <w:tc>
          <w:tcPr>
            <w:tcW w:w="6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267</w:t>
            </w:r>
          </w:p>
        </w:tc>
      </w:tr>
      <w:tr>
        <w:trPr>
          <w:trHeight w:val="217"/>
        </w:trPr>
        <w:tc>
          <w:tcPr>
            <w:tcW w:w="4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4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8</w:t>
            </w:r>
          </w:p>
        </w:tc>
        <w:tc>
          <w:tcPr>
            <w:tcW w:w="5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w:t>
            </w:r>
          </w:p>
        </w:tc>
        <w:tc>
          <w:tcPr>
            <w:tcW w:w="5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33</w:t>
            </w:r>
          </w:p>
        </w:tc>
        <w:tc>
          <w:tcPr>
            <w:tcW w:w="3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w:t>
            </w:r>
          </w:p>
        </w:tc>
      </w:tr>
      <w:tr>
        <w:trPr>
          <w:trHeight w:val="210"/>
        </w:trPr>
        <w:tc>
          <w:tcPr>
            <w:tcW w:w="4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4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275</w:t>
            </w:r>
          </w:p>
        </w:tc>
        <w:tc>
          <w:tcPr>
            <w:tcW w:w="5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w:t>
            </w:r>
          </w:p>
        </w:tc>
        <w:tc>
          <w:tcPr>
            <w:tcW w:w="5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33</w:t>
            </w:r>
          </w:p>
        </w:tc>
        <w:tc>
          <w:tcPr>
            <w:tcW w:w="3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309</w:t>
            </w:r>
          </w:p>
        </w:tc>
      </w:tr>
      <w:tr>
        <w:trPr>
          <w:trHeight w:val="217"/>
        </w:trPr>
        <w:tc>
          <w:tcPr>
            <w:tcW w:w="40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w w:val="89"/>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373</w:t>
            </w:r>
          </w:p>
        </w:tc>
        <w:tc>
          <w:tcPr>
            <w:tcW w:w="48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879</w:t>
            </w:r>
          </w:p>
        </w:tc>
        <w:tc>
          <w:tcPr>
            <w:tcW w:w="52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auto"/>
              </w:rPr>
              <w:t>$</w:t>
            </w:r>
          </w:p>
        </w:tc>
        <w:tc>
          <w:tcPr>
            <w:tcW w:w="6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52</w:t>
            </w:r>
          </w:p>
        </w:tc>
        <w:tc>
          <w:tcPr>
            <w:tcW w:w="50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50</w:t>
            </w:r>
          </w:p>
        </w:tc>
        <w:tc>
          <w:tcPr>
            <w:tcW w:w="38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1,354</w:t>
            </w:r>
          </w:p>
        </w:tc>
      </w:tr>
      <w:tr>
        <w:trPr>
          <w:trHeight w:val="417"/>
        </w:trPr>
        <w:tc>
          <w:tcPr>
            <w:tcW w:w="400" w:type="dxa"/>
            <w:vAlign w:val="bottom"/>
          </w:tcPr>
          <w:p>
            <w:pPr>
              <w:jc w:val="right"/>
              <w:ind w:right="219"/>
              <w:spacing w:after="0"/>
              <w:rPr>
                <w:sz w:val="20"/>
                <w:szCs w:val="20"/>
                <w:color w:val="auto"/>
              </w:rPr>
            </w:pPr>
            <w:r>
              <w:rPr>
                <w:rFonts w:ascii="Arial" w:cs="Arial" w:eastAsia="Arial" w:hAnsi="Arial"/>
                <w:sz w:val="16"/>
                <w:szCs w:val="16"/>
                <w:color w:val="auto"/>
                <w:w w:val="89"/>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37</w:t>
            </w:r>
          </w:p>
        </w:tc>
        <w:tc>
          <w:tcPr>
            <w:tcW w:w="48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680" w:type="dxa"/>
            <w:vAlign w:val="bottom"/>
          </w:tcPr>
          <w:p>
            <w:pPr>
              <w:jc w:val="right"/>
              <w:ind w:right="19"/>
              <w:spacing w:after="0"/>
              <w:rPr>
                <w:sz w:val="20"/>
                <w:szCs w:val="20"/>
                <w:color w:val="auto"/>
              </w:rPr>
            </w:pPr>
            <w:r>
              <w:rPr>
                <w:rFonts w:ascii="Arial" w:cs="Arial" w:eastAsia="Arial" w:hAnsi="Arial"/>
                <w:sz w:val="16"/>
                <w:szCs w:val="16"/>
                <w:color w:val="auto"/>
              </w:rPr>
              <w:t>107</w:t>
            </w:r>
          </w:p>
        </w:tc>
        <w:tc>
          <w:tcPr>
            <w:tcW w:w="520" w:type="dxa"/>
            <w:vAlign w:val="bottom"/>
          </w:tcPr>
          <w:p>
            <w:pPr>
              <w:jc w:val="right"/>
              <w:ind w:right="259"/>
              <w:spacing w:after="0"/>
              <w:rPr>
                <w:sz w:val="20"/>
                <w:szCs w:val="20"/>
                <w:color w:val="auto"/>
              </w:rPr>
            </w:pPr>
            <w:r>
              <w:rPr>
                <w:rFonts w:ascii="Arial" w:cs="Arial" w:eastAsia="Arial" w:hAnsi="Arial"/>
                <w:sz w:val="16"/>
                <w:szCs w:val="16"/>
                <w:color w:val="auto"/>
              </w:rPr>
              <w:t>$</w:t>
            </w:r>
          </w:p>
        </w:tc>
        <w:tc>
          <w:tcPr>
            <w:tcW w:w="6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500" w:type="dxa"/>
            <w:vAlign w:val="bottom"/>
          </w:tcPr>
          <w:p>
            <w:pPr>
              <w:jc w:val="right"/>
              <w:ind w:right="239"/>
              <w:spacing w:after="0"/>
              <w:rPr>
                <w:sz w:val="20"/>
                <w:szCs w:val="20"/>
                <w:color w:val="auto"/>
              </w:rPr>
            </w:pPr>
            <w:r>
              <w:rPr>
                <w:rFonts w:ascii="Arial" w:cs="Arial" w:eastAsia="Arial" w:hAnsi="Arial"/>
                <w:sz w:val="16"/>
                <w:szCs w:val="16"/>
                <w:color w:val="auto"/>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(78)</w:t>
            </w:r>
          </w:p>
        </w:tc>
        <w:tc>
          <w:tcPr>
            <w:tcW w:w="38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66</w:t>
            </w:r>
          </w:p>
        </w:tc>
      </w:tr>
      <w:tr>
        <w:trPr>
          <w:trHeight w:val="432"/>
        </w:trPr>
        <w:tc>
          <w:tcPr>
            <w:tcW w:w="40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w:t>
            </w:r>
          </w:p>
        </w:tc>
        <w:tc>
          <w:tcPr>
            <w:tcW w:w="480" w:type="dxa"/>
            <w:vAlign w:val="bottom"/>
          </w:tcPr>
          <w:p>
            <w:pPr>
              <w:spacing w:after="0"/>
              <w:rPr>
                <w:sz w:val="24"/>
                <w:szCs w:val="24"/>
                <w:color w:val="auto"/>
              </w:rPr>
            </w:pPr>
          </w:p>
        </w:tc>
        <w:tc>
          <w:tcPr>
            <w:tcW w:w="680" w:type="dxa"/>
            <w:vAlign w:val="bottom"/>
          </w:tcPr>
          <w:p>
            <w:pPr>
              <w:jc w:val="right"/>
              <w:ind w:right="19"/>
              <w:spacing w:after="0"/>
              <w:rPr>
                <w:sz w:val="20"/>
                <w:szCs w:val="20"/>
                <w:color w:val="auto"/>
              </w:rPr>
            </w:pPr>
            <w:r>
              <w:rPr>
                <w:rFonts w:ascii="Arial" w:cs="Arial" w:eastAsia="Arial" w:hAnsi="Arial"/>
                <w:sz w:val="16"/>
                <w:szCs w:val="16"/>
                <w:color w:val="auto"/>
              </w:rPr>
              <w:t>8</w:t>
            </w:r>
          </w:p>
        </w:tc>
        <w:tc>
          <w:tcPr>
            <w:tcW w:w="520" w:type="dxa"/>
            <w:vAlign w:val="bottom"/>
          </w:tcPr>
          <w:p>
            <w:pPr>
              <w:spacing w:after="0"/>
              <w:rPr>
                <w:sz w:val="24"/>
                <w:szCs w:val="24"/>
                <w:color w:val="auto"/>
              </w:rPr>
            </w:pPr>
          </w:p>
        </w:tc>
        <w:tc>
          <w:tcPr>
            <w:tcW w:w="6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500" w:type="dxa"/>
            <w:vAlign w:val="bottom"/>
          </w:tcPr>
          <w:p>
            <w:pPr>
              <w:spacing w:after="0"/>
              <w:rPr>
                <w:sz w:val="24"/>
                <w:szCs w:val="24"/>
                <w:color w:val="auto"/>
              </w:rPr>
            </w:pPr>
          </w:p>
        </w:tc>
        <w:tc>
          <w:tcPr>
            <w:tcW w:w="6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8</w:t>
            </w:r>
          </w:p>
        </w:tc>
      </w:tr>
      <w:tr>
        <w:trPr>
          <w:trHeight w:val="216"/>
        </w:trPr>
        <w:tc>
          <w:tcPr>
            <w:tcW w:w="4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w:t>
            </w:r>
          </w:p>
        </w:tc>
        <w:tc>
          <w:tcPr>
            <w:tcW w:w="480" w:type="dxa"/>
            <w:vAlign w:val="bottom"/>
          </w:tcPr>
          <w:p>
            <w:pPr>
              <w:spacing w:after="0"/>
              <w:rPr>
                <w:sz w:val="18"/>
                <w:szCs w:val="18"/>
                <w:color w:val="auto"/>
              </w:rPr>
            </w:pPr>
          </w:p>
        </w:tc>
        <w:tc>
          <w:tcPr>
            <w:tcW w:w="680" w:type="dxa"/>
            <w:vAlign w:val="bottom"/>
          </w:tcPr>
          <w:p>
            <w:pPr>
              <w:jc w:val="right"/>
              <w:ind w:right="19"/>
              <w:spacing w:after="0"/>
              <w:rPr>
                <w:sz w:val="20"/>
                <w:szCs w:val="20"/>
                <w:color w:val="auto"/>
              </w:rPr>
            </w:pPr>
            <w:r>
              <w:rPr>
                <w:rFonts w:ascii="Arial" w:cs="Arial" w:eastAsia="Arial" w:hAnsi="Arial"/>
                <w:sz w:val="16"/>
                <w:szCs w:val="16"/>
                <w:color w:val="auto"/>
              </w:rPr>
              <w:t>10</w:t>
            </w:r>
          </w:p>
        </w:tc>
        <w:tc>
          <w:tcPr>
            <w:tcW w:w="520" w:type="dxa"/>
            <w:vAlign w:val="bottom"/>
          </w:tcPr>
          <w:p>
            <w:pPr>
              <w:spacing w:after="0"/>
              <w:rPr>
                <w:sz w:val="18"/>
                <w:szCs w:val="18"/>
                <w:color w:val="auto"/>
              </w:rPr>
            </w:pPr>
          </w:p>
        </w:tc>
        <w:tc>
          <w:tcPr>
            <w:tcW w:w="620" w:type="dxa"/>
            <w:vAlign w:val="bottom"/>
          </w:tcPr>
          <w:p>
            <w:pPr>
              <w:jc w:val="right"/>
              <w:ind w:right="19"/>
              <w:spacing w:after="0"/>
              <w:rPr>
                <w:sz w:val="20"/>
                <w:szCs w:val="20"/>
                <w:color w:val="auto"/>
              </w:rPr>
            </w:pPr>
            <w:r>
              <w:rPr>
                <w:rFonts w:ascii="Arial" w:cs="Arial" w:eastAsia="Arial" w:hAnsi="Arial"/>
                <w:sz w:val="16"/>
                <w:szCs w:val="16"/>
                <w:color w:val="auto"/>
              </w:rPr>
              <w:t>56</w:t>
            </w:r>
          </w:p>
        </w:tc>
        <w:tc>
          <w:tcPr>
            <w:tcW w:w="5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(5)</w:t>
            </w:r>
          </w:p>
        </w:tc>
        <w:tc>
          <w:tcPr>
            <w:tcW w:w="3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61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-3321685</wp:posOffset>
            </wp:positionH>
            <wp:positionV relativeFrom="paragraph">
              <wp:posOffset>-1815465</wp:posOffset>
            </wp:positionV>
            <wp:extent cx="6900545" cy="13716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900545" cy="137160"/>
                    </a:xfrm>
                    <a:prstGeom prst="rect">
                      <a:avLst/>
                    </a:prstGeom>
                    <a:noFill/>
                  </pic:spPr>
                </pic:pic>
              </a:graphicData>
            </a:graphic>
          </wp:anchor>
        </w:drawing>
        <w:drawing>
          <wp:anchor simplePos="0" relativeHeight="251657728" behindDoc="1" locked="0" layoutInCell="0" allowOverlap="1">
            <wp:simplePos x="0" y="0"/>
            <wp:positionH relativeFrom="column">
              <wp:posOffset>-3321685</wp:posOffset>
            </wp:positionH>
            <wp:positionV relativeFrom="paragraph">
              <wp:posOffset>-1541145</wp:posOffset>
            </wp:positionV>
            <wp:extent cx="6900545" cy="14541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900545" cy="145415"/>
                    </a:xfrm>
                    <a:prstGeom prst="rect">
                      <a:avLst/>
                    </a:prstGeom>
                    <a:noFill/>
                  </pic:spPr>
                </pic:pic>
              </a:graphicData>
            </a:graphic>
          </wp:anchor>
        </w:drawing>
        <w:drawing>
          <wp:anchor simplePos="0" relativeHeight="251657728" behindDoc="1" locked="0" layoutInCell="0" allowOverlap="1">
            <wp:simplePos x="0" y="0"/>
            <wp:positionH relativeFrom="column">
              <wp:posOffset>-3321685</wp:posOffset>
            </wp:positionH>
            <wp:positionV relativeFrom="paragraph">
              <wp:posOffset>-1257935</wp:posOffset>
            </wp:positionV>
            <wp:extent cx="6900545" cy="13716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900545" cy="137160"/>
                    </a:xfrm>
                    <a:prstGeom prst="rect">
                      <a:avLst/>
                    </a:prstGeom>
                    <a:noFill/>
                  </pic:spPr>
                </pic:pic>
              </a:graphicData>
            </a:graphic>
          </wp:anchor>
        </w:drawing>
        <w:drawing>
          <wp:anchor simplePos="0" relativeHeight="251657728" behindDoc="1" locked="0" layoutInCell="0" allowOverlap="1">
            <wp:simplePos x="0" y="0"/>
            <wp:positionH relativeFrom="column">
              <wp:posOffset>-3321685</wp:posOffset>
            </wp:positionH>
            <wp:positionV relativeFrom="paragraph">
              <wp:posOffset>-983615</wp:posOffset>
            </wp:positionV>
            <wp:extent cx="6900545" cy="14541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900545" cy="145415"/>
                    </a:xfrm>
                    <a:prstGeom prst="rect">
                      <a:avLst/>
                    </a:prstGeom>
                    <a:noFill/>
                  </pic:spPr>
                </pic:pic>
              </a:graphicData>
            </a:graphic>
          </wp:anchor>
        </w:drawing>
        <w:drawing>
          <wp:anchor simplePos="0" relativeHeight="251657728" behindDoc="1" locked="0" layoutInCell="0" allowOverlap="1">
            <wp:simplePos x="0" y="0"/>
            <wp:positionH relativeFrom="column">
              <wp:posOffset>-3321685</wp:posOffset>
            </wp:positionH>
            <wp:positionV relativeFrom="paragraph">
              <wp:posOffset>-683895</wp:posOffset>
            </wp:positionV>
            <wp:extent cx="6900545" cy="13716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900545" cy="137160"/>
                    </a:xfrm>
                    <a:prstGeom prst="rect">
                      <a:avLst/>
                    </a:prstGeom>
                    <a:noFill/>
                  </pic:spPr>
                </pic:pic>
              </a:graphicData>
            </a:graphic>
          </wp:anchor>
        </w:drawing>
        <w:drawing>
          <wp:anchor simplePos="0" relativeHeight="251657728" behindDoc="1" locked="0" layoutInCell="0" allowOverlap="1">
            <wp:simplePos x="0" y="0"/>
            <wp:positionH relativeFrom="column">
              <wp:posOffset>-3321685</wp:posOffset>
            </wp:positionH>
            <wp:positionV relativeFrom="paragraph">
              <wp:posOffset>-409575</wp:posOffset>
            </wp:positionV>
            <wp:extent cx="6900545" cy="13716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900545" cy="137160"/>
                    </a:xfrm>
                    <a:prstGeom prst="rect">
                      <a:avLst/>
                    </a:prstGeom>
                    <a:noFill/>
                  </pic:spPr>
                </pic:pic>
              </a:graphicData>
            </a:graphic>
          </wp:anchor>
        </w:drawing>
        <w:drawing>
          <wp:anchor simplePos="0" relativeHeight="251657728" behindDoc="1" locked="0" layoutInCell="0" allowOverlap="1">
            <wp:simplePos x="0" y="0"/>
            <wp:positionH relativeFrom="column">
              <wp:posOffset>-3321685</wp:posOffset>
            </wp:positionH>
            <wp:positionV relativeFrom="paragraph">
              <wp:posOffset>-135255</wp:posOffset>
            </wp:positionV>
            <wp:extent cx="6900545" cy="13716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900545" cy="137160"/>
                    </a:xfrm>
                    <a:prstGeom prst="rect">
                      <a:avLst/>
                    </a:prstGeom>
                    <a:noFill/>
                  </pic:spPr>
                </pic:pic>
              </a:graphicData>
            </a:graphic>
          </wp:anchor>
        </w:drawing>
      </w:r>
    </w:p>
    <w:p>
      <w:pPr>
        <w:spacing w:after="0" w:line="1" w:lineRule="exact"/>
        <w:rPr>
          <w:sz w:val="20"/>
          <w:szCs w:val="20"/>
          <w:color w:val="auto"/>
        </w:rPr>
      </w:pPr>
    </w:p>
    <w:p>
      <w:pPr>
        <w:sectPr>
          <w:pgSz w:w="11900" w:h="16838" w:orient="portrait"/>
          <w:cols w:equalWidth="0" w:num="2">
            <w:col w:w="4520" w:space="720"/>
            <w:col w:w="5640"/>
          </w:cols>
          <w:pgMar w:left="320" w:top="121" w:right="699" w:bottom="1440" w:gutter="0" w:footer="0" w:header="0"/>
          <w:type w:val="continuous"/>
        </w:sectPr>
      </w:pPr>
    </w:p>
    <w:tbl>
      <w:tblPr>
        <w:tblLayout w:type="fixed"/>
        <w:tblInd w:w="0" w:type="dxa"/>
        <w:tblCellMar>
          <w:top w:w="0" w:type="dxa"/>
          <w:left w:w="0" w:type="dxa"/>
          <w:bottom w:w="0" w:type="dxa"/>
          <w:right w:w="0" w:type="dxa"/>
        </w:tblCellMar>
      </w:tblPr>
      <w:tr>
        <w:trPr>
          <w:trHeight w:val="211"/>
        </w:trPr>
        <w:tc>
          <w:tcPr>
            <w:tcW w:w="5240" w:type="dxa"/>
            <w:vAlign w:val="bottom"/>
            <w:tcBorders>
              <w:bottom w:val="single" w:sz="8" w:color="D4F1F5"/>
            </w:tcBorders>
          </w:tcPr>
          <w:p>
            <w:pPr>
              <w:ind w:left="260"/>
              <w:spacing w:after="0"/>
              <w:rPr>
                <w:sz w:val="20"/>
                <w:szCs w:val="20"/>
                <w:color w:val="auto"/>
              </w:rPr>
            </w:pPr>
            <w:r>
              <w:rPr>
                <w:rFonts w:ascii="Arial" w:cs="Arial" w:eastAsia="Arial" w:hAnsi="Arial"/>
                <w:sz w:val="16"/>
                <w:szCs w:val="16"/>
                <w:color w:val="auto"/>
              </w:rPr>
              <w:t>Total liabilities held for sale</w:t>
            </w:r>
          </w:p>
        </w:tc>
        <w:tc>
          <w:tcPr>
            <w:tcW w:w="440" w:type="dxa"/>
            <w:vAlign w:val="bottom"/>
            <w:tcBorders>
              <w:top w:val="single" w:sz="8" w:color="auto"/>
              <w:bottom w:val="single" w:sz="8" w:color="auto"/>
            </w:tcBorders>
          </w:tcPr>
          <w:p>
            <w:pPr>
              <w:spacing w:after="0"/>
              <w:rPr>
                <w:sz w:val="18"/>
                <w:szCs w:val="18"/>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480" w:type="dxa"/>
            <w:vAlign w:val="bottom"/>
            <w:tcBorders>
              <w:top w:val="single" w:sz="8" w:color="auto"/>
              <w:bottom w:val="single" w:sz="8" w:color="auto"/>
            </w:tcBorders>
          </w:tcPr>
          <w:p>
            <w:pPr>
              <w:spacing w:after="0"/>
              <w:rPr>
                <w:sz w:val="18"/>
                <w:szCs w:val="18"/>
                <w:color w:val="auto"/>
              </w:rPr>
            </w:pPr>
          </w:p>
        </w:tc>
        <w:tc>
          <w:tcPr>
            <w:tcW w:w="68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18</w:t>
            </w:r>
          </w:p>
        </w:tc>
        <w:tc>
          <w:tcPr>
            <w:tcW w:w="520" w:type="dxa"/>
            <w:vAlign w:val="bottom"/>
            <w:tcBorders>
              <w:top w:val="single" w:sz="8" w:color="auto"/>
              <w:bottom w:val="single" w:sz="8" w:color="auto"/>
            </w:tcBorders>
          </w:tcPr>
          <w:p>
            <w:pPr>
              <w:spacing w:after="0"/>
              <w:rPr>
                <w:sz w:val="18"/>
                <w:szCs w:val="18"/>
                <w:color w:val="auto"/>
              </w:rPr>
            </w:pPr>
          </w:p>
        </w:tc>
        <w:tc>
          <w:tcPr>
            <w:tcW w:w="6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56</w:t>
            </w:r>
          </w:p>
        </w:tc>
        <w:tc>
          <w:tcPr>
            <w:tcW w:w="500" w:type="dxa"/>
            <w:vAlign w:val="bottom"/>
            <w:tcBorders>
              <w:top w:val="single" w:sz="8" w:color="auto"/>
              <w:bottom w:val="single" w:sz="8" w:color="auto"/>
            </w:tcBorders>
          </w:tcPr>
          <w:p>
            <w:pPr>
              <w:spacing w:after="0"/>
              <w:rPr>
                <w:sz w:val="18"/>
                <w:szCs w:val="18"/>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w:t>
            </w:r>
          </w:p>
        </w:tc>
        <w:tc>
          <w:tcPr>
            <w:tcW w:w="460" w:type="dxa"/>
            <w:vAlign w:val="bottom"/>
            <w:tcBorders>
              <w:top w:val="single" w:sz="8" w:color="auto"/>
              <w:bottom w:val="single" w:sz="8" w:color="auto"/>
            </w:tcBorders>
          </w:tcPr>
          <w:p>
            <w:pPr>
              <w:spacing w:after="0"/>
              <w:rPr>
                <w:sz w:val="18"/>
                <w:szCs w:val="18"/>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69</w:t>
            </w:r>
          </w:p>
        </w:tc>
      </w:tr>
      <w:tr>
        <w:trPr>
          <w:trHeight w:val="217"/>
        </w:trPr>
        <w:tc>
          <w:tcPr>
            <w:tcW w:w="5240" w:type="dxa"/>
            <w:vAlign w:val="bottom"/>
            <w:tcBorders>
              <w:bottom w:val="single" w:sz="8" w:color="auto"/>
            </w:tcBorders>
            <w:shd w:val="clear" w:color="auto" w:fill="D4F1F5"/>
          </w:tcPr>
          <w:p>
            <w:pPr>
              <w:ind w:left="20"/>
              <w:spacing w:after="0"/>
              <w:rPr>
                <w:sz w:val="20"/>
                <w:szCs w:val="20"/>
                <w:color w:val="auto"/>
              </w:rPr>
            </w:pPr>
            <w:r>
              <w:rPr>
                <w:rFonts w:ascii="Arial" w:cs="Arial" w:eastAsia="Arial" w:hAnsi="Arial"/>
                <w:sz w:val="16"/>
                <w:szCs w:val="16"/>
                <w:color w:val="auto"/>
              </w:rPr>
              <w:t>Total liabilities</w:t>
            </w:r>
          </w:p>
        </w:tc>
        <w:tc>
          <w:tcPr>
            <w:tcW w:w="440" w:type="dxa"/>
            <w:vAlign w:val="bottom"/>
            <w:tcBorders>
              <w:bottom w:val="single" w:sz="8" w:color="auto"/>
            </w:tcBorders>
            <w:shd w:val="clear" w:color="auto" w:fill="D4F1F5"/>
          </w:tcPr>
          <w:p>
            <w:pPr>
              <w:jc w:val="right"/>
              <w:ind w:right="259"/>
              <w:spacing w:after="0"/>
              <w:rPr>
                <w:sz w:val="20"/>
                <w:szCs w:val="20"/>
                <w:color w:val="auto"/>
              </w:rPr>
            </w:pPr>
            <w:r>
              <w:rPr>
                <w:rFonts w:ascii="Arial" w:cs="Arial" w:eastAsia="Arial" w:hAnsi="Arial"/>
                <w:sz w:val="16"/>
                <w:szCs w:val="16"/>
                <w:color w:val="auto"/>
                <w:w w:val="89"/>
              </w:rPr>
              <w:t>$</w:t>
            </w:r>
          </w:p>
        </w:tc>
        <w:tc>
          <w:tcPr>
            <w:tcW w:w="620" w:type="dxa"/>
            <w:vAlign w:val="bottom"/>
            <w:tcBorders>
              <w:bottom w:val="single" w:sz="8" w:color="auto"/>
            </w:tcBorders>
            <w:shd w:val="clear" w:color="auto" w:fill="D4F1F5"/>
          </w:tcPr>
          <w:p>
            <w:pPr>
              <w:jc w:val="right"/>
              <w:spacing w:after="0"/>
              <w:rPr>
                <w:sz w:val="20"/>
                <w:szCs w:val="20"/>
                <w:color w:val="auto"/>
              </w:rPr>
            </w:pPr>
            <w:r>
              <w:rPr>
                <w:rFonts w:ascii="Arial" w:cs="Arial" w:eastAsia="Arial" w:hAnsi="Arial"/>
                <w:sz w:val="16"/>
                <w:szCs w:val="16"/>
                <w:color w:val="auto"/>
              </w:rPr>
              <w:t>37</w:t>
            </w:r>
          </w:p>
        </w:tc>
        <w:tc>
          <w:tcPr>
            <w:tcW w:w="480" w:type="dxa"/>
            <w:vAlign w:val="bottom"/>
            <w:tcBorders>
              <w:bottom w:val="single" w:sz="8" w:color="auto"/>
            </w:tcBorders>
            <w:shd w:val="clear" w:color="auto" w:fill="D4F1F5"/>
          </w:tcPr>
          <w:p>
            <w:pPr>
              <w:jc w:val="right"/>
              <w:ind w:right="219"/>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auto"/>
            </w:tcBorders>
            <w:shd w:val="clear" w:color="auto" w:fill="D4F1F5"/>
          </w:tcPr>
          <w:p>
            <w:pPr>
              <w:jc w:val="right"/>
              <w:ind w:right="19"/>
              <w:spacing w:after="0"/>
              <w:rPr>
                <w:sz w:val="20"/>
                <w:szCs w:val="20"/>
                <w:color w:val="auto"/>
              </w:rPr>
            </w:pPr>
            <w:r>
              <w:rPr>
                <w:rFonts w:ascii="Arial" w:cs="Arial" w:eastAsia="Arial" w:hAnsi="Arial"/>
                <w:sz w:val="16"/>
                <w:szCs w:val="16"/>
                <w:color w:val="auto"/>
              </w:rPr>
              <w:t>125</w:t>
            </w:r>
          </w:p>
        </w:tc>
        <w:tc>
          <w:tcPr>
            <w:tcW w:w="520" w:type="dxa"/>
            <w:vAlign w:val="bottom"/>
            <w:tcBorders>
              <w:bottom w:val="single" w:sz="8" w:color="auto"/>
            </w:tcBorders>
            <w:shd w:val="clear" w:color="auto" w:fill="D4F1F5"/>
          </w:tcPr>
          <w:p>
            <w:pPr>
              <w:jc w:val="right"/>
              <w:ind w:right="259"/>
              <w:spacing w:after="0"/>
              <w:rPr>
                <w:sz w:val="20"/>
                <w:szCs w:val="20"/>
                <w:color w:val="auto"/>
              </w:rPr>
            </w:pPr>
            <w:r>
              <w:rPr>
                <w:rFonts w:ascii="Arial" w:cs="Arial" w:eastAsia="Arial" w:hAnsi="Arial"/>
                <w:sz w:val="16"/>
                <w:szCs w:val="16"/>
                <w:color w:val="auto"/>
              </w:rPr>
              <w:t>$</w:t>
            </w:r>
          </w:p>
        </w:tc>
        <w:tc>
          <w:tcPr>
            <w:tcW w:w="620" w:type="dxa"/>
            <w:vAlign w:val="bottom"/>
            <w:tcBorders>
              <w:bottom w:val="single" w:sz="8" w:color="auto"/>
            </w:tcBorders>
            <w:shd w:val="clear" w:color="auto" w:fill="D4F1F5"/>
          </w:tcPr>
          <w:p>
            <w:pPr>
              <w:jc w:val="right"/>
              <w:ind w:right="19"/>
              <w:spacing w:after="0"/>
              <w:rPr>
                <w:sz w:val="20"/>
                <w:szCs w:val="20"/>
                <w:color w:val="auto"/>
              </w:rPr>
            </w:pPr>
            <w:r>
              <w:rPr>
                <w:rFonts w:ascii="Arial" w:cs="Arial" w:eastAsia="Arial" w:hAnsi="Arial"/>
                <w:sz w:val="16"/>
                <w:szCs w:val="16"/>
                <w:color w:val="auto"/>
              </w:rPr>
              <w:t>56</w:t>
            </w:r>
          </w:p>
        </w:tc>
        <w:tc>
          <w:tcPr>
            <w:tcW w:w="500" w:type="dxa"/>
            <w:vAlign w:val="bottom"/>
            <w:tcBorders>
              <w:bottom w:val="single" w:sz="8" w:color="auto"/>
            </w:tcBorders>
            <w:shd w:val="clear" w:color="auto" w:fill="D4F1F5"/>
          </w:tcPr>
          <w:p>
            <w:pPr>
              <w:jc w:val="right"/>
              <w:ind w:right="239"/>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auto"/>
            </w:tcBorders>
            <w:shd w:val="clear" w:color="auto" w:fill="D4F1F5"/>
          </w:tcPr>
          <w:p>
            <w:pPr>
              <w:jc w:val="right"/>
              <w:spacing w:after="0"/>
              <w:rPr>
                <w:sz w:val="20"/>
                <w:szCs w:val="20"/>
                <w:color w:val="auto"/>
              </w:rPr>
            </w:pPr>
            <w:r>
              <w:rPr>
                <w:rFonts w:ascii="Arial" w:cs="Arial" w:eastAsia="Arial" w:hAnsi="Arial"/>
                <w:sz w:val="16"/>
                <w:szCs w:val="16"/>
                <w:color w:val="auto"/>
              </w:rPr>
              <w:t>(83)</w:t>
            </w:r>
          </w:p>
        </w:tc>
        <w:tc>
          <w:tcPr>
            <w:tcW w:w="460" w:type="dxa"/>
            <w:vAlign w:val="bottom"/>
            <w:tcBorders>
              <w:bottom w:val="single" w:sz="8" w:color="auto"/>
            </w:tcBorders>
            <w:shd w:val="clear" w:color="auto" w:fill="D4F1F5"/>
          </w:tcPr>
          <w:p>
            <w:pPr>
              <w:jc w:val="right"/>
              <w:ind w:right="219"/>
              <w:spacing w:after="0"/>
              <w:rPr>
                <w:sz w:val="20"/>
                <w:szCs w:val="20"/>
                <w:color w:val="auto"/>
              </w:rPr>
            </w:pPr>
            <w:r>
              <w:rPr>
                <w:rFonts w:ascii="Arial" w:cs="Arial" w:eastAsia="Arial" w:hAnsi="Arial"/>
                <w:sz w:val="16"/>
                <w:szCs w:val="16"/>
                <w:color w:val="auto"/>
              </w:rPr>
              <w:t>$</w:t>
            </w:r>
          </w:p>
        </w:tc>
        <w:tc>
          <w:tcPr>
            <w:tcW w:w="640" w:type="dxa"/>
            <w:vAlign w:val="bottom"/>
            <w:tcBorders>
              <w:bottom w:val="single" w:sz="8" w:color="auto"/>
            </w:tcBorders>
            <w:shd w:val="clear" w:color="auto" w:fill="D4F1F5"/>
          </w:tcPr>
          <w:p>
            <w:pPr>
              <w:jc w:val="right"/>
              <w:spacing w:after="0"/>
              <w:rPr>
                <w:sz w:val="20"/>
                <w:szCs w:val="20"/>
                <w:color w:val="auto"/>
              </w:rPr>
            </w:pPr>
            <w:r>
              <w:rPr>
                <w:rFonts w:ascii="Arial" w:cs="Arial" w:eastAsia="Arial" w:hAnsi="Arial"/>
                <w:sz w:val="16"/>
                <w:szCs w:val="16"/>
                <w:color w:val="auto"/>
              </w:rPr>
              <w:t>135</w:t>
            </w:r>
          </w:p>
        </w:tc>
      </w:tr>
    </w:tbl>
    <w:p>
      <w:pPr>
        <w:spacing w:after="0" w:line="61" w:lineRule="exact"/>
        <w:rPr>
          <w:sz w:val="20"/>
          <w:szCs w:val="20"/>
          <w:color w:val="auto"/>
        </w:rPr>
      </w:pPr>
    </w:p>
    <w:p>
      <w:pPr>
        <w:ind w:left="260" w:hanging="252"/>
        <w:spacing w:after="0"/>
        <w:tabs>
          <w:tab w:leader="none" w:pos="260" w:val="left"/>
        </w:tabs>
        <w:numPr>
          <w:ilvl w:val="0"/>
          <w:numId w:val="27"/>
        </w:numPr>
        <w:rPr>
          <w:rFonts w:ascii="Arial" w:cs="Arial" w:eastAsia="Arial" w:hAnsi="Arial"/>
          <w:sz w:val="21"/>
          <w:szCs w:val="21"/>
          <w:i w:val="1"/>
          <w:iCs w:val="1"/>
          <w:color w:val="auto"/>
          <w:vertAlign w:val="superscript"/>
        </w:rPr>
      </w:pPr>
      <w:r>
        <w:rPr>
          <w:rFonts w:ascii="Arial" w:cs="Arial" w:eastAsia="Arial" w:hAnsi="Arial"/>
          <w:sz w:val="14"/>
          <w:szCs w:val="14"/>
          <w:i w:val="1"/>
          <w:iCs w:val="1"/>
          <w:color w:val="auto"/>
        </w:rPr>
        <w:t>Includes the effect of the contractual ability to settle contracts under master netting agreements and with cash collateral, as well as cash collateral not offset.</w:t>
      </w:r>
    </w:p>
    <w:p>
      <w:pPr>
        <w:spacing w:after="0" w:line="39" w:lineRule="exact"/>
        <w:rPr>
          <w:rFonts w:ascii="Arial" w:cs="Arial" w:eastAsia="Arial" w:hAnsi="Arial"/>
          <w:sz w:val="21"/>
          <w:szCs w:val="21"/>
          <w:i w:val="1"/>
          <w:iCs w:val="1"/>
          <w:color w:val="auto"/>
          <w:vertAlign w:val="superscript"/>
        </w:rPr>
      </w:pPr>
    </w:p>
    <w:p>
      <w:pPr>
        <w:ind w:left="260" w:hanging="252"/>
        <w:spacing w:after="0" w:line="183" w:lineRule="auto"/>
        <w:tabs>
          <w:tab w:leader="none" w:pos="260" w:val="left"/>
        </w:tabs>
        <w:numPr>
          <w:ilvl w:val="0"/>
          <w:numId w:val="27"/>
        </w:numPr>
        <w:rPr>
          <w:rFonts w:ascii="Arial" w:cs="Arial" w:eastAsia="Arial" w:hAnsi="Arial"/>
          <w:sz w:val="20"/>
          <w:szCs w:val="20"/>
          <w:i w:val="1"/>
          <w:iCs w:val="1"/>
          <w:color w:val="auto"/>
          <w:vertAlign w:val="superscript"/>
        </w:rPr>
      </w:pPr>
      <w:r>
        <w:rPr>
          <w:rFonts w:ascii="Arial" w:cs="Arial" w:eastAsia="Arial" w:hAnsi="Arial"/>
          <w:sz w:val="14"/>
          <w:szCs w:val="14"/>
          <w:i w:val="1"/>
          <w:iCs w:val="1"/>
          <w:color w:val="auto"/>
        </w:rPr>
        <w:t>Excludes receivables (payables), net.</w:t>
      </w:r>
    </w:p>
    <w:p>
      <w:pPr>
        <w:spacing w:after="0" w:line="200" w:lineRule="exact"/>
        <w:rPr>
          <w:sz w:val="20"/>
          <w:szCs w:val="20"/>
          <w:color w:val="auto"/>
        </w:rPr>
      </w:pPr>
    </w:p>
    <w:p>
      <w:pPr>
        <w:spacing w:after="0" w:line="250"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150495</wp:posOffset>
            </wp:positionV>
            <wp:extent cx="7157720"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80"/>
          </w:cols>
          <w:pgMar w:left="320" w:top="121" w:right="699" w:bottom="1440" w:gutter="0" w:footer="0" w:header="0"/>
          <w:type w:val="continuous"/>
        </w:sectPr>
      </w:pPr>
    </w:p>
    <w:bookmarkStart w:id="64" w:name="page65"/>
    <w:bookmarkEnd w:id="6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480060</wp:posOffset>
            </wp:positionV>
            <wp:extent cx="7115175" cy="3003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15175" cy="3003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FFFFFF"/>
        </w:rPr>
        <w:t>RECURRING FAIR VALUE MEASURES</w:t>
      </w:r>
    </w:p>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5900" w:type="dxa"/>
            <w:vAlign w:val="bottom"/>
          </w:tcPr>
          <w:p>
            <w:pPr>
              <w:ind w:left="20"/>
              <w:spacing w:after="0"/>
              <w:rPr>
                <w:sz w:val="20"/>
                <w:szCs w:val="20"/>
                <w:color w:val="auto"/>
              </w:rPr>
            </w:pPr>
            <w:r>
              <w:rPr>
                <w:rFonts w:ascii="Arial" w:cs="Arial" w:eastAsia="Arial" w:hAnsi="Arial"/>
                <w:sz w:val="14"/>
                <w:szCs w:val="14"/>
                <w:i w:val="1"/>
                <w:iCs w:val="1"/>
                <w:color w:val="FFFFFF"/>
              </w:rPr>
              <w:t>(Dollars in millions)</w:t>
            </w:r>
          </w:p>
        </w:tc>
        <w:tc>
          <w:tcPr>
            <w:tcW w:w="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59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199"/>
              <w:spacing w:after="0"/>
              <w:rPr>
                <w:sz w:val="20"/>
                <w:szCs w:val="20"/>
                <w:color w:val="auto"/>
              </w:rPr>
            </w:pPr>
            <w:r>
              <w:rPr>
                <w:rFonts w:ascii="Arial" w:cs="Arial" w:eastAsia="Arial" w:hAnsi="Arial"/>
                <w:sz w:val="14"/>
                <w:szCs w:val="14"/>
                <w:color w:val="auto"/>
              </w:rPr>
              <w:t>Level 1</w:t>
            </w:r>
          </w:p>
        </w:tc>
        <w:tc>
          <w:tcPr>
            <w:tcW w:w="26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00"/>
              <w:spacing w:after="0"/>
              <w:rPr>
                <w:sz w:val="20"/>
                <w:szCs w:val="20"/>
                <w:color w:val="auto"/>
              </w:rPr>
            </w:pPr>
            <w:r>
              <w:rPr>
                <w:rFonts w:ascii="Arial" w:cs="Arial" w:eastAsia="Arial" w:hAnsi="Arial"/>
                <w:sz w:val="14"/>
                <w:szCs w:val="14"/>
                <w:color w:val="auto"/>
              </w:rPr>
              <w:t>Level 2</w:t>
            </w:r>
          </w:p>
        </w:tc>
        <w:tc>
          <w:tcPr>
            <w:tcW w:w="2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center"/>
              <w:ind w:right="199"/>
              <w:spacing w:after="0"/>
              <w:rPr>
                <w:sz w:val="20"/>
                <w:szCs w:val="20"/>
                <w:color w:val="auto"/>
              </w:rPr>
            </w:pPr>
            <w:r>
              <w:rPr>
                <w:rFonts w:ascii="Arial" w:cs="Arial" w:eastAsia="Arial" w:hAnsi="Arial"/>
                <w:sz w:val="14"/>
                <w:szCs w:val="14"/>
                <w:color w:val="auto"/>
              </w:rPr>
              <w:t>Level 3</w:t>
            </w:r>
          </w:p>
        </w:tc>
        <w:tc>
          <w:tcPr>
            <w:tcW w:w="16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ind w:left="60"/>
              <w:spacing w:after="0"/>
              <w:rPr>
                <w:sz w:val="20"/>
                <w:szCs w:val="20"/>
                <w:color w:val="auto"/>
              </w:rPr>
            </w:pPr>
            <w:r>
              <w:rPr>
                <w:rFonts w:ascii="Arial" w:cs="Arial" w:eastAsia="Arial" w:hAnsi="Arial"/>
                <w:sz w:val="14"/>
                <w:szCs w:val="14"/>
                <w:color w:val="auto"/>
              </w:rPr>
              <w:t>Netting</w:t>
            </w:r>
            <w:r>
              <w:rPr>
                <w:rFonts w:ascii="Arial" w:cs="Arial" w:eastAsia="Arial" w:hAnsi="Arial"/>
                <w:sz w:val="18"/>
                <w:szCs w:val="18"/>
                <w:color w:val="auto"/>
                <w:vertAlign w:val="superscript"/>
              </w:rPr>
              <w:t>(1)</w:t>
            </w:r>
          </w:p>
        </w:tc>
        <w:tc>
          <w:tcPr>
            <w:tcW w:w="32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259"/>
              <w:spacing w:after="0"/>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206"/>
        </w:trPr>
        <w:tc>
          <w:tcPr>
            <w:tcW w:w="590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2980" w:type="dxa"/>
            <w:vAlign w:val="bottom"/>
            <w:tcBorders>
              <w:bottom w:val="single" w:sz="8" w:color="auto"/>
            </w:tcBorders>
            <w:gridSpan w:val="5"/>
          </w:tcPr>
          <w:p>
            <w:pPr>
              <w:jc w:val="center"/>
              <w:ind w:right="100"/>
              <w:spacing w:after="0"/>
              <w:rPr>
                <w:sz w:val="20"/>
                <w:szCs w:val="20"/>
                <w:color w:val="auto"/>
              </w:rPr>
            </w:pPr>
            <w:r>
              <w:rPr>
                <w:rFonts w:ascii="Arial" w:cs="Arial" w:eastAsia="Arial" w:hAnsi="Arial"/>
                <w:sz w:val="14"/>
                <w:szCs w:val="14"/>
                <w:color w:val="auto"/>
              </w:rPr>
              <w:t>Fair value at March 31, 2026</w:t>
            </w:r>
          </w:p>
        </w:tc>
        <w:tc>
          <w:tcPr>
            <w:tcW w:w="3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5900" w:type="dxa"/>
            <w:vAlign w:val="bottom"/>
            <w:shd w:val="clear" w:color="auto" w:fill="D4F1F5"/>
          </w:tcPr>
          <w:p>
            <w:pPr>
              <w:ind w:left="20"/>
              <w:spacing w:after="0"/>
              <w:rPr>
                <w:sz w:val="20"/>
                <w:szCs w:val="20"/>
                <w:color w:val="auto"/>
              </w:rPr>
            </w:pPr>
            <w:r>
              <w:rPr>
                <w:rFonts w:ascii="Arial" w:cs="Arial" w:eastAsia="Arial" w:hAnsi="Arial"/>
                <w:sz w:val="16"/>
                <w:szCs w:val="16"/>
                <w:b w:val="1"/>
                <w:bCs w:val="1"/>
                <w:color w:val="auto"/>
              </w:rPr>
              <w:t>SDG&amp;E:</w:t>
            </w:r>
          </w:p>
        </w:tc>
        <w:tc>
          <w:tcPr>
            <w:tcW w:w="180" w:type="dxa"/>
            <w:vAlign w:val="bottom"/>
            <w:shd w:val="clear" w:color="auto" w:fill="D4F1F5"/>
          </w:tcPr>
          <w:p>
            <w:pPr>
              <w:spacing w:after="0"/>
              <w:rPr>
                <w:sz w:val="18"/>
                <w:szCs w:val="18"/>
                <w:color w:val="auto"/>
              </w:rPr>
            </w:pPr>
          </w:p>
        </w:tc>
        <w:tc>
          <w:tcPr>
            <w:tcW w:w="820" w:type="dxa"/>
            <w:vAlign w:val="bottom"/>
            <w:shd w:val="clear" w:color="auto" w:fill="D4F1F5"/>
          </w:tcPr>
          <w:p>
            <w:pPr>
              <w:spacing w:after="0"/>
              <w:rPr>
                <w:sz w:val="18"/>
                <w:szCs w:val="18"/>
                <w:color w:val="auto"/>
              </w:rPr>
            </w:pPr>
          </w:p>
        </w:tc>
        <w:tc>
          <w:tcPr>
            <w:tcW w:w="260" w:type="dxa"/>
            <w:vAlign w:val="bottom"/>
            <w:shd w:val="clear" w:color="auto" w:fill="D4F1F5"/>
          </w:tcPr>
          <w:p>
            <w:pPr>
              <w:spacing w:after="0"/>
              <w:rPr>
                <w:sz w:val="18"/>
                <w:szCs w:val="18"/>
                <w:color w:val="auto"/>
              </w:rPr>
            </w:pPr>
          </w:p>
        </w:tc>
        <w:tc>
          <w:tcPr>
            <w:tcW w:w="820" w:type="dxa"/>
            <w:vAlign w:val="bottom"/>
            <w:shd w:val="clear" w:color="auto" w:fill="D4F1F5"/>
          </w:tcPr>
          <w:p>
            <w:pPr>
              <w:spacing w:after="0"/>
              <w:rPr>
                <w:sz w:val="18"/>
                <w:szCs w:val="18"/>
                <w:color w:val="auto"/>
              </w:rPr>
            </w:pPr>
          </w:p>
        </w:tc>
        <w:tc>
          <w:tcPr>
            <w:tcW w:w="260" w:type="dxa"/>
            <w:vAlign w:val="bottom"/>
            <w:shd w:val="clear" w:color="auto" w:fill="D4F1F5"/>
          </w:tcPr>
          <w:p>
            <w:pPr>
              <w:spacing w:after="0"/>
              <w:rPr>
                <w:sz w:val="18"/>
                <w:szCs w:val="18"/>
                <w:color w:val="auto"/>
              </w:rPr>
            </w:pPr>
          </w:p>
        </w:tc>
        <w:tc>
          <w:tcPr>
            <w:tcW w:w="900" w:type="dxa"/>
            <w:vAlign w:val="bottom"/>
            <w:shd w:val="clear" w:color="auto" w:fill="D4F1F5"/>
          </w:tcPr>
          <w:p>
            <w:pPr>
              <w:spacing w:after="0"/>
              <w:rPr>
                <w:sz w:val="18"/>
                <w:szCs w:val="18"/>
                <w:color w:val="auto"/>
              </w:rPr>
            </w:pPr>
          </w:p>
        </w:tc>
        <w:tc>
          <w:tcPr>
            <w:tcW w:w="160" w:type="dxa"/>
            <w:vAlign w:val="bottom"/>
            <w:shd w:val="clear" w:color="auto" w:fill="D4F1F5"/>
          </w:tcPr>
          <w:p>
            <w:pPr>
              <w:spacing w:after="0"/>
              <w:rPr>
                <w:sz w:val="18"/>
                <w:szCs w:val="18"/>
                <w:color w:val="auto"/>
              </w:rPr>
            </w:pPr>
          </w:p>
        </w:tc>
        <w:tc>
          <w:tcPr>
            <w:tcW w:w="840" w:type="dxa"/>
            <w:vAlign w:val="bottom"/>
            <w:shd w:val="clear" w:color="auto" w:fill="D4F1F5"/>
          </w:tcPr>
          <w:p>
            <w:pPr>
              <w:spacing w:after="0"/>
              <w:rPr>
                <w:sz w:val="18"/>
                <w:szCs w:val="18"/>
                <w:color w:val="auto"/>
              </w:rPr>
            </w:pPr>
          </w:p>
        </w:tc>
        <w:tc>
          <w:tcPr>
            <w:tcW w:w="320" w:type="dxa"/>
            <w:vAlign w:val="bottom"/>
            <w:shd w:val="clear" w:color="auto" w:fill="D4F1F5"/>
          </w:tcPr>
          <w:p>
            <w:pPr>
              <w:spacing w:after="0"/>
              <w:rPr>
                <w:sz w:val="18"/>
                <w:szCs w:val="18"/>
                <w:color w:val="auto"/>
              </w:rPr>
            </w:pPr>
          </w:p>
        </w:tc>
        <w:tc>
          <w:tcPr>
            <w:tcW w:w="760" w:type="dxa"/>
            <w:vAlign w:val="bottom"/>
            <w:shd w:val="clear" w:color="auto" w:fill="D4F1F5"/>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900" w:type="dxa"/>
            <w:vAlign w:val="bottom"/>
          </w:tcPr>
          <w:p>
            <w:pPr>
              <w:ind w:left="20"/>
              <w:spacing w:after="0"/>
              <w:rPr>
                <w:sz w:val="20"/>
                <w:szCs w:val="20"/>
                <w:color w:val="auto"/>
              </w:rPr>
            </w:pPr>
            <w:r>
              <w:rPr>
                <w:rFonts w:ascii="Arial" w:cs="Arial" w:eastAsia="Arial" w:hAnsi="Arial"/>
                <w:sz w:val="16"/>
                <w:szCs w:val="16"/>
                <w:color w:val="auto"/>
              </w:rPr>
              <w:t>Assets:</w:t>
            </w: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5900" w:type="dxa"/>
            <w:vAlign w:val="bottom"/>
            <w:shd w:val="clear" w:color="auto" w:fill="D4F1F5"/>
          </w:tcPr>
          <w:p>
            <w:pPr>
              <w:ind w:left="240"/>
              <w:spacing w:after="0"/>
              <w:rPr>
                <w:sz w:val="20"/>
                <w:szCs w:val="20"/>
                <w:color w:val="auto"/>
              </w:rPr>
            </w:pPr>
            <w:r>
              <w:rPr>
                <w:rFonts w:ascii="Arial" w:cs="Arial" w:eastAsia="Arial" w:hAnsi="Arial"/>
                <w:sz w:val="16"/>
                <w:szCs w:val="16"/>
                <w:color w:val="auto"/>
              </w:rPr>
              <w:t>Nuclear decommissioning trusts:</w:t>
            </w:r>
          </w:p>
        </w:tc>
        <w:tc>
          <w:tcPr>
            <w:tcW w:w="180" w:type="dxa"/>
            <w:vAlign w:val="bottom"/>
            <w:shd w:val="clear" w:color="auto" w:fill="D4F1F5"/>
          </w:tcPr>
          <w:p>
            <w:pPr>
              <w:spacing w:after="0"/>
              <w:rPr>
                <w:sz w:val="18"/>
                <w:szCs w:val="18"/>
                <w:color w:val="auto"/>
              </w:rPr>
            </w:pPr>
          </w:p>
        </w:tc>
        <w:tc>
          <w:tcPr>
            <w:tcW w:w="820" w:type="dxa"/>
            <w:vAlign w:val="bottom"/>
            <w:shd w:val="clear" w:color="auto" w:fill="D4F1F5"/>
          </w:tcPr>
          <w:p>
            <w:pPr>
              <w:spacing w:after="0"/>
              <w:rPr>
                <w:sz w:val="18"/>
                <w:szCs w:val="18"/>
                <w:color w:val="auto"/>
              </w:rPr>
            </w:pPr>
          </w:p>
        </w:tc>
        <w:tc>
          <w:tcPr>
            <w:tcW w:w="260" w:type="dxa"/>
            <w:vAlign w:val="bottom"/>
            <w:shd w:val="clear" w:color="auto" w:fill="D4F1F5"/>
          </w:tcPr>
          <w:p>
            <w:pPr>
              <w:spacing w:after="0"/>
              <w:rPr>
                <w:sz w:val="18"/>
                <w:szCs w:val="18"/>
                <w:color w:val="auto"/>
              </w:rPr>
            </w:pPr>
          </w:p>
        </w:tc>
        <w:tc>
          <w:tcPr>
            <w:tcW w:w="820" w:type="dxa"/>
            <w:vAlign w:val="bottom"/>
            <w:shd w:val="clear" w:color="auto" w:fill="D4F1F5"/>
          </w:tcPr>
          <w:p>
            <w:pPr>
              <w:spacing w:after="0"/>
              <w:rPr>
                <w:sz w:val="18"/>
                <w:szCs w:val="18"/>
                <w:color w:val="auto"/>
              </w:rPr>
            </w:pPr>
          </w:p>
        </w:tc>
        <w:tc>
          <w:tcPr>
            <w:tcW w:w="260" w:type="dxa"/>
            <w:vAlign w:val="bottom"/>
            <w:shd w:val="clear" w:color="auto" w:fill="D4F1F5"/>
          </w:tcPr>
          <w:p>
            <w:pPr>
              <w:spacing w:after="0"/>
              <w:rPr>
                <w:sz w:val="18"/>
                <w:szCs w:val="18"/>
                <w:color w:val="auto"/>
              </w:rPr>
            </w:pPr>
          </w:p>
        </w:tc>
        <w:tc>
          <w:tcPr>
            <w:tcW w:w="900" w:type="dxa"/>
            <w:vAlign w:val="bottom"/>
            <w:shd w:val="clear" w:color="auto" w:fill="D4F1F5"/>
          </w:tcPr>
          <w:p>
            <w:pPr>
              <w:spacing w:after="0"/>
              <w:rPr>
                <w:sz w:val="18"/>
                <w:szCs w:val="18"/>
                <w:color w:val="auto"/>
              </w:rPr>
            </w:pPr>
          </w:p>
        </w:tc>
        <w:tc>
          <w:tcPr>
            <w:tcW w:w="160" w:type="dxa"/>
            <w:vAlign w:val="bottom"/>
            <w:shd w:val="clear" w:color="auto" w:fill="D4F1F5"/>
          </w:tcPr>
          <w:p>
            <w:pPr>
              <w:spacing w:after="0"/>
              <w:rPr>
                <w:sz w:val="18"/>
                <w:szCs w:val="18"/>
                <w:color w:val="auto"/>
              </w:rPr>
            </w:pPr>
          </w:p>
        </w:tc>
        <w:tc>
          <w:tcPr>
            <w:tcW w:w="840" w:type="dxa"/>
            <w:vAlign w:val="bottom"/>
            <w:shd w:val="clear" w:color="auto" w:fill="D4F1F5"/>
          </w:tcPr>
          <w:p>
            <w:pPr>
              <w:spacing w:after="0"/>
              <w:rPr>
                <w:sz w:val="18"/>
                <w:szCs w:val="18"/>
                <w:color w:val="auto"/>
              </w:rPr>
            </w:pPr>
          </w:p>
        </w:tc>
        <w:tc>
          <w:tcPr>
            <w:tcW w:w="320" w:type="dxa"/>
            <w:vAlign w:val="bottom"/>
            <w:shd w:val="clear" w:color="auto" w:fill="D4F1F5"/>
          </w:tcPr>
          <w:p>
            <w:pPr>
              <w:spacing w:after="0"/>
              <w:rPr>
                <w:sz w:val="18"/>
                <w:szCs w:val="18"/>
                <w:color w:val="auto"/>
              </w:rPr>
            </w:pPr>
          </w:p>
        </w:tc>
        <w:tc>
          <w:tcPr>
            <w:tcW w:w="760" w:type="dxa"/>
            <w:vAlign w:val="bottom"/>
            <w:shd w:val="clear" w:color="auto" w:fill="D4F1F5"/>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900" w:type="dxa"/>
            <w:vAlign w:val="bottom"/>
            <w:tcBorders>
              <w:bottom w:val="single" w:sz="8" w:color="D4F1F5"/>
            </w:tcBorders>
          </w:tcPr>
          <w:p>
            <w:pPr>
              <w:ind w:left="460"/>
              <w:spacing w:after="0"/>
              <w:rPr>
                <w:sz w:val="20"/>
                <w:szCs w:val="20"/>
                <w:color w:val="auto"/>
              </w:rPr>
            </w:pPr>
            <w:r>
              <w:rPr>
                <w:rFonts w:ascii="Arial" w:cs="Arial" w:eastAsia="Arial" w:hAnsi="Arial"/>
                <w:sz w:val="16"/>
                <w:szCs w:val="16"/>
                <w:color w:val="auto"/>
              </w:rPr>
              <w:t>Short-term investments, primarily cash equivalents</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22</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3</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D4F1F5"/>
            </w:tcBorders>
          </w:tcPr>
          <w:p>
            <w:pPr>
              <w:spacing w:after="0"/>
              <w:rPr>
                <w:sz w:val="18"/>
                <w:szCs w:val="18"/>
                <w:color w:val="auto"/>
              </w:rPr>
            </w:pPr>
          </w:p>
        </w:tc>
        <w:tc>
          <w:tcPr>
            <w:tcW w:w="840" w:type="dxa"/>
            <w:vAlign w:val="bottom"/>
            <w:tcBorders>
              <w:bottom w:val="single" w:sz="8" w:color="D4F1F5"/>
            </w:tcBorders>
          </w:tcPr>
          <w:p>
            <w:pPr>
              <w:spacing w:after="0"/>
              <w:rPr>
                <w:sz w:val="18"/>
                <w:szCs w:val="18"/>
                <w:color w:val="auto"/>
              </w:rPr>
            </w:pPr>
          </w:p>
        </w:tc>
        <w:tc>
          <w:tcPr>
            <w:tcW w:w="3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w:t>
            </w:r>
          </w:p>
        </w:tc>
        <w:tc>
          <w:tcPr>
            <w:tcW w:w="0" w:type="dxa"/>
            <w:vAlign w:val="bottom"/>
          </w:tcPr>
          <w:p>
            <w:pPr>
              <w:spacing w:after="0"/>
              <w:rPr>
                <w:sz w:val="1"/>
                <w:szCs w:val="1"/>
                <w:color w:val="auto"/>
              </w:rPr>
            </w:pPr>
          </w:p>
        </w:tc>
      </w:tr>
      <w:tr>
        <w:trPr>
          <w:trHeight w:val="210"/>
        </w:trPr>
        <w:tc>
          <w:tcPr>
            <w:tcW w:w="5900" w:type="dxa"/>
            <w:vAlign w:val="bottom"/>
            <w:shd w:val="clear" w:color="auto" w:fill="D4F1F5"/>
          </w:tcPr>
          <w:p>
            <w:pPr>
              <w:ind w:left="460"/>
              <w:spacing w:after="0"/>
              <w:rPr>
                <w:sz w:val="20"/>
                <w:szCs w:val="20"/>
                <w:color w:val="auto"/>
              </w:rPr>
            </w:pPr>
            <w:r>
              <w:rPr>
                <w:rFonts w:ascii="Arial" w:cs="Arial" w:eastAsia="Arial" w:hAnsi="Arial"/>
                <w:sz w:val="16"/>
                <w:szCs w:val="16"/>
                <w:color w:val="auto"/>
              </w:rPr>
              <w:t>Equity securities</w:t>
            </w:r>
          </w:p>
        </w:tc>
        <w:tc>
          <w:tcPr>
            <w:tcW w:w="180" w:type="dxa"/>
            <w:vAlign w:val="bottom"/>
            <w:tcBorders>
              <w:bottom w:val="single" w:sz="8" w:color="auto"/>
            </w:tcBorders>
            <w:shd w:val="clear" w:color="auto" w:fill="D4F1F5"/>
          </w:tcPr>
          <w:p>
            <w:pPr>
              <w:spacing w:after="0"/>
              <w:rPr>
                <w:sz w:val="18"/>
                <w:szCs w:val="18"/>
                <w:color w:val="auto"/>
              </w:rPr>
            </w:pPr>
          </w:p>
        </w:tc>
        <w:tc>
          <w:tcPr>
            <w:tcW w:w="820" w:type="dxa"/>
            <w:vAlign w:val="bottom"/>
            <w:tcBorders>
              <w:bottom w:val="single" w:sz="8" w:color="auto"/>
            </w:tcBorders>
            <w:shd w:val="clear" w:color="auto" w:fill="D4F1F5"/>
          </w:tcPr>
          <w:p>
            <w:pPr>
              <w:jc w:val="right"/>
              <w:ind w:right="19"/>
              <w:spacing w:after="0"/>
              <w:rPr>
                <w:sz w:val="20"/>
                <w:szCs w:val="20"/>
                <w:color w:val="auto"/>
              </w:rPr>
            </w:pPr>
            <w:r>
              <w:rPr>
                <w:rFonts w:ascii="Arial" w:cs="Arial" w:eastAsia="Arial" w:hAnsi="Arial"/>
                <w:sz w:val="16"/>
                <w:szCs w:val="16"/>
                <w:color w:val="auto"/>
              </w:rPr>
              <w:t>270</w:t>
            </w:r>
          </w:p>
        </w:tc>
        <w:tc>
          <w:tcPr>
            <w:tcW w:w="260" w:type="dxa"/>
            <w:vAlign w:val="bottom"/>
            <w:tcBorders>
              <w:bottom w:val="single" w:sz="8" w:color="auto"/>
            </w:tcBorders>
            <w:shd w:val="clear" w:color="auto" w:fill="D4F1F5"/>
          </w:tcPr>
          <w:p>
            <w:pPr>
              <w:spacing w:after="0"/>
              <w:rPr>
                <w:sz w:val="18"/>
                <w:szCs w:val="18"/>
                <w:color w:val="auto"/>
              </w:rPr>
            </w:pPr>
          </w:p>
        </w:tc>
        <w:tc>
          <w:tcPr>
            <w:tcW w:w="820" w:type="dxa"/>
            <w:vAlign w:val="bottom"/>
            <w:tcBorders>
              <w:bottom w:val="single" w:sz="8" w:color="auto"/>
            </w:tcBorders>
            <w:shd w:val="clear" w:color="auto" w:fill="D4F1F5"/>
          </w:tcPr>
          <w:p>
            <w:pPr>
              <w:jc w:val="right"/>
              <w:ind w:right="20"/>
              <w:spacing w:after="0"/>
              <w:rPr>
                <w:sz w:val="20"/>
                <w:szCs w:val="20"/>
                <w:color w:val="auto"/>
              </w:rPr>
            </w:pPr>
            <w:r>
              <w:rPr>
                <w:rFonts w:ascii="Arial" w:cs="Arial" w:eastAsia="Arial" w:hAnsi="Arial"/>
                <w:sz w:val="16"/>
                <w:szCs w:val="16"/>
                <w:color w:val="auto"/>
              </w:rPr>
              <w:t>2</w:t>
            </w:r>
          </w:p>
        </w:tc>
        <w:tc>
          <w:tcPr>
            <w:tcW w:w="260" w:type="dxa"/>
            <w:vAlign w:val="bottom"/>
            <w:tcBorders>
              <w:bottom w:val="single" w:sz="8" w:color="auto"/>
            </w:tcBorders>
            <w:shd w:val="clear" w:color="auto" w:fill="D4F1F5"/>
          </w:tcPr>
          <w:p>
            <w:pPr>
              <w:spacing w:after="0"/>
              <w:rPr>
                <w:sz w:val="18"/>
                <w:szCs w:val="18"/>
                <w:color w:val="auto"/>
              </w:rPr>
            </w:pPr>
          </w:p>
        </w:tc>
        <w:tc>
          <w:tcPr>
            <w:tcW w:w="900" w:type="dxa"/>
            <w:vAlign w:val="bottom"/>
            <w:tcBorders>
              <w:bottom w:val="single" w:sz="8" w:color="auto"/>
            </w:tcBorders>
            <w:shd w:val="clear" w:color="auto" w:fill="D4F1F5"/>
          </w:tcPr>
          <w:p>
            <w:pPr>
              <w:jc w:val="right"/>
              <w:ind w:right="99"/>
              <w:spacing w:after="0"/>
              <w:rPr>
                <w:sz w:val="20"/>
                <w:szCs w:val="20"/>
                <w:color w:val="auto"/>
              </w:rPr>
            </w:pPr>
            <w:r>
              <w:rPr>
                <w:rFonts w:ascii="Arial" w:cs="Arial" w:eastAsia="Arial" w:hAnsi="Arial"/>
                <w:sz w:val="16"/>
                <w:szCs w:val="16"/>
                <w:color w:val="auto"/>
              </w:rPr>
              <w:t>—</w:t>
            </w:r>
          </w:p>
        </w:tc>
        <w:tc>
          <w:tcPr>
            <w:tcW w:w="160" w:type="dxa"/>
            <w:vAlign w:val="bottom"/>
            <w:shd w:val="clear" w:color="auto" w:fill="D4F1F5"/>
          </w:tcPr>
          <w:p>
            <w:pPr>
              <w:spacing w:after="0"/>
              <w:rPr>
                <w:sz w:val="18"/>
                <w:szCs w:val="18"/>
                <w:color w:val="auto"/>
              </w:rPr>
            </w:pPr>
          </w:p>
        </w:tc>
        <w:tc>
          <w:tcPr>
            <w:tcW w:w="840" w:type="dxa"/>
            <w:vAlign w:val="bottom"/>
            <w:shd w:val="clear" w:color="auto" w:fill="D4F1F5"/>
          </w:tcPr>
          <w:p>
            <w:pPr>
              <w:spacing w:after="0"/>
              <w:rPr>
                <w:sz w:val="18"/>
                <w:szCs w:val="18"/>
                <w:color w:val="auto"/>
              </w:rPr>
            </w:pPr>
          </w:p>
        </w:tc>
        <w:tc>
          <w:tcPr>
            <w:tcW w:w="320" w:type="dxa"/>
            <w:vAlign w:val="bottom"/>
            <w:tcBorders>
              <w:bottom w:val="single" w:sz="8" w:color="auto"/>
            </w:tcBorders>
            <w:shd w:val="clear" w:color="auto" w:fill="D4F1F5"/>
          </w:tcPr>
          <w:p>
            <w:pPr>
              <w:spacing w:after="0"/>
              <w:rPr>
                <w:sz w:val="18"/>
                <w:szCs w:val="18"/>
                <w:color w:val="auto"/>
              </w:rPr>
            </w:pPr>
          </w:p>
        </w:tc>
        <w:tc>
          <w:tcPr>
            <w:tcW w:w="760" w:type="dxa"/>
            <w:vAlign w:val="bottom"/>
            <w:tcBorders>
              <w:bottom w:val="single" w:sz="8" w:color="auto"/>
            </w:tcBorders>
            <w:shd w:val="clear" w:color="auto" w:fill="D4F1F5"/>
          </w:tcPr>
          <w:p>
            <w:pPr>
              <w:jc w:val="right"/>
              <w:spacing w:after="0"/>
              <w:rPr>
                <w:sz w:val="20"/>
                <w:szCs w:val="20"/>
                <w:color w:val="auto"/>
              </w:rPr>
            </w:pPr>
            <w:r>
              <w:rPr>
                <w:rFonts w:ascii="Arial" w:cs="Arial" w:eastAsia="Arial" w:hAnsi="Arial"/>
                <w:sz w:val="16"/>
                <w:szCs w:val="16"/>
                <w:color w:val="auto"/>
              </w:rPr>
              <w:t>272</w:t>
            </w:r>
          </w:p>
        </w:tc>
        <w:tc>
          <w:tcPr>
            <w:tcW w:w="0" w:type="dxa"/>
            <w:vAlign w:val="bottom"/>
          </w:tcPr>
          <w:p>
            <w:pPr>
              <w:spacing w:after="0"/>
              <w:rPr>
                <w:sz w:val="1"/>
                <w:szCs w:val="1"/>
                <w:color w:val="auto"/>
              </w:rPr>
            </w:pPr>
          </w:p>
        </w:tc>
      </w:tr>
      <w:tr>
        <w:trPr>
          <w:trHeight w:val="208"/>
        </w:trPr>
        <w:tc>
          <w:tcPr>
            <w:tcW w:w="5900" w:type="dxa"/>
            <w:vAlign w:val="bottom"/>
          </w:tcPr>
          <w:p>
            <w:pPr>
              <w:ind w:left="460"/>
              <w:spacing w:after="0"/>
              <w:rPr>
                <w:sz w:val="20"/>
                <w:szCs w:val="20"/>
                <w:color w:val="auto"/>
              </w:rPr>
            </w:pPr>
            <w:r>
              <w:rPr>
                <w:rFonts w:ascii="Arial" w:cs="Arial" w:eastAsia="Arial" w:hAnsi="Arial"/>
                <w:sz w:val="16"/>
                <w:szCs w:val="16"/>
                <w:color w:val="auto"/>
              </w:rPr>
              <w:t>Debt securities:</w:t>
            </w: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3"/>
        </w:trPr>
        <w:tc>
          <w:tcPr>
            <w:tcW w:w="5900" w:type="dxa"/>
            <w:vAlign w:val="bottom"/>
            <w:shd w:val="clear" w:color="auto" w:fill="D4F1F5"/>
          </w:tcPr>
          <w:p>
            <w:pPr>
              <w:ind w:left="680"/>
              <w:spacing w:after="0" w:line="163" w:lineRule="exact"/>
              <w:rPr>
                <w:sz w:val="20"/>
                <w:szCs w:val="20"/>
                <w:color w:val="auto"/>
              </w:rPr>
            </w:pPr>
            <w:r>
              <w:rPr>
                <w:rFonts w:ascii="Arial" w:cs="Arial" w:eastAsia="Arial" w:hAnsi="Arial"/>
                <w:sz w:val="16"/>
                <w:szCs w:val="16"/>
                <w:color w:val="auto"/>
              </w:rPr>
              <w:t>Debt securities issued by the U.S. Treasury and other</w:t>
            </w:r>
          </w:p>
        </w:tc>
        <w:tc>
          <w:tcPr>
            <w:tcW w:w="180" w:type="dxa"/>
            <w:vAlign w:val="bottom"/>
            <w:shd w:val="clear" w:color="auto" w:fill="D4F1F5"/>
          </w:tcPr>
          <w:p>
            <w:pPr>
              <w:spacing w:after="0"/>
              <w:rPr>
                <w:sz w:val="14"/>
                <w:szCs w:val="14"/>
                <w:color w:val="auto"/>
              </w:rPr>
            </w:pPr>
          </w:p>
        </w:tc>
        <w:tc>
          <w:tcPr>
            <w:tcW w:w="820" w:type="dxa"/>
            <w:vAlign w:val="bottom"/>
            <w:vMerge w:val="restart"/>
            <w:shd w:val="clear" w:color="auto" w:fill="D4F1F5"/>
          </w:tcPr>
          <w:p>
            <w:pPr>
              <w:jc w:val="right"/>
              <w:ind w:right="19"/>
              <w:spacing w:after="0"/>
              <w:rPr>
                <w:sz w:val="20"/>
                <w:szCs w:val="20"/>
                <w:color w:val="auto"/>
              </w:rPr>
            </w:pPr>
            <w:r>
              <w:rPr>
                <w:rFonts w:ascii="Arial" w:cs="Arial" w:eastAsia="Arial" w:hAnsi="Arial"/>
                <w:sz w:val="16"/>
                <w:szCs w:val="16"/>
                <w:color w:val="auto"/>
              </w:rPr>
              <w:t>27</w:t>
            </w:r>
          </w:p>
        </w:tc>
        <w:tc>
          <w:tcPr>
            <w:tcW w:w="260" w:type="dxa"/>
            <w:vAlign w:val="bottom"/>
            <w:shd w:val="clear" w:color="auto" w:fill="D4F1F5"/>
          </w:tcPr>
          <w:p>
            <w:pPr>
              <w:spacing w:after="0"/>
              <w:rPr>
                <w:sz w:val="14"/>
                <w:szCs w:val="14"/>
                <w:color w:val="auto"/>
              </w:rPr>
            </w:pPr>
          </w:p>
        </w:tc>
        <w:tc>
          <w:tcPr>
            <w:tcW w:w="820" w:type="dxa"/>
            <w:vAlign w:val="bottom"/>
            <w:vMerge w:val="restart"/>
            <w:shd w:val="clear" w:color="auto" w:fill="D4F1F5"/>
          </w:tcPr>
          <w:p>
            <w:pPr>
              <w:jc w:val="right"/>
              <w:ind w:right="20"/>
              <w:spacing w:after="0"/>
              <w:rPr>
                <w:sz w:val="20"/>
                <w:szCs w:val="20"/>
                <w:color w:val="auto"/>
              </w:rPr>
            </w:pPr>
            <w:r>
              <w:rPr>
                <w:rFonts w:ascii="Arial" w:cs="Arial" w:eastAsia="Arial" w:hAnsi="Arial"/>
                <w:sz w:val="16"/>
                <w:szCs w:val="16"/>
                <w:color w:val="auto"/>
              </w:rPr>
              <w:t>16</w:t>
            </w:r>
          </w:p>
        </w:tc>
        <w:tc>
          <w:tcPr>
            <w:tcW w:w="260" w:type="dxa"/>
            <w:vAlign w:val="bottom"/>
            <w:shd w:val="clear" w:color="auto" w:fill="D4F1F5"/>
          </w:tcPr>
          <w:p>
            <w:pPr>
              <w:spacing w:after="0"/>
              <w:rPr>
                <w:sz w:val="14"/>
                <w:szCs w:val="14"/>
                <w:color w:val="auto"/>
              </w:rPr>
            </w:pPr>
          </w:p>
        </w:tc>
        <w:tc>
          <w:tcPr>
            <w:tcW w:w="900" w:type="dxa"/>
            <w:vAlign w:val="bottom"/>
            <w:vMerge w:val="restart"/>
            <w:shd w:val="clear" w:color="auto" w:fill="D4F1F5"/>
          </w:tcPr>
          <w:p>
            <w:pPr>
              <w:jc w:val="right"/>
              <w:ind w:right="99"/>
              <w:spacing w:after="0"/>
              <w:rPr>
                <w:sz w:val="20"/>
                <w:szCs w:val="20"/>
                <w:color w:val="auto"/>
              </w:rPr>
            </w:pPr>
            <w:r>
              <w:rPr>
                <w:rFonts w:ascii="Arial" w:cs="Arial" w:eastAsia="Arial" w:hAnsi="Arial"/>
                <w:sz w:val="16"/>
                <w:szCs w:val="16"/>
                <w:color w:val="auto"/>
              </w:rPr>
              <w:t>—</w:t>
            </w:r>
          </w:p>
        </w:tc>
        <w:tc>
          <w:tcPr>
            <w:tcW w:w="160" w:type="dxa"/>
            <w:vAlign w:val="bottom"/>
            <w:shd w:val="clear" w:color="auto" w:fill="D4F1F5"/>
          </w:tcPr>
          <w:p>
            <w:pPr>
              <w:spacing w:after="0"/>
              <w:rPr>
                <w:sz w:val="14"/>
                <w:szCs w:val="14"/>
                <w:color w:val="auto"/>
              </w:rPr>
            </w:pPr>
          </w:p>
        </w:tc>
        <w:tc>
          <w:tcPr>
            <w:tcW w:w="840" w:type="dxa"/>
            <w:vAlign w:val="bottom"/>
            <w:shd w:val="clear" w:color="auto" w:fill="D4F1F5"/>
          </w:tcPr>
          <w:p>
            <w:pPr>
              <w:spacing w:after="0"/>
              <w:rPr>
                <w:sz w:val="14"/>
                <w:szCs w:val="14"/>
                <w:color w:val="auto"/>
              </w:rPr>
            </w:pPr>
          </w:p>
        </w:tc>
        <w:tc>
          <w:tcPr>
            <w:tcW w:w="320" w:type="dxa"/>
            <w:vAlign w:val="bottom"/>
            <w:shd w:val="clear" w:color="auto" w:fill="D4F1F5"/>
          </w:tcPr>
          <w:p>
            <w:pPr>
              <w:spacing w:after="0"/>
              <w:rPr>
                <w:sz w:val="14"/>
                <w:szCs w:val="14"/>
                <w:color w:val="auto"/>
              </w:rPr>
            </w:pPr>
          </w:p>
        </w:tc>
        <w:tc>
          <w:tcPr>
            <w:tcW w:w="760" w:type="dxa"/>
            <w:vAlign w:val="bottom"/>
            <w:vMerge w:val="restart"/>
            <w:shd w:val="clear" w:color="auto" w:fill="D4F1F5"/>
          </w:tcPr>
          <w:p>
            <w:pPr>
              <w:jc w:val="right"/>
              <w:spacing w:after="0"/>
              <w:rPr>
                <w:sz w:val="20"/>
                <w:szCs w:val="20"/>
                <w:color w:val="auto"/>
              </w:rPr>
            </w:pPr>
            <w:r>
              <w:rPr>
                <w:rFonts w:ascii="Arial" w:cs="Arial" w:eastAsia="Arial" w:hAnsi="Arial"/>
                <w:sz w:val="16"/>
                <w:szCs w:val="16"/>
                <w:color w:val="auto"/>
              </w:rPr>
              <w:t>43</w:t>
            </w:r>
          </w:p>
        </w:tc>
        <w:tc>
          <w:tcPr>
            <w:tcW w:w="0" w:type="dxa"/>
            <w:vAlign w:val="bottom"/>
          </w:tcPr>
          <w:p>
            <w:pPr>
              <w:spacing w:after="0"/>
              <w:rPr>
                <w:sz w:val="1"/>
                <w:szCs w:val="1"/>
                <w:color w:val="auto"/>
              </w:rPr>
            </w:pPr>
          </w:p>
        </w:tc>
      </w:tr>
      <w:tr>
        <w:trPr>
          <w:trHeight w:val="216"/>
        </w:trPr>
        <w:tc>
          <w:tcPr>
            <w:tcW w:w="5900" w:type="dxa"/>
            <w:vAlign w:val="bottom"/>
            <w:shd w:val="clear" w:color="auto" w:fill="D4F1F5"/>
          </w:tcPr>
          <w:p>
            <w:pPr>
              <w:ind w:left="880"/>
              <w:spacing w:after="0"/>
              <w:rPr>
                <w:sz w:val="20"/>
                <w:szCs w:val="20"/>
                <w:color w:val="auto"/>
              </w:rPr>
            </w:pPr>
            <w:r>
              <w:rPr>
                <w:rFonts w:ascii="Arial" w:cs="Arial" w:eastAsia="Arial" w:hAnsi="Arial"/>
                <w:sz w:val="16"/>
                <w:szCs w:val="16"/>
                <w:color w:val="auto"/>
              </w:rPr>
              <w:t>U.S. government corporations and agencies</w:t>
            </w:r>
          </w:p>
        </w:tc>
        <w:tc>
          <w:tcPr>
            <w:tcW w:w="180" w:type="dxa"/>
            <w:vAlign w:val="bottom"/>
            <w:shd w:val="clear" w:color="auto" w:fill="D4F1F5"/>
          </w:tcPr>
          <w:p>
            <w:pPr>
              <w:spacing w:after="0"/>
              <w:rPr>
                <w:sz w:val="18"/>
                <w:szCs w:val="18"/>
                <w:color w:val="auto"/>
              </w:rPr>
            </w:pPr>
          </w:p>
        </w:tc>
        <w:tc>
          <w:tcPr>
            <w:tcW w:w="820" w:type="dxa"/>
            <w:vAlign w:val="bottom"/>
            <w:vMerge w:val="continue"/>
            <w:shd w:val="clear" w:color="auto" w:fill="D4F1F5"/>
          </w:tcPr>
          <w:p>
            <w:pPr>
              <w:spacing w:after="0"/>
              <w:rPr>
                <w:sz w:val="18"/>
                <w:szCs w:val="18"/>
                <w:color w:val="auto"/>
              </w:rPr>
            </w:pPr>
          </w:p>
        </w:tc>
        <w:tc>
          <w:tcPr>
            <w:tcW w:w="260" w:type="dxa"/>
            <w:vAlign w:val="bottom"/>
            <w:shd w:val="clear" w:color="auto" w:fill="D4F1F5"/>
          </w:tcPr>
          <w:p>
            <w:pPr>
              <w:spacing w:after="0"/>
              <w:rPr>
                <w:sz w:val="18"/>
                <w:szCs w:val="18"/>
                <w:color w:val="auto"/>
              </w:rPr>
            </w:pPr>
          </w:p>
        </w:tc>
        <w:tc>
          <w:tcPr>
            <w:tcW w:w="820" w:type="dxa"/>
            <w:vAlign w:val="bottom"/>
            <w:vMerge w:val="continue"/>
            <w:shd w:val="clear" w:color="auto" w:fill="D4F1F5"/>
          </w:tcPr>
          <w:p>
            <w:pPr>
              <w:spacing w:after="0"/>
              <w:rPr>
                <w:sz w:val="18"/>
                <w:szCs w:val="18"/>
                <w:color w:val="auto"/>
              </w:rPr>
            </w:pPr>
          </w:p>
        </w:tc>
        <w:tc>
          <w:tcPr>
            <w:tcW w:w="260" w:type="dxa"/>
            <w:vAlign w:val="bottom"/>
            <w:shd w:val="clear" w:color="auto" w:fill="D4F1F5"/>
          </w:tcPr>
          <w:p>
            <w:pPr>
              <w:spacing w:after="0"/>
              <w:rPr>
                <w:sz w:val="18"/>
                <w:szCs w:val="18"/>
                <w:color w:val="auto"/>
              </w:rPr>
            </w:pPr>
          </w:p>
        </w:tc>
        <w:tc>
          <w:tcPr>
            <w:tcW w:w="900" w:type="dxa"/>
            <w:vAlign w:val="bottom"/>
            <w:vMerge w:val="continue"/>
            <w:shd w:val="clear" w:color="auto" w:fill="D4F1F5"/>
          </w:tcPr>
          <w:p>
            <w:pPr>
              <w:spacing w:after="0"/>
              <w:rPr>
                <w:sz w:val="18"/>
                <w:szCs w:val="18"/>
                <w:color w:val="auto"/>
              </w:rPr>
            </w:pPr>
          </w:p>
        </w:tc>
        <w:tc>
          <w:tcPr>
            <w:tcW w:w="160" w:type="dxa"/>
            <w:vAlign w:val="bottom"/>
            <w:shd w:val="clear" w:color="auto" w:fill="D4F1F5"/>
          </w:tcPr>
          <w:p>
            <w:pPr>
              <w:spacing w:after="0"/>
              <w:rPr>
                <w:sz w:val="18"/>
                <w:szCs w:val="18"/>
                <w:color w:val="auto"/>
              </w:rPr>
            </w:pPr>
          </w:p>
        </w:tc>
        <w:tc>
          <w:tcPr>
            <w:tcW w:w="840" w:type="dxa"/>
            <w:vAlign w:val="bottom"/>
            <w:shd w:val="clear" w:color="auto" w:fill="D4F1F5"/>
          </w:tcPr>
          <w:p>
            <w:pPr>
              <w:spacing w:after="0"/>
              <w:rPr>
                <w:sz w:val="18"/>
                <w:szCs w:val="18"/>
                <w:color w:val="auto"/>
              </w:rPr>
            </w:pPr>
          </w:p>
        </w:tc>
        <w:tc>
          <w:tcPr>
            <w:tcW w:w="320" w:type="dxa"/>
            <w:vAlign w:val="bottom"/>
            <w:shd w:val="clear" w:color="auto" w:fill="D4F1F5"/>
          </w:tcPr>
          <w:p>
            <w:pPr>
              <w:spacing w:after="0"/>
              <w:rPr>
                <w:sz w:val="18"/>
                <w:szCs w:val="18"/>
                <w:color w:val="auto"/>
              </w:rPr>
            </w:pPr>
          </w:p>
        </w:tc>
        <w:tc>
          <w:tcPr>
            <w:tcW w:w="760" w:type="dxa"/>
            <w:vAlign w:val="bottom"/>
            <w:vMerge w:val="continue"/>
            <w:shd w:val="clear" w:color="auto" w:fill="D4F1F5"/>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900" w:type="dxa"/>
            <w:vAlign w:val="bottom"/>
          </w:tcPr>
          <w:p>
            <w:pPr>
              <w:ind w:left="680"/>
              <w:spacing w:after="0"/>
              <w:rPr>
                <w:sz w:val="20"/>
                <w:szCs w:val="20"/>
                <w:color w:val="auto"/>
              </w:rPr>
            </w:pPr>
            <w:r>
              <w:rPr>
                <w:rFonts w:ascii="Arial" w:cs="Arial" w:eastAsia="Arial" w:hAnsi="Arial"/>
                <w:sz w:val="16"/>
                <w:szCs w:val="16"/>
                <w:color w:val="auto"/>
              </w:rPr>
              <w:t>Municipal bonds</w:t>
            </w:r>
          </w:p>
        </w:tc>
        <w:tc>
          <w:tcPr>
            <w:tcW w:w="180" w:type="dxa"/>
            <w:vAlign w:val="bottom"/>
          </w:tcPr>
          <w:p>
            <w:pPr>
              <w:spacing w:after="0"/>
              <w:rPr>
                <w:sz w:val="18"/>
                <w:szCs w:val="18"/>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820" w:type="dxa"/>
            <w:vAlign w:val="bottom"/>
          </w:tcPr>
          <w:p>
            <w:pPr>
              <w:jc w:val="right"/>
              <w:ind w:right="20"/>
              <w:spacing w:after="0"/>
              <w:rPr>
                <w:sz w:val="20"/>
                <w:szCs w:val="20"/>
                <w:color w:val="auto"/>
              </w:rPr>
            </w:pPr>
            <w:r>
              <w:rPr>
                <w:rFonts w:ascii="Arial" w:cs="Arial" w:eastAsia="Arial" w:hAnsi="Arial"/>
                <w:sz w:val="16"/>
                <w:szCs w:val="16"/>
                <w:color w:val="auto"/>
              </w:rPr>
              <w:t>291</w:t>
            </w:r>
          </w:p>
        </w:tc>
        <w:tc>
          <w:tcPr>
            <w:tcW w:w="260" w:type="dxa"/>
            <w:vAlign w:val="bottom"/>
          </w:tcPr>
          <w:p>
            <w:pPr>
              <w:spacing w:after="0"/>
              <w:rPr>
                <w:sz w:val="18"/>
                <w:szCs w:val="18"/>
                <w:color w:val="auto"/>
              </w:rPr>
            </w:pPr>
          </w:p>
        </w:tc>
        <w:tc>
          <w:tcPr>
            <w:tcW w:w="9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291</w:t>
            </w:r>
          </w:p>
        </w:tc>
        <w:tc>
          <w:tcPr>
            <w:tcW w:w="0" w:type="dxa"/>
            <w:vAlign w:val="bottom"/>
          </w:tcPr>
          <w:p>
            <w:pPr>
              <w:spacing w:after="0"/>
              <w:rPr>
                <w:sz w:val="1"/>
                <w:szCs w:val="1"/>
                <w:color w:val="auto"/>
              </w:rPr>
            </w:pPr>
          </w:p>
        </w:tc>
      </w:tr>
      <w:tr>
        <w:trPr>
          <w:trHeight w:val="217"/>
        </w:trPr>
        <w:tc>
          <w:tcPr>
            <w:tcW w:w="5900" w:type="dxa"/>
            <w:vAlign w:val="bottom"/>
            <w:shd w:val="clear" w:color="auto" w:fill="D4F1F5"/>
          </w:tcPr>
          <w:p>
            <w:pPr>
              <w:ind w:left="680"/>
              <w:spacing w:after="0"/>
              <w:rPr>
                <w:sz w:val="20"/>
                <w:szCs w:val="20"/>
                <w:color w:val="auto"/>
              </w:rPr>
            </w:pPr>
            <w:r>
              <w:rPr>
                <w:rFonts w:ascii="Arial" w:cs="Arial" w:eastAsia="Arial" w:hAnsi="Arial"/>
                <w:sz w:val="16"/>
                <w:szCs w:val="16"/>
                <w:color w:val="auto"/>
              </w:rPr>
              <w:t>Other securities</w:t>
            </w:r>
          </w:p>
        </w:tc>
        <w:tc>
          <w:tcPr>
            <w:tcW w:w="180" w:type="dxa"/>
            <w:vAlign w:val="bottom"/>
            <w:tcBorders>
              <w:bottom w:val="single" w:sz="8" w:color="auto"/>
            </w:tcBorders>
            <w:shd w:val="clear" w:color="auto" w:fill="D4F1F5"/>
          </w:tcPr>
          <w:p>
            <w:pPr>
              <w:spacing w:after="0"/>
              <w:rPr>
                <w:sz w:val="18"/>
                <w:szCs w:val="18"/>
                <w:color w:val="auto"/>
              </w:rPr>
            </w:pPr>
          </w:p>
        </w:tc>
        <w:tc>
          <w:tcPr>
            <w:tcW w:w="820" w:type="dxa"/>
            <w:vAlign w:val="bottom"/>
            <w:tcBorders>
              <w:bottom w:val="single" w:sz="8" w:color="auto"/>
            </w:tcBorders>
            <w:shd w:val="clear" w:color="auto" w:fill="D4F1F5"/>
          </w:tcPr>
          <w:p>
            <w:pPr>
              <w:jc w:val="right"/>
              <w:ind w:right="19"/>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auto"/>
            </w:tcBorders>
            <w:shd w:val="clear" w:color="auto" w:fill="D4F1F5"/>
          </w:tcPr>
          <w:p>
            <w:pPr>
              <w:spacing w:after="0"/>
              <w:rPr>
                <w:sz w:val="18"/>
                <w:szCs w:val="18"/>
                <w:color w:val="auto"/>
              </w:rPr>
            </w:pPr>
          </w:p>
        </w:tc>
        <w:tc>
          <w:tcPr>
            <w:tcW w:w="820" w:type="dxa"/>
            <w:vAlign w:val="bottom"/>
            <w:tcBorders>
              <w:bottom w:val="single" w:sz="8" w:color="auto"/>
            </w:tcBorders>
            <w:shd w:val="clear" w:color="auto" w:fill="D4F1F5"/>
          </w:tcPr>
          <w:p>
            <w:pPr>
              <w:jc w:val="right"/>
              <w:ind w:right="20"/>
              <w:spacing w:after="0"/>
              <w:rPr>
                <w:sz w:val="20"/>
                <w:szCs w:val="20"/>
                <w:color w:val="auto"/>
              </w:rPr>
            </w:pPr>
            <w:r>
              <w:rPr>
                <w:rFonts w:ascii="Arial" w:cs="Arial" w:eastAsia="Arial" w:hAnsi="Arial"/>
                <w:sz w:val="16"/>
                <w:szCs w:val="16"/>
                <w:color w:val="auto"/>
              </w:rPr>
              <w:t>261</w:t>
            </w:r>
          </w:p>
        </w:tc>
        <w:tc>
          <w:tcPr>
            <w:tcW w:w="260" w:type="dxa"/>
            <w:vAlign w:val="bottom"/>
            <w:tcBorders>
              <w:bottom w:val="single" w:sz="8" w:color="auto"/>
            </w:tcBorders>
            <w:shd w:val="clear" w:color="auto" w:fill="D4F1F5"/>
          </w:tcPr>
          <w:p>
            <w:pPr>
              <w:spacing w:after="0"/>
              <w:rPr>
                <w:sz w:val="18"/>
                <w:szCs w:val="18"/>
                <w:color w:val="auto"/>
              </w:rPr>
            </w:pPr>
          </w:p>
        </w:tc>
        <w:tc>
          <w:tcPr>
            <w:tcW w:w="900" w:type="dxa"/>
            <w:vAlign w:val="bottom"/>
            <w:tcBorders>
              <w:bottom w:val="single" w:sz="8" w:color="auto"/>
            </w:tcBorders>
            <w:shd w:val="clear" w:color="auto" w:fill="D4F1F5"/>
          </w:tcPr>
          <w:p>
            <w:pPr>
              <w:jc w:val="right"/>
              <w:ind w:right="99"/>
              <w:spacing w:after="0"/>
              <w:rPr>
                <w:sz w:val="20"/>
                <w:szCs w:val="20"/>
                <w:color w:val="auto"/>
              </w:rPr>
            </w:pPr>
            <w:r>
              <w:rPr>
                <w:rFonts w:ascii="Arial" w:cs="Arial" w:eastAsia="Arial" w:hAnsi="Arial"/>
                <w:sz w:val="16"/>
                <w:szCs w:val="16"/>
                <w:color w:val="auto"/>
              </w:rPr>
              <w:t>—</w:t>
            </w:r>
          </w:p>
        </w:tc>
        <w:tc>
          <w:tcPr>
            <w:tcW w:w="160" w:type="dxa"/>
            <w:vAlign w:val="bottom"/>
            <w:shd w:val="clear" w:color="auto" w:fill="D4F1F5"/>
          </w:tcPr>
          <w:p>
            <w:pPr>
              <w:spacing w:after="0"/>
              <w:rPr>
                <w:sz w:val="18"/>
                <w:szCs w:val="18"/>
                <w:color w:val="auto"/>
              </w:rPr>
            </w:pPr>
          </w:p>
        </w:tc>
        <w:tc>
          <w:tcPr>
            <w:tcW w:w="840" w:type="dxa"/>
            <w:vAlign w:val="bottom"/>
            <w:shd w:val="clear" w:color="auto" w:fill="D4F1F5"/>
          </w:tcPr>
          <w:p>
            <w:pPr>
              <w:spacing w:after="0"/>
              <w:rPr>
                <w:sz w:val="18"/>
                <w:szCs w:val="18"/>
                <w:color w:val="auto"/>
              </w:rPr>
            </w:pPr>
          </w:p>
        </w:tc>
        <w:tc>
          <w:tcPr>
            <w:tcW w:w="320" w:type="dxa"/>
            <w:vAlign w:val="bottom"/>
            <w:tcBorders>
              <w:bottom w:val="single" w:sz="8" w:color="auto"/>
            </w:tcBorders>
            <w:shd w:val="clear" w:color="auto" w:fill="D4F1F5"/>
          </w:tcPr>
          <w:p>
            <w:pPr>
              <w:spacing w:after="0"/>
              <w:rPr>
                <w:sz w:val="18"/>
                <w:szCs w:val="18"/>
                <w:color w:val="auto"/>
              </w:rPr>
            </w:pPr>
          </w:p>
        </w:tc>
        <w:tc>
          <w:tcPr>
            <w:tcW w:w="760" w:type="dxa"/>
            <w:vAlign w:val="bottom"/>
            <w:tcBorders>
              <w:bottom w:val="single" w:sz="8" w:color="auto"/>
            </w:tcBorders>
            <w:shd w:val="clear" w:color="auto" w:fill="D4F1F5"/>
          </w:tcPr>
          <w:p>
            <w:pPr>
              <w:jc w:val="right"/>
              <w:spacing w:after="0"/>
              <w:rPr>
                <w:sz w:val="20"/>
                <w:szCs w:val="20"/>
                <w:color w:val="auto"/>
              </w:rPr>
            </w:pPr>
            <w:r>
              <w:rPr>
                <w:rFonts w:ascii="Arial" w:cs="Arial" w:eastAsia="Arial" w:hAnsi="Arial"/>
                <w:sz w:val="16"/>
                <w:szCs w:val="16"/>
                <w:color w:val="auto"/>
              </w:rPr>
              <w:t>261</w:t>
            </w:r>
          </w:p>
        </w:tc>
        <w:tc>
          <w:tcPr>
            <w:tcW w:w="0" w:type="dxa"/>
            <w:vAlign w:val="bottom"/>
          </w:tcPr>
          <w:p>
            <w:pPr>
              <w:spacing w:after="0"/>
              <w:rPr>
                <w:sz w:val="1"/>
                <w:szCs w:val="1"/>
                <w:color w:val="auto"/>
              </w:rPr>
            </w:pPr>
          </w:p>
        </w:tc>
      </w:tr>
      <w:tr>
        <w:trPr>
          <w:trHeight w:val="209"/>
        </w:trPr>
        <w:tc>
          <w:tcPr>
            <w:tcW w:w="5900" w:type="dxa"/>
            <w:vAlign w:val="bottom"/>
            <w:tcBorders>
              <w:bottom w:val="single" w:sz="8" w:color="D4F1F5"/>
            </w:tcBorders>
          </w:tcPr>
          <w:p>
            <w:pPr>
              <w:ind w:left="460"/>
              <w:spacing w:after="0"/>
              <w:rPr>
                <w:sz w:val="20"/>
                <w:szCs w:val="20"/>
                <w:color w:val="auto"/>
              </w:rPr>
            </w:pPr>
            <w:r>
              <w:rPr>
                <w:rFonts w:ascii="Arial" w:cs="Arial" w:eastAsia="Arial" w:hAnsi="Arial"/>
                <w:sz w:val="16"/>
                <w:szCs w:val="16"/>
                <w:color w:val="auto"/>
              </w:rPr>
              <w:t>Total debt securities</w:t>
            </w:r>
          </w:p>
        </w:tc>
        <w:tc>
          <w:tcPr>
            <w:tcW w:w="1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27</w:t>
            </w:r>
          </w:p>
        </w:tc>
        <w:tc>
          <w:tcPr>
            <w:tcW w:w="2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568</w:t>
            </w: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D4F1F5"/>
            </w:tcBorders>
          </w:tcPr>
          <w:p>
            <w:pPr>
              <w:spacing w:after="0"/>
              <w:rPr>
                <w:sz w:val="18"/>
                <w:szCs w:val="18"/>
                <w:color w:val="auto"/>
              </w:rPr>
            </w:pPr>
          </w:p>
        </w:tc>
        <w:tc>
          <w:tcPr>
            <w:tcW w:w="840" w:type="dxa"/>
            <w:vAlign w:val="bottom"/>
            <w:tcBorders>
              <w:bottom w:val="single" w:sz="8" w:color="D4F1F5"/>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595</w:t>
            </w:r>
          </w:p>
        </w:tc>
        <w:tc>
          <w:tcPr>
            <w:tcW w:w="0" w:type="dxa"/>
            <w:vAlign w:val="bottom"/>
          </w:tcPr>
          <w:p>
            <w:pPr>
              <w:spacing w:after="0"/>
              <w:rPr>
                <w:sz w:val="1"/>
                <w:szCs w:val="1"/>
                <w:color w:val="auto"/>
              </w:rPr>
            </w:pPr>
          </w:p>
        </w:tc>
      </w:tr>
      <w:tr>
        <w:trPr>
          <w:trHeight w:val="210"/>
        </w:trPr>
        <w:tc>
          <w:tcPr>
            <w:tcW w:w="5900" w:type="dxa"/>
            <w:vAlign w:val="bottom"/>
            <w:shd w:val="clear" w:color="auto" w:fill="D4F1F5"/>
          </w:tcPr>
          <w:p>
            <w:pPr>
              <w:ind w:left="240"/>
              <w:spacing w:after="0" w:line="210" w:lineRule="exact"/>
              <w:rPr>
                <w:sz w:val="20"/>
                <w:szCs w:val="20"/>
                <w:color w:val="auto"/>
              </w:rPr>
            </w:pPr>
            <w:r>
              <w:rPr>
                <w:rFonts w:ascii="Arial" w:cs="Arial" w:eastAsia="Arial" w:hAnsi="Arial"/>
                <w:sz w:val="16"/>
                <w:szCs w:val="16"/>
                <w:color w:val="auto"/>
              </w:rPr>
              <w:t>Total nuclear decommissioning trusts</w:t>
            </w:r>
            <w:r>
              <w:rPr>
                <w:rFonts w:ascii="Arial" w:cs="Arial" w:eastAsia="Arial" w:hAnsi="Arial"/>
                <w:sz w:val="21"/>
                <w:szCs w:val="21"/>
                <w:color w:val="auto"/>
                <w:vertAlign w:val="superscript"/>
              </w:rPr>
              <w:t>(2)</w:t>
            </w:r>
          </w:p>
        </w:tc>
        <w:tc>
          <w:tcPr>
            <w:tcW w:w="180" w:type="dxa"/>
            <w:vAlign w:val="bottom"/>
            <w:shd w:val="clear" w:color="auto" w:fill="D4F1F5"/>
          </w:tcPr>
          <w:p>
            <w:pPr>
              <w:spacing w:after="0"/>
              <w:rPr>
                <w:sz w:val="18"/>
                <w:szCs w:val="18"/>
                <w:color w:val="auto"/>
              </w:rPr>
            </w:pPr>
          </w:p>
        </w:tc>
        <w:tc>
          <w:tcPr>
            <w:tcW w:w="820" w:type="dxa"/>
            <w:vAlign w:val="bottom"/>
            <w:shd w:val="clear" w:color="auto" w:fill="D4F1F5"/>
          </w:tcPr>
          <w:p>
            <w:pPr>
              <w:jc w:val="right"/>
              <w:ind w:right="19"/>
              <w:spacing w:after="0"/>
              <w:rPr>
                <w:sz w:val="20"/>
                <w:szCs w:val="20"/>
                <w:color w:val="auto"/>
              </w:rPr>
            </w:pPr>
            <w:r>
              <w:rPr>
                <w:rFonts w:ascii="Arial" w:cs="Arial" w:eastAsia="Arial" w:hAnsi="Arial"/>
                <w:sz w:val="16"/>
                <w:szCs w:val="16"/>
                <w:color w:val="auto"/>
              </w:rPr>
              <w:t>319</w:t>
            </w:r>
          </w:p>
        </w:tc>
        <w:tc>
          <w:tcPr>
            <w:tcW w:w="260" w:type="dxa"/>
            <w:vAlign w:val="bottom"/>
            <w:shd w:val="clear" w:color="auto" w:fill="D4F1F5"/>
          </w:tcPr>
          <w:p>
            <w:pPr>
              <w:spacing w:after="0"/>
              <w:rPr>
                <w:sz w:val="18"/>
                <w:szCs w:val="18"/>
                <w:color w:val="auto"/>
              </w:rPr>
            </w:pPr>
          </w:p>
        </w:tc>
        <w:tc>
          <w:tcPr>
            <w:tcW w:w="820" w:type="dxa"/>
            <w:vAlign w:val="bottom"/>
            <w:shd w:val="clear" w:color="auto" w:fill="D4F1F5"/>
          </w:tcPr>
          <w:p>
            <w:pPr>
              <w:jc w:val="right"/>
              <w:ind w:right="20"/>
              <w:spacing w:after="0"/>
              <w:rPr>
                <w:sz w:val="20"/>
                <w:szCs w:val="20"/>
                <w:color w:val="auto"/>
              </w:rPr>
            </w:pPr>
            <w:r>
              <w:rPr>
                <w:rFonts w:ascii="Arial" w:cs="Arial" w:eastAsia="Arial" w:hAnsi="Arial"/>
                <w:sz w:val="16"/>
                <w:szCs w:val="16"/>
                <w:color w:val="auto"/>
              </w:rPr>
              <w:t>573</w:t>
            </w:r>
          </w:p>
        </w:tc>
        <w:tc>
          <w:tcPr>
            <w:tcW w:w="260" w:type="dxa"/>
            <w:vAlign w:val="bottom"/>
            <w:shd w:val="clear" w:color="auto" w:fill="D4F1F5"/>
          </w:tcPr>
          <w:p>
            <w:pPr>
              <w:spacing w:after="0"/>
              <w:rPr>
                <w:sz w:val="18"/>
                <w:szCs w:val="18"/>
                <w:color w:val="auto"/>
              </w:rPr>
            </w:pPr>
          </w:p>
        </w:tc>
        <w:tc>
          <w:tcPr>
            <w:tcW w:w="900" w:type="dxa"/>
            <w:vAlign w:val="bottom"/>
            <w:shd w:val="clear" w:color="auto" w:fill="D4F1F5"/>
          </w:tcPr>
          <w:p>
            <w:pPr>
              <w:jc w:val="right"/>
              <w:ind w:right="99"/>
              <w:spacing w:after="0"/>
              <w:rPr>
                <w:sz w:val="20"/>
                <w:szCs w:val="20"/>
                <w:color w:val="auto"/>
              </w:rPr>
            </w:pPr>
            <w:r>
              <w:rPr>
                <w:rFonts w:ascii="Arial" w:cs="Arial" w:eastAsia="Arial" w:hAnsi="Arial"/>
                <w:sz w:val="16"/>
                <w:szCs w:val="16"/>
                <w:color w:val="auto"/>
              </w:rPr>
              <w:t>—</w:t>
            </w:r>
          </w:p>
        </w:tc>
        <w:tc>
          <w:tcPr>
            <w:tcW w:w="160" w:type="dxa"/>
            <w:vAlign w:val="bottom"/>
            <w:shd w:val="clear" w:color="auto" w:fill="D4F1F5"/>
          </w:tcPr>
          <w:p>
            <w:pPr>
              <w:spacing w:after="0"/>
              <w:rPr>
                <w:sz w:val="18"/>
                <w:szCs w:val="18"/>
                <w:color w:val="auto"/>
              </w:rPr>
            </w:pPr>
          </w:p>
        </w:tc>
        <w:tc>
          <w:tcPr>
            <w:tcW w:w="840" w:type="dxa"/>
            <w:vAlign w:val="bottom"/>
            <w:shd w:val="clear" w:color="auto" w:fill="D4F1F5"/>
          </w:tcPr>
          <w:p>
            <w:pPr>
              <w:spacing w:after="0"/>
              <w:rPr>
                <w:sz w:val="18"/>
                <w:szCs w:val="18"/>
                <w:color w:val="auto"/>
              </w:rPr>
            </w:pPr>
          </w:p>
        </w:tc>
        <w:tc>
          <w:tcPr>
            <w:tcW w:w="320" w:type="dxa"/>
            <w:vAlign w:val="bottom"/>
            <w:shd w:val="clear" w:color="auto" w:fill="D4F1F5"/>
          </w:tcPr>
          <w:p>
            <w:pPr>
              <w:spacing w:after="0"/>
              <w:rPr>
                <w:sz w:val="18"/>
                <w:szCs w:val="18"/>
                <w:color w:val="auto"/>
              </w:rPr>
            </w:pPr>
          </w:p>
        </w:tc>
        <w:tc>
          <w:tcPr>
            <w:tcW w:w="760" w:type="dxa"/>
            <w:vAlign w:val="bottom"/>
            <w:shd w:val="clear" w:color="auto" w:fill="D4F1F5"/>
          </w:tcPr>
          <w:p>
            <w:pPr>
              <w:jc w:val="right"/>
              <w:spacing w:after="0"/>
              <w:rPr>
                <w:sz w:val="20"/>
                <w:szCs w:val="20"/>
                <w:color w:val="auto"/>
              </w:rPr>
            </w:pPr>
            <w:r>
              <w:rPr>
                <w:rFonts w:ascii="Arial" w:cs="Arial" w:eastAsia="Arial" w:hAnsi="Arial"/>
                <w:sz w:val="16"/>
                <w:szCs w:val="16"/>
                <w:color w:val="auto"/>
              </w:rPr>
              <w:t>892</w:t>
            </w:r>
          </w:p>
        </w:tc>
        <w:tc>
          <w:tcPr>
            <w:tcW w:w="0" w:type="dxa"/>
            <w:vAlign w:val="bottom"/>
          </w:tcPr>
          <w:p>
            <w:pPr>
              <w:spacing w:after="0"/>
              <w:rPr>
                <w:sz w:val="1"/>
                <w:szCs w:val="1"/>
                <w:color w:val="auto"/>
              </w:rPr>
            </w:pPr>
          </w:p>
        </w:tc>
      </w:tr>
      <w:tr>
        <w:trPr>
          <w:trHeight w:val="215"/>
        </w:trPr>
        <w:tc>
          <w:tcPr>
            <w:tcW w:w="5900" w:type="dxa"/>
            <w:vAlign w:val="bottom"/>
            <w:tcBorders>
              <w:bottom w:val="single" w:sz="8" w:color="D4F1F5"/>
            </w:tcBorders>
          </w:tcPr>
          <w:p>
            <w:pPr>
              <w:ind w:left="240"/>
              <w:spacing w:after="0"/>
              <w:rPr>
                <w:sz w:val="20"/>
                <w:szCs w:val="20"/>
                <w:color w:val="auto"/>
              </w:rPr>
            </w:pPr>
            <w:r>
              <w:rPr>
                <w:rFonts w:ascii="Arial" w:cs="Arial" w:eastAsia="Arial" w:hAnsi="Arial"/>
                <w:sz w:val="16"/>
                <w:szCs w:val="16"/>
                <w:color w:val="auto"/>
              </w:rPr>
              <w:t>Commodity contracts subject to rate recovery</w:t>
            </w:r>
          </w:p>
        </w:tc>
        <w:tc>
          <w:tcPr>
            <w:tcW w:w="1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w:t>
            </w:r>
          </w:p>
        </w:tc>
        <w:tc>
          <w:tcPr>
            <w:tcW w:w="2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10</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tcPr>
          <w:p>
            <w:pPr>
              <w:jc w:val="center"/>
              <w:ind w:left="420"/>
              <w:spacing w:after="0"/>
              <w:rPr>
                <w:sz w:val="20"/>
                <w:szCs w:val="20"/>
                <w:color w:val="auto"/>
              </w:rPr>
            </w:pPr>
            <w:r>
              <w:rPr>
                <w:rFonts w:ascii="Arial" w:cs="Arial" w:eastAsia="Arial" w:hAnsi="Arial"/>
                <w:sz w:val="16"/>
                <w:szCs w:val="16"/>
                <w:color w:val="auto"/>
              </w:rPr>
              <w:t>19</w:t>
            </w:r>
          </w:p>
        </w:tc>
        <w:tc>
          <w:tcPr>
            <w:tcW w:w="3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w:t>
            </w:r>
          </w:p>
        </w:tc>
        <w:tc>
          <w:tcPr>
            <w:tcW w:w="0" w:type="dxa"/>
            <w:vAlign w:val="bottom"/>
          </w:tcPr>
          <w:p>
            <w:pPr>
              <w:spacing w:after="0"/>
              <w:rPr>
                <w:sz w:val="1"/>
                <w:szCs w:val="1"/>
                <w:color w:val="auto"/>
              </w:rPr>
            </w:pPr>
          </w:p>
        </w:tc>
      </w:tr>
      <w:tr>
        <w:trPr>
          <w:trHeight w:val="230"/>
        </w:trPr>
        <w:tc>
          <w:tcPr>
            <w:tcW w:w="5900" w:type="dxa"/>
            <w:vAlign w:val="bottom"/>
            <w:tcBorders>
              <w:bottom w:val="single" w:sz="8" w:color="D4F1F5"/>
            </w:tcBorders>
            <w:shd w:val="clear" w:color="auto" w:fill="D4F1F5"/>
          </w:tcPr>
          <w:p>
            <w:pPr>
              <w:ind w:left="20"/>
              <w:spacing w:after="0"/>
              <w:rPr>
                <w:sz w:val="20"/>
                <w:szCs w:val="20"/>
                <w:color w:val="auto"/>
              </w:rPr>
            </w:pPr>
            <w:r>
              <w:rPr>
                <w:rFonts w:ascii="Arial" w:cs="Arial" w:eastAsia="Arial" w:hAnsi="Arial"/>
                <w:sz w:val="16"/>
                <w:szCs w:val="16"/>
                <w:color w:val="auto"/>
              </w:rPr>
              <w:t>Total assets</w:t>
            </w:r>
          </w:p>
        </w:tc>
        <w:tc>
          <w:tcPr>
            <w:tcW w:w="180" w:type="dxa"/>
            <w:vAlign w:val="bottom"/>
            <w:tcBorders>
              <w:bottom w:val="single" w:sz="8" w:color="auto"/>
            </w:tcBorders>
            <w:shd w:val="clear" w:color="auto" w:fill="D4F1F5"/>
          </w:tcPr>
          <w:p>
            <w:pPr>
              <w:jc w:val="right"/>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shd w:val="clear" w:color="auto" w:fill="D4F1F5"/>
          </w:tcPr>
          <w:p>
            <w:pPr>
              <w:jc w:val="right"/>
              <w:ind w:right="19"/>
              <w:spacing w:after="0"/>
              <w:rPr>
                <w:sz w:val="20"/>
                <w:szCs w:val="20"/>
                <w:color w:val="auto"/>
              </w:rPr>
            </w:pPr>
            <w:r>
              <w:rPr>
                <w:rFonts w:ascii="Arial" w:cs="Arial" w:eastAsia="Arial" w:hAnsi="Arial"/>
                <w:sz w:val="16"/>
                <w:szCs w:val="16"/>
                <w:color w:val="auto"/>
              </w:rPr>
              <w:t>321</w:t>
            </w:r>
          </w:p>
        </w:tc>
        <w:tc>
          <w:tcPr>
            <w:tcW w:w="260" w:type="dxa"/>
            <w:vAlign w:val="bottom"/>
            <w:tcBorders>
              <w:bottom w:val="single" w:sz="8" w:color="auto"/>
            </w:tcBorders>
            <w:shd w:val="clear" w:color="auto" w:fill="D4F1F5"/>
          </w:tcPr>
          <w:p>
            <w:pPr>
              <w:jc w:val="right"/>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shd w:val="clear" w:color="auto" w:fill="D4F1F5"/>
          </w:tcPr>
          <w:p>
            <w:pPr>
              <w:jc w:val="right"/>
              <w:ind w:right="20"/>
              <w:spacing w:after="0"/>
              <w:rPr>
                <w:sz w:val="20"/>
                <w:szCs w:val="20"/>
                <w:color w:val="auto"/>
              </w:rPr>
            </w:pPr>
            <w:r>
              <w:rPr>
                <w:rFonts w:ascii="Arial" w:cs="Arial" w:eastAsia="Arial" w:hAnsi="Arial"/>
                <w:sz w:val="16"/>
                <w:szCs w:val="16"/>
                <w:color w:val="auto"/>
              </w:rPr>
              <w:t>573</w:t>
            </w:r>
          </w:p>
        </w:tc>
        <w:tc>
          <w:tcPr>
            <w:tcW w:w="260" w:type="dxa"/>
            <w:vAlign w:val="bottom"/>
            <w:tcBorders>
              <w:bottom w:val="single" w:sz="8" w:color="auto"/>
            </w:tcBorders>
            <w:shd w:val="clear" w:color="auto" w:fill="D4F1F5"/>
          </w:tcPr>
          <w:p>
            <w:pPr>
              <w:jc w:val="right"/>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shd w:val="clear" w:color="auto" w:fill="D4F1F5"/>
          </w:tcPr>
          <w:p>
            <w:pPr>
              <w:jc w:val="right"/>
              <w:ind w:right="99"/>
              <w:spacing w:after="0"/>
              <w:rPr>
                <w:sz w:val="20"/>
                <w:szCs w:val="20"/>
                <w:color w:val="auto"/>
              </w:rPr>
            </w:pPr>
            <w:r>
              <w:rPr>
                <w:rFonts w:ascii="Arial" w:cs="Arial" w:eastAsia="Arial" w:hAnsi="Arial"/>
                <w:sz w:val="16"/>
                <w:szCs w:val="16"/>
                <w:color w:val="auto"/>
              </w:rPr>
              <w:t>10</w:t>
            </w:r>
          </w:p>
        </w:tc>
        <w:tc>
          <w:tcPr>
            <w:tcW w:w="160" w:type="dxa"/>
            <w:vAlign w:val="bottom"/>
            <w:tcBorders>
              <w:bottom w:val="single" w:sz="8" w:color="auto"/>
            </w:tcBorders>
            <w:shd w:val="clear" w:color="auto" w:fill="D4F1F5"/>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shd w:val="clear" w:color="auto" w:fill="D4F1F5"/>
          </w:tcPr>
          <w:p>
            <w:pPr>
              <w:jc w:val="center"/>
              <w:ind w:left="420"/>
              <w:spacing w:after="0"/>
              <w:rPr>
                <w:sz w:val="20"/>
                <w:szCs w:val="20"/>
                <w:color w:val="auto"/>
              </w:rPr>
            </w:pPr>
            <w:r>
              <w:rPr>
                <w:rFonts w:ascii="Arial" w:cs="Arial" w:eastAsia="Arial" w:hAnsi="Arial"/>
                <w:sz w:val="16"/>
                <w:szCs w:val="16"/>
                <w:color w:val="auto"/>
              </w:rPr>
              <w:t>19</w:t>
            </w:r>
          </w:p>
        </w:tc>
        <w:tc>
          <w:tcPr>
            <w:tcW w:w="320" w:type="dxa"/>
            <w:vAlign w:val="bottom"/>
            <w:tcBorders>
              <w:bottom w:val="single" w:sz="8" w:color="auto"/>
            </w:tcBorders>
            <w:shd w:val="clear" w:color="auto" w:fill="D4F1F5"/>
          </w:tcPr>
          <w:p>
            <w:pPr>
              <w:jc w:val="right"/>
              <w:ind w:right="39"/>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auto"/>
            </w:tcBorders>
            <w:shd w:val="clear" w:color="auto" w:fill="D4F1F5"/>
          </w:tcPr>
          <w:p>
            <w:pPr>
              <w:jc w:val="right"/>
              <w:spacing w:after="0"/>
              <w:rPr>
                <w:sz w:val="20"/>
                <w:szCs w:val="20"/>
                <w:color w:val="auto"/>
              </w:rPr>
            </w:pPr>
            <w:r>
              <w:rPr>
                <w:rFonts w:ascii="Arial" w:cs="Arial" w:eastAsia="Arial" w:hAnsi="Arial"/>
                <w:sz w:val="16"/>
                <w:szCs w:val="16"/>
                <w:color w:val="auto"/>
              </w:rPr>
              <w:t>923</w:t>
            </w:r>
          </w:p>
        </w:tc>
        <w:tc>
          <w:tcPr>
            <w:tcW w:w="0" w:type="dxa"/>
            <w:vAlign w:val="bottom"/>
          </w:tcPr>
          <w:p>
            <w:pPr>
              <w:spacing w:after="0"/>
              <w:rPr>
                <w:sz w:val="1"/>
                <w:szCs w:val="1"/>
                <w:color w:val="auto"/>
              </w:rPr>
            </w:pPr>
          </w:p>
        </w:tc>
      </w:tr>
      <w:tr>
        <w:trPr>
          <w:trHeight w:val="202"/>
        </w:trPr>
        <w:tc>
          <w:tcPr>
            <w:tcW w:w="5900" w:type="dxa"/>
            <w:vAlign w:val="bottom"/>
          </w:tcPr>
          <w:p>
            <w:pPr>
              <w:ind w:left="20"/>
              <w:spacing w:after="0"/>
              <w:rPr>
                <w:sz w:val="20"/>
                <w:szCs w:val="20"/>
                <w:color w:val="auto"/>
              </w:rPr>
            </w:pPr>
            <w:r>
              <w:rPr>
                <w:rFonts w:ascii="Arial" w:cs="Arial" w:eastAsia="Arial" w:hAnsi="Arial"/>
                <w:sz w:val="16"/>
                <w:szCs w:val="16"/>
                <w:color w:val="auto"/>
              </w:rPr>
              <w:t>Liabilities:</w:t>
            </w: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5900" w:type="dxa"/>
            <w:vAlign w:val="bottom"/>
            <w:tcBorders>
              <w:bottom w:val="single" w:sz="8" w:color="B6B6B6"/>
            </w:tcBorders>
            <w:shd w:val="clear" w:color="auto" w:fill="D4F1F5"/>
          </w:tcPr>
          <w:p>
            <w:pPr>
              <w:ind w:left="220"/>
              <w:spacing w:after="0"/>
              <w:rPr>
                <w:sz w:val="20"/>
                <w:szCs w:val="20"/>
                <w:color w:val="auto"/>
              </w:rPr>
            </w:pPr>
            <w:r>
              <w:rPr>
                <w:rFonts w:ascii="Arial" w:cs="Arial" w:eastAsia="Arial" w:hAnsi="Arial"/>
                <w:sz w:val="16"/>
                <w:szCs w:val="16"/>
                <w:color w:val="auto"/>
              </w:rPr>
              <w:t>Commodity contracts subject to rate recovery</w:t>
            </w:r>
          </w:p>
        </w:tc>
        <w:tc>
          <w:tcPr>
            <w:tcW w:w="180" w:type="dxa"/>
            <w:vAlign w:val="bottom"/>
            <w:tcBorders>
              <w:bottom w:val="single" w:sz="8" w:color="B6B6B6"/>
            </w:tcBorders>
            <w:shd w:val="clear" w:color="auto" w:fill="D4F1F5"/>
          </w:tcPr>
          <w:p>
            <w:pPr>
              <w:jc w:val="right"/>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B6B6B6"/>
            </w:tcBorders>
            <w:shd w:val="clear" w:color="auto" w:fill="D4F1F5"/>
          </w:tcPr>
          <w:p>
            <w:pPr>
              <w:jc w:val="right"/>
              <w:ind w:right="19"/>
              <w:spacing w:after="0"/>
              <w:rPr>
                <w:sz w:val="20"/>
                <w:szCs w:val="20"/>
                <w:color w:val="auto"/>
              </w:rPr>
            </w:pPr>
            <w:r>
              <w:rPr>
                <w:rFonts w:ascii="Arial" w:cs="Arial" w:eastAsia="Arial" w:hAnsi="Arial"/>
                <w:sz w:val="16"/>
                <w:szCs w:val="16"/>
                <w:color w:val="auto"/>
              </w:rPr>
              <w:t>17</w:t>
            </w:r>
          </w:p>
        </w:tc>
        <w:tc>
          <w:tcPr>
            <w:tcW w:w="260" w:type="dxa"/>
            <w:vAlign w:val="bottom"/>
            <w:tcBorders>
              <w:bottom w:val="single" w:sz="8" w:color="B6B6B6"/>
            </w:tcBorders>
            <w:shd w:val="clear" w:color="auto" w:fill="D4F1F5"/>
          </w:tcPr>
          <w:p>
            <w:pPr>
              <w:jc w:val="right"/>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B6B6B6"/>
            </w:tcBorders>
            <w:shd w:val="clear" w:color="auto" w:fill="D4F1F5"/>
          </w:tcPr>
          <w:p>
            <w:pPr>
              <w:jc w:val="right"/>
              <w:ind w:right="2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B6B6B6"/>
            </w:tcBorders>
            <w:shd w:val="clear" w:color="auto" w:fill="D4F1F5"/>
          </w:tcPr>
          <w:p>
            <w:pPr>
              <w:jc w:val="right"/>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B6B6B6"/>
            </w:tcBorders>
            <w:shd w:val="clear" w:color="auto" w:fill="D4F1F5"/>
          </w:tcPr>
          <w:p>
            <w:pPr>
              <w:jc w:val="right"/>
              <w:ind w:right="99"/>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B6B6B6"/>
            </w:tcBorders>
            <w:shd w:val="clear" w:color="auto" w:fill="D4F1F5"/>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B6B6B6"/>
            </w:tcBorders>
            <w:shd w:val="clear" w:color="auto" w:fill="D4F1F5"/>
          </w:tcPr>
          <w:p>
            <w:pPr>
              <w:jc w:val="center"/>
              <w:ind w:left="400"/>
              <w:spacing w:after="0"/>
              <w:rPr>
                <w:sz w:val="20"/>
                <w:szCs w:val="20"/>
                <w:color w:val="auto"/>
              </w:rPr>
            </w:pPr>
            <w:r>
              <w:rPr>
                <w:rFonts w:ascii="Arial" w:cs="Arial" w:eastAsia="Arial" w:hAnsi="Arial"/>
                <w:sz w:val="16"/>
                <w:szCs w:val="16"/>
                <w:color w:val="auto"/>
                <w:w w:val="98"/>
              </w:rPr>
              <w:t>(17)</w:t>
            </w:r>
          </w:p>
        </w:tc>
        <w:tc>
          <w:tcPr>
            <w:tcW w:w="320" w:type="dxa"/>
            <w:vAlign w:val="bottom"/>
            <w:tcBorders>
              <w:bottom w:val="single" w:sz="8" w:color="B6B6B6"/>
            </w:tcBorders>
            <w:shd w:val="clear" w:color="auto" w:fill="D4F1F5"/>
          </w:tcPr>
          <w:p>
            <w:pPr>
              <w:jc w:val="right"/>
              <w:ind w:right="39"/>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B6B6B6"/>
            </w:tcBorders>
            <w:shd w:val="clear" w:color="auto" w:fill="D4F1F5"/>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415"/>
        </w:trPr>
        <w:tc>
          <w:tcPr>
            <w:tcW w:w="59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980" w:type="dxa"/>
            <w:vAlign w:val="bottom"/>
            <w:tcBorders>
              <w:bottom w:val="single" w:sz="8" w:color="auto"/>
            </w:tcBorders>
            <w:gridSpan w:val="5"/>
          </w:tcPr>
          <w:p>
            <w:pPr>
              <w:jc w:val="center"/>
              <w:ind w:right="100"/>
              <w:spacing w:after="0"/>
              <w:rPr>
                <w:sz w:val="20"/>
                <w:szCs w:val="20"/>
                <w:color w:val="auto"/>
              </w:rPr>
            </w:pPr>
            <w:r>
              <w:rPr>
                <w:rFonts w:ascii="Arial" w:cs="Arial" w:eastAsia="Arial" w:hAnsi="Arial"/>
                <w:sz w:val="14"/>
                <w:szCs w:val="14"/>
                <w:color w:val="auto"/>
              </w:rPr>
              <w:t>Fair value at December 31, 2025</w:t>
            </w:r>
          </w:p>
        </w:tc>
        <w:tc>
          <w:tcPr>
            <w:tcW w:w="3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5900" w:type="dxa"/>
            <w:vAlign w:val="bottom"/>
            <w:shd w:val="clear" w:color="auto" w:fill="D4F1F5"/>
          </w:tcPr>
          <w:p>
            <w:pPr>
              <w:ind w:left="20"/>
              <w:spacing w:after="0"/>
              <w:rPr>
                <w:sz w:val="20"/>
                <w:szCs w:val="20"/>
                <w:color w:val="auto"/>
              </w:rPr>
            </w:pPr>
            <w:r>
              <w:rPr>
                <w:rFonts w:ascii="Arial" w:cs="Arial" w:eastAsia="Arial" w:hAnsi="Arial"/>
                <w:sz w:val="16"/>
                <w:szCs w:val="16"/>
                <w:b w:val="1"/>
                <w:bCs w:val="1"/>
                <w:color w:val="auto"/>
              </w:rPr>
              <w:t>SDG&amp;E:</w:t>
            </w:r>
          </w:p>
        </w:tc>
        <w:tc>
          <w:tcPr>
            <w:tcW w:w="180" w:type="dxa"/>
            <w:vAlign w:val="bottom"/>
            <w:shd w:val="clear" w:color="auto" w:fill="D4F1F5"/>
          </w:tcPr>
          <w:p>
            <w:pPr>
              <w:spacing w:after="0"/>
              <w:rPr>
                <w:sz w:val="18"/>
                <w:szCs w:val="18"/>
                <w:color w:val="auto"/>
              </w:rPr>
            </w:pPr>
          </w:p>
        </w:tc>
        <w:tc>
          <w:tcPr>
            <w:tcW w:w="820" w:type="dxa"/>
            <w:vAlign w:val="bottom"/>
            <w:shd w:val="clear" w:color="auto" w:fill="D4F1F5"/>
          </w:tcPr>
          <w:p>
            <w:pPr>
              <w:spacing w:after="0"/>
              <w:rPr>
                <w:sz w:val="18"/>
                <w:szCs w:val="18"/>
                <w:color w:val="auto"/>
              </w:rPr>
            </w:pPr>
          </w:p>
        </w:tc>
        <w:tc>
          <w:tcPr>
            <w:tcW w:w="260" w:type="dxa"/>
            <w:vAlign w:val="bottom"/>
            <w:shd w:val="clear" w:color="auto" w:fill="D4F1F5"/>
          </w:tcPr>
          <w:p>
            <w:pPr>
              <w:spacing w:after="0"/>
              <w:rPr>
                <w:sz w:val="18"/>
                <w:szCs w:val="18"/>
                <w:color w:val="auto"/>
              </w:rPr>
            </w:pPr>
          </w:p>
        </w:tc>
        <w:tc>
          <w:tcPr>
            <w:tcW w:w="820" w:type="dxa"/>
            <w:vAlign w:val="bottom"/>
            <w:shd w:val="clear" w:color="auto" w:fill="D4F1F5"/>
          </w:tcPr>
          <w:p>
            <w:pPr>
              <w:spacing w:after="0"/>
              <w:rPr>
                <w:sz w:val="18"/>
                <w:szCs w:val="18"/>
                <w:color w:val="auto"/>
              </w:rPr>
            </w:pPr>
          </w:p>
        </w:tc>
        <w:tc>
          <w:tcPr>
            <w:tcW w:w="260" w:type="dxa"/>
            <w:vAlign w:val="bottom"/>
            <w:shd w:val="clear" w:color="auto" w:fill="D4F1F5"/>
          </w:tcPr>
          <w:p>
            <w:pPr>
              <w:spacing w:after="0"/>
              <w:rPr>
                <w:sz w:val="18"/>
                <w:szCs w:val="18"/>
                <w:color w:val="auto"/>
              </w:rPr>
            </w:pPr>
          </w:p>
        </w:tc>
        <w:tc>
          <w:tcPr>
            <w:tcW w:w="900" w:type="dxa"/>
            <w:vAlign w:val="bottom"/>
            <w:shd w:val="clear" w:color="auto" w:fill="D4F1F5"/>
          </w:tcPr>
          <w:p>
            <w:pPr>
              <w:spacing w:after="0"/>
              <w:rPr>
                <w:sz w:val="18"/>
                <w:szCs w:val="18"/>
                <w:color w:val="auto"/>
              </w:rPr>
            </w:pPr>
          </w:p>
        </w:tc>
        <w:tc>
          <w:tcPr>
            <w:tcW w:w="160" w:type="dxa"/>
            <w:vAlign w:val="bottom"/>
            <w:shd w:val="clear" w:color="auto" w:fill="D4F1F5"/>
          </w:tcPr>
          <w:p>
            <w:pPr>
              <w:spacing w:after="0"/>
              <w:rPr>
                <w:sz w:val="18"/>
                <w:szCs w:val="18"/>
                <w:color w:val="auto"/>
              </w:rPr>
            </w:pPr>
          </w:p>
        </w:tc>
        <w:tc>
          <w:tcPr>
            <w:tcW w:w="840" w:type="dxa"/>
            <w:vAlign w:val="bottom"/>
            <w:shd w:val="clear" w:color="auto" w:fill="D4F1F5"/>
          </w:tcPr>
          <w:p>
            <w:pPr>
              <w:spacing w:after="0"/>
              <w:rPr>
                <w:sz w:val="18"/>
                <w:szCs w:val="18"/>
                <w:color w:val="auto"/>
              </w:rPr>
            </w:pPr>
          </w:p>
        </w:tc>
        <w:tc>
          <w:tcPr>
            <w:tcW w:w="320" w:type="dxa"/>
            <w:vAlign w:val="bottom"/>
            <w:shd w:val="clear" w:color="auto" w:fill="D4F1F5"/>
          </w:tcPr>
          <w:p>
            <w:pPr>
              <w:spacing w:after="0"/>
              <w:rPr>
                <w:sz w:val="18"/>
                <w:szCs w:val="18"/>
                <w:color w:val="auto"/>
              </w:rPr>
            </w:pPr>
          </w:p>
        </w:tc>
        <w:tc>
          <w:tcPr>
            <w:tcW w:w="760" w:type="dxa"/>
            <w:vAlign w:val="bottom"/>
            <w:shd w:val="clear" w:color="auto" w:fill="D4F1F5"/>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900" w:type="dxa"/>
            <w:vAlign w:val="bottom"/>
          </w:tcPr>
          <w:p>
            <w:pPr>
              <w:ind w:left="20"/>
              <w:spacing w:after="0"/>
              <w:rPr>
                <w:sz w:val="20"/>
                <w:szCs w:val="20"/>
                <w:color w:val="auto"/>
              </w:rPr>
            </w:pPr>
            <w:r>
              <w:rPr>
                <w:rFonts w:ascii="Arial" w:cs="Arial" w:eastAsia="Arial" w:hAnsi="Arial"/>
                <w:sz w:val="16"/>
                <w:szCs w:val="16"/>
                <w:color w:val="auto"/>
              </w:rPr>
              <w:t>Assets:</w:t>
            </w: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5900" w:type="dxa"/>
            <w:vAlign w:val="bottom"/>
            <w:shd w:val="clear" w:color="auto" w:fill="D4F1F5"/>
          </w:tcPr>
          <w:p>
            <w:pPr>
              <w:ind w:left="240"/>
              <w:spacing w:after="0"/>
              <w:rPr>
                <w:sz w:val="20"/>
                <w:szCs w:val="20"/>
                <w:color w:val="auto"/>
              </w:rPr>
            </w:pPr>
            <w:r>
              <w:rPr>
                <w:rFonts w:ascii="Arial" w:cs="Arial" w:eastAsia="Arial" w:hAnsi="Arial"/>
                <w:sz w:val="16"/>
                <w:szCs w:val="16"/>
                <w:color w:val="auto"/>
              </w:rPr>
              <w:t>Nuclear decommissioning trusts:</w:t>
            </w:r>
          </w:p>
        </w:tc>
        <w:tc>
          <w:tcPr>
            <w:tcW w:w="180" w:type="dxa"/>
            <w:vAlign w:val="bottom"/>
            <w:shd w:val="clear" w:color="auto" w:fill="D4F1F5"/>
          </w:tcPr>
          <w:p>
            <w:pPr>
              <w:spacing w:after="0"/>
              <w:rPr>
                <w:sz w:val="18"/>
                <w:szCs w:val="18"/>
                <w:color w:val="auto"/>
              </w:rPr>
            </w:pPr>
          </w:p>
        </w:tc>
        <w:tc>
          <w:tcPr>
            <w:tcW w:w="820" w:type="dxa"/>
            <w:vAlign w:val="bottom"/>
            <w:shd w:val="clear" w:color="auto" w:fill="D4F1F5"/>
          </w:tcPr>
          <w:p>
            <w:pPr>
              <w:spacing w:after="0"/>
              <w:rPr>
                <w:sz w:val="18"/>
                <w:szCs w:val="18"/>
                <w:color w:val="auto"/>
              </w:rPr>
            </w:pPr>
          </w:p>
        </w:tc>
        <w:tc>
          <w:tcPr>
            <w:tcW w:w="260" w:type="dxa"/>
            <w:vAlign w:val="bottom"/>
            <w:shd w:val="clear" w:color="auto" w:fill="D4F1F5"/>
          </w:tcPr>
          <w:p>
            <w:pPr>
              <w:spacing w:after="0"/>
              <w:rPr>
                <w:sz w:val="18"/>
                <w:szCs w:val="18"/>
                <w:color w:val="auto"/>
              </w:rPr>
            </w:pPr>
          </w:p>
        </w:tc>
        <w:tc>
          <w:tcPr>
            <w:tcW w:w="820" w:type="dxa"/>
            <w:vAlign w:val="bottom"/>
            <w:shd w:val="clear" w:color="auto" w:fill="D4F1F5"/>
          </w:tcPr>
          <w:p>
            <w:pPr>
              <w:spacing w:after="0"/>
              <w:rPr>
                <w:sz w:val="18"/>
                <w:szCs w:val="18"/>
                <w:color w:val="auto"/>
              </w:rPr>
            </w:pPr>
          </w:p>
        </w:tc>
        <w:tc>
          <w:tcPr>
            <w:tcW w:w="260" w:type="dxa"/>
            <w:vAlign w:val="bottom"/>
            <w:shd w:val="clear" w:color="auto" w:fill="D4F1F5"/>
          </w:tcPr>
          <w:p>
            <w:pPr>
              <w:spacing w:after="0"/>
              <w:rPr>
                <w:sz w:val="18"/>
                <w:szCs w:val="18"/>
                <w:color w:val="auto"/>
              </w:rPr>
            </w:pPr>
          </w:p>
        </w:tc>
        <w:tc>
          <w:tcPr>
            <w:tcW w:w="900" w:type="dxa"/>
            <w:vAlign w:val="bottom"/>
            <w:shd w:val="clear" w:color="auto" w:fill="D4F1F5"/>
          </w:tcPr>
          <w:p>
            <w:pPr>
              <w:spacing w:after="0"/>
              <w:rPr>
                <w:sz w:val="18"/>
                <w:szCs w:val="18"/>
                <w:color w:val="auto"/>
              </w:rPr>
            </w:pPr>
          </w:p>
        </w:tc>
        <w:tc>
          <w:tcPr>
            <w:tcW w:w="160" w:type="dxa"/>
            <w:vAlign w:val="bottom"/>
            <w:shd w:val="clear" w:color="auto" w:fill="D4F1F5"/>
          </w:tcPr>
          <w:p>
            <w:pPr>
              <w:spacing w:after="0"/>
              <w:rPr>
                <w:sz w:val="18"/>
                <w:szCs w:val="18"/>
                <w:color w:val="auto"/>
              </w:rPr>
            </w:pPr>
          </w:p>
        </w:tc>
        <w:tc>
          <w:tcPr>
            <w:tcW w:w="840" w:type="dxa"/>
            <w:vAlign w:val="bottom"/>
            <w:shd w:val="clear" w:color="auto" w:fill="D4F1F5"/>
          </w:tcPr>
          <w:p>
            <w:pPr>
              <w:spacing w:after="0"/>
              <w:rPr>
                <w:sz w:val="18"/>
                <w:szCs w:val="18"/>
                <w:color w:val="auto"/>
              </w:rPr>
            </w:pPr>
          </w:p>
        </w:tc>
        <w:tc>
          <w:tcPr>
            <w:tcW w:w="320" w:type="dxa"/>
            <w:vAlign w:val="bottom"/>
            <w:shd w:val="clear" w:color="auto" w:fill="D4F1F5"/>
          </w:tcPr>
          <w:p>
            <w:pPr>
              <w:spacing w:after="0"/>
              <w:rPr>
                <w:sz w:val="18"/>
                <w:szCs w:val="18"/>
                <w:color w:val="auto"/>
              </w:rPr>
            </w:pPr>
          </w:p>
        </w:tc>
        <w:tc>
          <w:tcPr>
            <w:tcW w:w="760" w:type="dxa"/>
            <w:vAlign w:val="bottom"/>
            <w:shd w:val="clear" w:color="auto" w:fill="D4F1F5"/>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900" w:type="dxa"/>
            <w:vAlign w:val="bottom"/>
            <w:tcBorders>
              <w:bottom w:val="single" w:sz="8" w:color="D4F1F5"/>
            </w:tcBorders>
          </w:tcPr>
          <w:p>
            <w:pPr>
              <w:ind w:left="460"/>
              <w:spacing w:after="0"/>
              <w:rPr>
                <w:sz w:val="20"/>
                <w:szCs w:val="20"/>
                <w:color w:val="auto"/>
              </w:rPr>
            </w:pPr>
            <w:r>
              <w:rPr>
                <w:rFonts w:ascii="Arial" w:cs="Arial" w:eastAsia="Arial" w:hAnsi="Arial"/>
                <w:sz w:val="16"/>
                <w:szCs w:val="16"/>
                <w:color w:val="auto"/>
              </w:rPr>
              <w:t>Short-term investments, primarily cash equivalents</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9</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3</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D4F1F5"/>
            </w:tcBorders>
          </w:tcPr>
          <w:p>
            <w:pPr>
              <w:spacing w:after="0"/>
              <w:rPr>
                <w:sz w:val="18"/>
                <w:szCs w:val="18"/>
                <w:color w:val="auto"/>
              </w:rPr>
            </w:pPr>
          </w:p>
        </w:tc>
        <w:tc>
          <w:tcPr>
            <w:tcW w:w="840" w:type="dxa"/>
            <w:vAlign w:val="bottom"/>
            <w:tcBorders>
              <w:bottom w:val="single" w:sz="8" w:color="D4F1F5"/>
            </w:tcBorders>
          </w:tcPr>
          <w:p>
            <w:pPr>
              <w:spacing w:after="0"/>
              <w:rPr>
                <w:sz w:val="18"/>
                <w:szCs w:val="18"/>
                <w:color w:val="auto"/>
              </w:rPr>
            </w:pPr>
          </w:p>
        </w:tc>
        <w:tc>
          <w:tcPr>
            <w:tcW w:w="3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w:t>
            </w:r>
          </w:p>
        </w:tc>
        <w:tc>
          <w:tcPr>
            <w:tcW w:w="0" w:type="dxa"/>
            <w:vAlign w:val="bottom"/>
          </w:tcPr>
          <w:p>
            <w:pPr>
              <w:spacing w:after="0"/>
              <w:rPr>
                <w:sz w:val="1"/>
                <w:szCs w:val="1"/>
                <w:color w:val="auto"/>
              </w:rPr>
            </w:pPr>
          </w:p>
        </w:tc>
      </w:tr>
      <w:tr>
        <w:trPr>
          <w:trHeight w:val="210"/>
        </w:trPr>
        <w:tc>
          <w:tcPr>
            <w:tcW w:w="5900" w:type="dxa"/>
            <w:vAlign w:val="bottom"/>
            <w:shd w:val="clear" w:color="auto" w:fill="D4F1F5"/>
          </w:tcPr>
          <w:p>
            <w:pPr>
              <w:ind w:left="460"/>
              <w:spacing w:after="0"/>
              <w:rPr>
                <w:sz w:val="20"/>
                <w:szCs w:val="20"/>
                <w:color w:val="auto"/>
              </w:rPr>
            </w:pPr>
            <w:r>
              <w:rPr>
                <w:rFonts w:ascii="Arial" w:cs="Arial" w:eastAsia="Arial" w:hAnsi="Arial"/>
                <w:sz w:val="16"/>
                <w:szCs w:val="16"/>
                <w:color w:val="auto"/>
              </w:rPr>
              <w:t>Equity securities</w:t>
            </w:r>
          </w:p>
        </w:tc>
        <w:tc>
          <w:tcPr>
            <w:tcW w:w="180" w:type="dxa"/>
            <w:vAlign w:val="bottom"/>
            <w:tcBorders>
              <w:bottom w:val="single" w:sz="8" w:color="auto"/>
            </w:tcBorders>
            <w:shd w:val="clear" w:color="auto" w:fill="D4F1F5"/>
          </w:tcPr>
          <w:p>
            <w:pPr>
              <w:spacing w:after="0"/>
              <w:rPr>
                <w:sz w:val="18"/>
                <w:szCs w:val="18"/>
                <w:color w:val="auto"/>
              </w:rPr>
            </w:pPr>
          </w:p>
        </w:tc>
        <w:tc>
          <w:tcPr>
            <w:tcW w:w="820" w:type="dxa"/>
            <w:vAlign w:val="bottom"/>
            <w:tcBorders>
              <w:bottom w:val="single" w:sz="8" w:color="auto"/>
            </w:tcBorders>
            <w:shd w:val="clear" w:color="auto" w:fill="D4F1F5"/>
          </w:tcPr>
          <w:p>
            <w:pPr>
              <w:jc w:val="right"/>
              <w:ind w:right="19"/>
              <w:spacing w:after="0"/>
              <w:rPr>
                <w:sz w:val="20"/>
                <w:szCs w:val="20"/>
                <w:color w:val="auto"/>
              </w:rPr>
            </w:pPr>
            <w:r>
              <w:rPr>
                <w:rFonts w:ascii="Arial" w:cs="Arial" w:eastAsia="Arial" w:hAnsi="Arial"/>
                <w:sz w:val="16"/>
                <w:szCs w:val="16"/>
                <w:color w:val="auto"/>
              </w:rPr>
              <w:t>285</w:t>
            </w:r>
          </w:p>
        </w:tc>
        <w:tc>
          <w:tcPr>
            <w:tcW w:w="260" w:type="dxa"/>
            <w:vAlign w:val="bottom"/>
            <w:tcBorders>
              <w:bottom w:val="single" w:sz="8" w:color="auto"/>
            </w:tcBorders>
            <w:shd w:val="clear" w:color="auto" w:fill="D4F1F5"/>
          </w:tcPr>
          <w:p>
            <w:pPr>
              <w:spacing w:after="0"/>
              <w:rPr>
                <w:sz w:val="18"/>
                <w:szCs w:val="18"/>
                <w:color w:val="auto"/>
              </w:rPr>
            </w:pPr>
          </w:p>
        </w:tc>
        <w:tc>
          <w:tcPr>
            <w:tcW w:w="820" w:type="dxa"/>
            <w:vAlign w:val="bottom"/>
            <w:tcBorders>
              <w:bottom w:val="single" w:sz="8" w:color="auto"/>
            </w:tcBorders>
            <w:shd w:val="clear" w:color="auto" w:fill="D4F1F5"/>
          </w:tcPr>
          <w:p>
            <w:pPr>
              <w:jc w:val="right"/>
              <w:ind w:right="20"/>
              <w:spacing w:after="0"/>
              <w:rPr>
                <w:sz w:val="20"/>
                <w:szCs w:val="20"/>
                <w:color w:val="auto"/>
              </w:rPr>
            </w:pPr>
            <w:r>
              <w:rPr>
                <w:rFonts w:ascii="Arial" w:cs="Arial" w:eastAsia="Arial" w:hAnsi="Arial"/>
                <w:sz w:val="16"/>
                <w:szCs w:val="16"/>
                <w:color w:val="auto"/>
              </w:rPr>
              <w:t>3</w:t>
            </w:r>
          </w:p>
        </w:tc>
        <w:tc>
          <w:tcPr>
            <w:tcW w:w="260" w:type="dxa"/>
            <w:vAlign w:val="bottom"/>
            <w:tcBorders>
              <w:bottom w:val="single" w:sz="8" w:color="auto"/>
            </w:tcBorders>
            <w:shd w:val="clear" w:color="auto" w:fill="D4F1F5"/>
          </w:tcPr>
          <w:p>
            <w:pPr>
              <w:spacing w:after="0"/>
              <w:rPr>
                <w:sz w:val="18"/>
                <w:szCs w:val="18"/>
                <w:color w:val="auto"/>
              </w:rPr>
            </w:pPr>
          </w:p>
        </w:tc>
        <w:tc>
          <w:tcPr>
            <w:tcW w:w="900" w:type="dxa"/>
            <w:vAlign w:val="bottom"/>
            <w:tcBorders>
              <w:bottom w:val="single" w:sz="8" w:color="auto"/>
            </w:tcBorders>
            <w:shd w:val="clear" w:color="auto" w:fill="D4F1F5"/>
          </w:tcPr>
          <w:p>
            <w:pPr>
              <w:jc w:val="right"/>
              <w:ind w:right="99"/>
              <w:spacing w:after="0"/>
              <w:rPr>
                <w:sz w:val="20"/>
                <w:szCs w:val="20"/>
                <w:color w:val="auto"/>
              </w:rPr>
            </w:pPr>
            <w:r>
              <w:rPr>
                <w:rFonts w:ascii="Arial" w:cs="Arial" w:eastAsia="Arial" w:hAnsi="Arial"/>
                <w:sz w:val="16"/>
                <w:szCs w:val="16"/>
                <w:color w:val="auto"/>
              </w:rPr>
              <w:t>—</w:t>
            </w:r>
          </w:p>
        </w:tc>
        <w:tc>
          <w:tcPr>
            <w:tcW w:w="160" w:type="dxa"/>
            <w:vAlign w:val="bottom"/>
            <w:shd w:val="clear" w:color="auto" w:fill="D4F1F5"/>
          </w:tcPr>
          <w:p>
            <w:pPr>
              <w:spacing w:after="0"/>
              <w:rPr>
                <w:sz w:val="18"/>
                <w:szCs w:val="18"/>
                <w:color w:val="auto"/>
              </w:rPr>
            </w:pPr>
          </w:p>
        </w:tc>
        <w:tc>
          <w:tcPr>
            <w:tcW w:w="840" w:type="dxa"/>
            <w:vAlign w:val="bottom"/>
            <w:shd w:val="clear" w:color="auto" w:fill="D4F1F5"/>
          </w:tcPr>
          <w:p>
            <w:pPr>
              <w:spacing w:after="0"/>
              <w:rPr>
                <w:sz w:val="18"/>
                <w:szCs w:val="18"/>
                <w:color w:val="auto"/>
              </w:rPr>
            </w:pPr>
          </w:p>
        </w:tc>
        <w:tc>
          <w:tcPr>
            <w:tcW w:w="320" w:type="dxa"/>
            <w:vAlign w:val="bottom"/>
            <w:tcBorders>
              <w:bottom w:val="single" w:sz="8" w:color="auto"/>
            </w:tcBorders>
            <w:shd w:val="clear" w:color="auto" w:fill="D4F1F5"/>
          </w:tcPr>
          <w:p>
            <w:pPr>
              <w:spacing w:after="0"/>
              <w:rPr>
                <w:sz w:val="18"/>
                <w:szCs w:val="18"/>
                <w:color w:val="auto"/>
              </w:rPr>
            </w:pPr>
          </w:p>
        </w:tc>
        <w:tc>
          <w:tcPr>
            <w:tcW w:w="760" w:type="dxa"/>
            <w:vAlign w:val="bottom"/>
            <w:tcBorders>
              <w:bottom w:val="single" w:sz="8" w:color="auto"/>
            </w:tcBorders>
            <w:shd w:val="clear" w:color="auto" w:fill="D4F1F5"/>
          </w:tcPr>
          <w:p>
            <w:pPr>
              <w:jc w:val="right"/>
              <w:spacing w:after="0"/>
              <w:rPr>
                <w:sz w:val="20"/>
                <w:szCs w:val="20"/>
                <w:color w:val="auto"/>
              </w:rPr>
            </w:pPr>
            <w:r>
              <w:rPr>
                <w:rFonts w:ascii="Arial" w:cs="Arial" w:eastAsia="Arial" w:hAnsi="Arial"/>
                <w:sz w:val="16"/>
                <w:szCs w:val="16"/>
                <w:color w:val="auto"/>
              </w:rPr>
              <w:t>288</w:t>
            </w:r>
          </w:p>
        </w:tc>
        <w:tc>
          <w:tcPr>
            <w:tcW w:w="0" w:type="dxa"/>
            <w:vAlign w:val="bottom"/>
          </w:tcPr>
          <w:p>
            <w:pPr>
              <w:spacing w:after="0"/>
              <w:rPr>
                <w:sz w:val="1"/>
                <w:szCs w:val="1"/>
                <w:color w:val="auto"/>
              </w:rPr>
            </w:pPr>
          </w:p>
        </w:tc>
      </w:tr>
      <w:tr>
        <w:trPr>
          <w:trHeight w:val="209"/>
        </w:trPr>
        <w:tc>
          <w:tcPr>
            <w:tcW w:w="5900" w:type="dxa"/>
            <w:vAlign w:val="bottom"/>
          </w:tcPr>
          <w:p>
            <w:pPr>
              <w:ind w:left="460"/>
              <w:spacing w:after="0"/>
              <w:rPr>
                <w:sz w:val="20"/>
                <w:szCs w:val="20"/>
                <w:color w:val="auto"/>
              </w:rPr>
            </w:pPr>
            <w:r>
              <w:rPr>
                <w:rFonts w:ascii="Arial" w:cs="Arial" w:eastAsia="Arial" w:hAnsi="Arial"/>
                <w:sz w:val="16"/>
                <w:szCs w:val="16"/>
                <w:color w:val="auto"/>
              </w:rPr>
              <w:t>Debt securities:</w:t>
            </w: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3"/>
        </w:trPr>
        <w:tc>
          <w:tcPr>
            <w:tcW w:w="5900" w:type="dxa"/>
            <w:vAlign w:val="bottom"/>
            <w:shd w:val="clear" w:color="auto" w:fill="D4F1F5"/>
          </w:tcPr>
          <w:p>
            <w:pPr>
              <w:ind w:left="680"/>
              <w:spacing w:after="0" w:line="163" w:lineRule="exact"/>
              <w:rPr>
                <w:sz w:val="20"/>
                <w:szCs w:val="20"/>
                <w:color w:val="auto"/>
              </w:rPr>
            </w:pPr>
            <w:r>
              <w:rPr>
                <w:rFonts w:ascii="Arial" w:cs="Arial" w:eastAsia="Arial" w:hAnsi="Arial"/>
                <w:sz w:val="16"/>
                <w:szCs w:val="16"/>
                <w:color w:val="auto"/>
              </w:rPr>
              <w:t>Debt securities issued by the U.S. Treasury and other U.S.</w:t>
            </w:r>
          </w:p>
        </w:tc>
        <w:tc>
          <w:tcPr>
            <w:tcW w:w="180" w:type="dxa"/>
            <w:vAlign w:val="bottom"/>
            <w:shd w:val="clear" w:color="auto" w:fill="D4F1F5"/>
          </w:tcPr>
          <w:p>
            <w:pPr>
              <w:spacing w:after="0"/>
              <w:rPr>
                <w:sz w:val="14"/>
                <w:szCs w:val="14"/>
                <w:color w:val="auto"/>
              </w:rPr>
            </w:pPr>
          </w:p>
        </w:tc>
        <w:tc>
          <w:tcPr>
            <w:tcW w:w="820" w:type="dxa"/>
            <w:vAlign w:val="bottom"/>
            <w:vMerge w:val="restart"/>
            <w:shd w:val="clear" w:color="auto" w:fill="D4F1F5"/>
          </w:tcPr>
          <w:p>
            <w:pPr>
              <w:jc w:val="right"/>
              <w:ind w:right="19"/>
              <w:spacing w:after="0"/>
              <w:rPr>
                <w:sz w:val="20"/>
                <w:szCs w:val="20"/>
                <w:color w:val="auto"/>
              </w:rPr>
            </w:pPr>
            <w:r>
              <w:rPr>
                <w:rFonts w:ascii="Arial" w:cs="Arial" w:eastAsia="Arial" w:hAnsi="Arial"/>
                <w:sz w:val="16"/>
                <w:szCs w:val="16"/>
                <w:color w:val="auto"/>
              </w:rPr>
              <w:t>28</w:t>
            </w:r>
          </w:p>
        </w:tc>
        <w:tc>
          <w:tcPr>
            <w:tcW w:w="260" w:type="dxa"/>
            <w:vAlign w:val="bottom"/>
            <w:shd w:val="clear" w:color="auto" w:fill="D4F1F5"/>
          </w:tcPr>
          <w:p>
            <w:pPr>
              <w:spacing w:after="0"/>
              <w:rPr>
                <w:sz w:val="14"/>
                <w:szCs w:val="14"/>
                <w:color w:val="auto"/>
              </w:rPr>
            </w:pPr>
          </w:p>
        </w:tc>
        <w:tc>
          <w:tcPr>
            <w:tcW w:w="820" w:type="dxa"/>
            <w:vAlign w:val="bottom"/>
            <w:vMerge w:val="restart"/>
            <w:shd w:val="clear" w:color="auto" w:fill="D4F1F5"/>
          </w:tcPr>
          <w:p>
            <w:pPr>
              <w:jc w:val="right"/>
              <w:ind w:right="20"/>
              <w:spacing w:after="0"/>
              <w:rPr>
                <w:sz w:val="20"/>
                <w:szCs w:val="20"/>
                <w:color w:val="auto"/>
              </w:rPr>
            </w:pPr>
            <w:r>
              <w:rPr>
                <w:rFonts w:ascii="Arial" w:cs="Arial" w:eastAsia="Arial" w:hAnsi="Arial"/>
                <w:sz w:val="16"/>
                <w:szCs w:val="16"/>
                <w:color w:val="auto"/>
              </w:rPr>
              <w:t>19</w:t>
            </w:r>
          </w:p>
        </w:tc>
        <w:tc>
          <w:tcPr>
            <w:tcW w:w="260" w:type="dxa"/>
            <w:vAlign w:val="bottom"/>
            <w:shd w:val="clear" w:color="auto" w:fill="D4F1F5"/>
          </w:tcPr>
          <w:p>
            <w:pPr>
              <w:spacing w:after="0"/>
              <w:rPr>
                <w:sz w:val="14"/>
                <w:szCs w:val="14"/>
                <w:color w:val="auto"/>
              </w:rPr>
            </w:pPr>
          </w:p>
        </w:tc>
        <w:tc>
          <w:tcPr>
            <w:tcW w:w="900" w:type="dxa"/>
            <w:vAlign w:val="bottom"/>
            <w:vMerge w:val="restart"/>
            <w:shd w:val="clear" w:color="auto" w:fill="D4F1F5"/>
          </w:tcPr>
          <w:p>
            <w:pPr>
              <w:jc w:val="right"/>
              <w:ind w:right="99"/>
              <w:spacing w:after="0"/>
              <w:rPr>
                <w:sz w:val="20"/>
                <w:szCs w:val="20"/>
                <w:color w:val="auto"/>
              </w:rPr>
            </w:pPr>
            <w:r>
              <w:rPr>
                <w:rFonts w:ascii="Arial" w:cs="Arial" w:eastAsia="Arial" w:hAnsi="Arial"/>
                <w:sz w:val="16"/>
                <w:szCs w:val="16"/>
                <w:color w:val="auto"/>
              </w:rPr>
              <w:t>—</w:t>
            </w:r>
          </w:p>
        </w:tc>
        <w:tc>
          <w:tcPr>
            <w:tcW w:w="160" w:type="dxa"/>
            <w:vAlign w:val="bottom"/>
            <w:shd w:val="clear" w:color="auto" w:fill="D4F1F5"/>
          </w:tcPr>
          <w:p>
            <w:pPr>
              <w:spacing w:after="0"/>
              <w:rPr>
                <w:sz w:val="14"/>
                <w:szCs w:val="14"/>
                <w:color w:val="auto"/>
              </w:rPr>
            </w:pPr>
          </w:p>
        </w:tc>
        <w:tc>
          <w:tcPr>
            <w:tcW w:w="840" w:type="dxa"/>
            <w:vAlign w:val="bottom"/>
            <w:shd w:val="clear" w:color="auto" w:fill="D4F1F5"/>
          </w:tcPr>
          <w:p>
            <w:pPr>
              <w:spacing w:after="0"/>
              <w:rPr>
                <w:sz w:val="14"/>
                <w:szCs w:val="14"/>
                <w:color w:val="auto"/>
              </w:rPr>
            </w:pPr>
          </w:p>
        </w:tc>
        <w:tc>
          <w:tcPr>
            <w:tcW w:w="320" w:type="dxa"/>
            <w:vAlign w:val="bottom"/>
            <w:shd w:val="clear" w:color="auto" w:fill="D4F1F5"/>
          </w:tcPr>
          <w:p>
            <w:pPr>
              <w:spacing w:after="0"/>
              <w:rPr>
                <w:sz w:val="14"/>
                <w:szCs w:val="14"/>
                <w:color w:val="auto"/>
              </w:rPr>
            </w:pPr>
          </w:p>
        </w:tc>
        <w:tc>
          <w:tcPr>
            <w:tcW w:w="760" w:type="dxa"/>
            <w:vAlign w:val="bottom"/>
            <w:vMerge w:val="restart"/>
            <w:shd w:val="clear" w:color="auto" w:fill="D4F1F5"/>
          </w:tcPr>
          <w:p>
            <w:pPr>
              <w:jc w:val="right"/>
              <w:spacing w:after="0"/>
              <w:rPr>
                <w:sz w:val="20"/>
                <w:szCs w:val="20"/>
                <w:color w:val="auto"/>
              </w:rPr>
            </w:pPr>
            <w:r>
              <w:rPr>
                <w:rFonts w:ascii="Arial" w:cs="Arial" w:eastAsia="Arial" w:hAnsi="Arial"/>
                <w:sz w:val="16"/>
                <w:szCs w:val="16"/>
                <w:color w:val="auto"/>
              </w:rPr>
              <w:t>47</w:t>
            </w:r>
          </w:p>
        </w:tc>
        <w:tc>
          <w:tcPr>
            <w:tcW w:w="0" w:type="dxa"/>
            <w:vAlign w:val="bottom"/>
          </w:tcPr>
          <w:p>
            <w:pPr>
              <w:spacing w:after="0"/>
              <w:rPr>
                <w:sz w:val="1"/>
                <w:szCs w:val="1"/>
                <w:color w:val="auto"/>
              </w:rPr>
            </w:pPr>
          </w:p>
        </w:tc>
      </w:tr>
      <w:tr>
        <w:trPr>
          <w:trHeight w:val="216"/>
        </w:trPr>
        <w:tc>
          <w:tcPr>
            <w:tcW w:w="5900" w:type="dxa"/>
            <w:vAlign w:val="bottom"/>
            <w:shd w:val="clear" w:color="auto" w:fill="D4F1F5"/>
          </w:tcPr>
          <w:p>
            <w:pPr>
              <w:ind w:left="880"/>
              <w:spacing w:after="0"/>
              <w:rPr>
                <w:sz w:val="20"/>
                <w:szCs w:val="20"/>
                <w:color w:val="auto"/>
              </w:rPr>
            </w:pPr>
            <w:r>
              <w:rPr>
                <w:rFonts w:ascii="Arial" w:cs="Arial" w:eastAsia="Arial" w:hAnsi="Arial"/>
                <w:sz w:val="16"/>
                <w:szCs w:val="16"/>
                <w:color w:val="auto"/>
              </w:rPr>
              <w:t>government corporations and agencies</w:t>
            </w:r>
          </w:p>
        </w:tc>
        <w:tc>
          <w:tcPr>
            <w:tcW w:w="180" w:type="dxa"/>
            <w:vAlign w:val="bottom"/>
            <w:shd w:val="clear" w:color="auto" w:fill="D4F1F5"/>
          </w:tcPr>
          <w:p>
            <w:pPr>
              <w:spacing w:after="0"/>
              <w:rPr>
                <w:sz w:val="18"/>
                <w:szCs w:val="18"/>
                <w:color w:val="auto"/>
              </w:rPr>
            </w:pPr>
          </w:p>
        </w:tc>
        <w:tc>
          <w:tcPr>
            <w:tcW w:w="820" w:type="dxa"/>
            <w:vAlign w:val="bottom"/>
            <w:vMerge w:val="continue"/>
            <w:shd w:val="clear" w:color="auto" w:fill="D4F1F5"/>
          </w:tcPr>
          <w:p>
            <w:pPr>
              <w:spacing w:after="0"/>
              <w:rPr>
                <w:sz w:val="18"/>
                <w:szCs w:val="18"/>
                <w:color w:val="auto"/>
              </w:rPr>
            </w:pPr>
          </w:p>
        </w:tc>
        <w:tc>
          <w:tcPr>
            <w:tcW w:w="260" w:type="dxa"/>
            <w:vAlign w:val="bottom"/>
            <w:shd w:val="clear" w:color="auto" w:fill="D4F1F5"/>
          </w:tcPr>
          <w:p>
            <w:pPr>
              <w:spacing w:after="0"/>
              <w:rPr>
                <w:sz w:val="18"/>
                <w:szCs w:val="18"/>
                <w:color w:val="auto"/>
              </w:rPr>
            </w:pPr>
          </w:p>
        </w:tc>
        <w:tc>
          <w:tcPr>
            <w:tcW w:w="820" w:type="dxa"/>
            <w:vAlign w:val="bottom"/>
            <w:vMerge w:val="continue"/>
            <w:shd w:val="clear" w:color="auto" w:fill="D4F1F5"/>
          </w:tcPr>
          <w:p>
            <w:pPr>
              <w:spacing w:after="0"/>
              <w:rPr>
                <w:sz w:val="18"/>
                <w:szCs w:val="18"/>
                <w:color w:val="auto"/>
              </w:rPr>
            </w:pPr>
          </w:p>
        </w:tc>
        <w:tc>
          <w:tcPr>
            <w:tcW w:w="260" w:type="dxa"/>
            <w:vAlign w:val="bottom"/>
            <w:shd w:val="clear" w:color="auto" w:fill="D4F1F5"/>
          </w:tcPr>
          <w:p>
            <w:pPr>
              <w:spacing w:after="0"/>
              <w:rPr>
                <w:sz w:val="18"/>
                <w:szCs w:val="18"/>
                <w:color w:val="auto"/>
              </w:rPr>
            </w:pPr>
          </w:p>
        </w:tc>
        <w:tc>
          <w:tcPr>
            <w:tcW w:w="900" w:type="dxa"/>
            <w:vAlign w:val="bottom"/>
            <w:vMerge w:val="continue"/>
            <w:shd w:val="clear" w:color="auto" w:fill="D4F1F5"/>
          </w:tcPr>
          <w:p>
            <w:pPr>
              <w:spacing w:after="0"/>
              <w:rPr>
                <w:sz w:val="18"/>
                <w:szCs w:val="18"/>
                <w:color w:val="auto"/>
              </w:rPr>
            </w:pPr>
          </w:p>
        </w:tc>
        <w:tc>
          <w:tcPr>
            <w:tcW w:w="160" w:type="dxa"/>
            <w:vAlign w:val="bottom"/>
            <w:shd w:val="clear" w:color="auto" w:fill="D4F1F5"/>
          </w:tcPr>
          <w:p>
            <w:pPr>
              <w:spacing w:after="0"/>
              <w:rPr>
                <w:sz w:val="18"/>
                <w:szCs w:val="18"/>
                <w:color w:val="auto"/>
              </w:rPr>
            </w:pPr>
          </w:p>
        </w:tc>
        <w:tc>
          <w:tcPr>
            <w:tcW w:w="840" w:type="dxa"/>
            <w:vAlign w:val="bottom"/>
            <w:shd w:val="clear" w:color="auto" w:fill="D4F1F5"/>
          </w:tcPr>
          <w:p>
            <w:pPr>
              <w:spacing w:after="0"/>
              <w:rPr>
                <w:sz w:val="18"/>
                <w:szCs w:val="18"/>
                <w:color w:val="auto"/>
              </w:rPr>
            </w:pPr>
          </w:p>
        </w:tc>
        <w:tc>
          <w:tcPr>
            <w:tcW w:w="320" w:type="dxa"/>
            <w:vAlign w:val="bottom"/>
            <w:shd w:val="clear" w:color="auto" w:fill="D4F1F5"/>
          </w:tcPr>
          <w:p>
            <w:pPr>
              <w:spacing w:after="0"/>
              <w:rPr>
                <w:sz w:val="18"/>
                <w:szCs w:val="18"/>
                <w:color w:val="auto"/>
              </w:rPr>
            </w:pPr>
          </w:p>
        </w:tc>
        <w:tc>
          <w:tcPr>
            <w:tcW w:w="760" w:type="dxa"/>
            <w:vAlign w:val="bottom"/>
            <w:vMerge w:val="continue"/>
            <w:shd w:val="clear" w:color="auto" w:fill="D4F1F5"/>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900" w:type="dxa"/>
            <w:vAlign w:val="bottom"/>
          </w:tcPr>
          <w:p>
            <w:pPr>
              <w:ind w:left="680"/>
              <w:spacing w:after="0"/>
              <w:rPr>
                <w:sz w:val="20"/>
                <w:szCs w:val="20"/>
                <w:color w:val="auto"/>
              </w:rPr>
            </w:pPr>
            <w:r>
              <w:rPr>
                <w:rFonts w:ascii="Arial" w:cs="Arial" w:eastAsia="Arial" w:hAnsi="Arial"/>
                <w:sz w:val="16"/>
                <w:szCs w:val="16"/>
                <w:color w:val="auto"/>
              </w:rPr>
              <w:t>Municipal bonds</w:t>
            </w:r>
          </w:p>
        </w:tc>
        <w:tc>
          <w:tcPr>
            <w:tcW w:w="180" w:type="dxa"/>
            <w:vAlign w:val="bottom"/>
          </w:tcPr>
          <w:p>
            <w:pPr>
              <w:spacing w:after="0"/>
              <w:rPr>
                <w:sz w:val="18"/>
                <w:szCs w:val="18"/>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820" w:type="dxa"/>
            <w:vAlign w:val="bottom"/>
          </w:tcPr>
          <w:p>
            <w:pPr>
              <w:jc w:val="right"/>
              <w:ind w:right="20"/>
              <w:spacing w:after="0"/>
              <w:rPr>
                <w:sz w:val="20"/>
                <w:szCs w:val="20"/>
                <w:color w:val="auto"/>
              </w:rPr>
            </w:pPr>
            <w:r>
              <w:rPr>
                <w:rFonts w:ascii="Arial" w:cs="Arial" w:eastAsia="Arial" w:hAnsi="Arial"/>
                <w:sz w:val="16"/>
                <w:szCs w:val="16"/>
                <w:color w:val="auto"/>
              </w:rPr>
              <w:t>300</w:t>
            </w:r>
          </w:p>
        </w:tc>
        <w:tc>
          <w:tcPr>
            <w:tcW w:w="260" w:type="dxa"/>
            <w:vAlign w:val="bottom"/>
          </w:tcPr>
          <w:p>
            <w:pPr>
              <w:spacing w:after="0"/>
              <w:rPr>
                <w:sz w:val="18"/>
                <w:szCs w:val="18"/>
                <w:color w:val="auto"/>
              </w:rPr>
            </w:pPr>
          </w:p>
        </w:tc>
        <w:tc>
          <w:tcPr>
            <w:tcW w:w="9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300</w:t>
            </w:r>
          </w:p>
        </w:tc>
        <w:tc>
          <w:tcPr>
            <w:tcW w:w="0" w:type="dxa"/>
            <w:vAlign w:val="bottom"/>
          </w:tcPr>
          <w:p>
            <w:pPr>
              <w:spacing w:after="0"/>
              <w:rPr>
                <w:sz w:val="1"/>
                <w:szCs w:val="1"/>
                <w:color w:val="auto"/>
              </w:rPr>
            </w:pPr>
          </w:p>
        </w:tc>
      </w:tr>
      <w:tr>
        <w:trPr>
          <w:trHeight w:val="217"/>
        </w:trPr>
        <w:tc>
          <w:tcPr>
            <w:tcW w:w="5900" w:type="dxa"/>
            <w:vAlign w:val="bottom"/>
            <w:shd w:val="clear" w:color="auto" w:fill="D4F1F5"/>
          </w:tcPr>
          <w:p>
            <w:pPr>
              <w:ind w:left="680"/>
              <w:spacing w:after="0"/>
              <w:rPr>
                <w:sz w:val="20"/>
                <w:szCs w:val="20"/>
                <w:color w:val="auto"/>
              </w:rPr>
            </w:pPr>
            <w:r>
              <w:rPr>
                <w:rFonts w:ascii="Arial" w:cs="Arial" w:eastAsia="Arial" w:hAnsi="Arial"/>
                <w:sz w:val="16"/>
                <w:szCs w:val="16"/>
                <w:color w:val="auto"/>
              </w:rPr>
              <w:t>Other securities</w:t>
            </w:r>
          </w:p>
        </w:tc>
        <w:tc>
          <w:tcPr>
            <w:tcW w:w="180" w:type="dxa"/>
            <w:vAlign w:val="bottom"/>
            <w:tcBorders>
              <w:bottom w:val="single" w:sz="8" w:color="auto"/>
            </w:tcBorders>
            <w:shd w:val="clear" w:color="auto" w:fill="D4F1F5"/>
          </w:tcPr>
          <w:p>
            <w:pPr>
              <w:spacing w:after="0"/>
              <w:rPr>
                <w:sz w:val="18"/>
                <w:szCs w:val="18"/>
                <w:color w:val="auto"/>
              </w:rPr>
            </w:pPr>
          </w:p>
        </w:tc>
        <w:tc>
          <w:tcPr>
            <w:tcW w:w="820" w:type="dxa"/>
            <w:vAlign w:val="bottom"/>
            <w:tcBorders>
              <w:bottom w:val="single" w:sz="8" w:color="auto"/>
            </w:tcBorders>
            <w:shd w:val="clear" w:color="auto" w:fill="D4F1F5"/>
          </w:tcPr>
          <w:p>
            <w:pPr>
              <w:jc w:val="right"/>
              <w:ind w:right="19"/>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auto"/>
            </w:tcBorders>
            <w:shd w:val="clear" w:color="auto" w:fill="D4F1F5"/>
          </w:tcPr>
          <w:p>
            <w:pPr>
              <w:spacing w:after="0"/>
              <w:rPr>
                <w:sz w:val="18"/>
                <w:szCs w:val="18"/>
                <w:color w:val="auto"/>
              </w:rPr>
            </w:pPr>
          </w:p>
        </w:tc>
        <w:tc>
          <w:tcPr>
            <w:tcW w:w="820" w:type="dxa"/>
            <w:vAlign w:val="bottom"/>
            <w:tcBorders>
              <w:bottom w:val="single" w:sz="8" w:color="auto"/>
            </w:tcBorders>
            <w:shd w:val="clear" w:color="auto" w:fill="D4F1F5"/>
          </w:tcPr>
          <w:p>
            <w:pPr>
              <w:jc w:val="right"/>
              <w:ind w:right="20"/>
              <w:spacing w:after="0"/>
              <w:rPr>
                <w:sz w:val="20"/>
                <w:szCs w:val="20"/>
                <w:color w:val="auto"/>
              </w:rPr>
            </w:pPr>
            <w:r>
              <w:rPr>
                <w:rFonts w:ascii="Arial" w:cs="Arial" w:eastAsia="Arial" w:hAnsi="Arial"/>
                <w:sz w:val="16"/>
                <w:szCs w:val="16"/>
                <w:color w:val="auto"/>
              </w:rPr>
              <w:t>255</w:t>
            </w:r>
          </w:p>
        </w:tc>
        <w:tc>
          <w:tcPr>
            <w:tcW w:w="260" w:type="dxa"/>
            <w:vAlign w:val="bottom"/>
            <w:tcBorders>
              <w:bottom w:val="single" w:sz="8" w:color="auto"/>
            </w:tcBorders>
            <w:shd w:val="clear" w:color="auto" w:fill="D4F1F5"/>
          </w:tcPr>
          <w:p>
            <w:pPr>
              <w:spacing w:after="0"/>
              <w:rPr>
                <w:sz w:val="18"/>
                <w:szCs w:val="18"/>
                <w:color w:val="auto"/>
              </w:rPr>
            </w:pPr>
          </w:p>
        </w:tc>
        <w:tc>
          <w:tcPr>
            <w:tcW w:w="900" w:type="dxa"/>
            <w:vAlign w:val="bottom"/>
            <w:tcBorders>
              <w:bottom w:val="single" w:sz="8" w:color="auto"/>
            </w:tcBorders>
            <w:shd w:val="clear" w:color="auto" w:fill="D4F1F5"/>
          </w:tcPr>
          <w:p>
            <w:pPr>
              <w:jc w:val="right"/>
              <w:ind w:right="99"/>
              <w:spacing w:after="0"/>
              <w:rPr>
                <w:sz w:val="20"/>
                <w:szCs w:val="20"/>
                <w:color w:val="auto"/>
              </w:rPr>
            </w:pPr>
            <w:r>
              <w:rPr>
                <w:rFonts w:ascii="Arial" w:cs="Arial" w:eastAsia="Arial" w:hAnsi="Arial"/>
                <w:sz w:val="16"/>
                <w:szCs w:val="16"/>
                <w:color w:val="auto"/>
              </w:rPr>
              <w:t>—</w:t>
            </w:r>
          </w:p>
        </w:tc>
        <w:tc>
          <w:tcPr>
            <w:tcW w:w="160" w:type="dxa"/>
            <w:vAlign w:val="bottom"/>
            <w:shd w:val="clear" w:color="auto" w:fill="D4F1F5"/>
          </w:tcPr>
          <w:p>
            <w:pPr>
              <w:spacing w:after="0"/>
              <w:rPr>
                <w:sz w:val="18"/>
                <w:szCs w:val="18"/>
                <w:color w:val="auto"/>
              </w:rPr>
            </w:pPr>
          </w:p>
        </w:tc>
        <w:tc>
          <w:tcPr>
            <w:tcW w:w="840" w:type="dxa"/>
            <w:vAlign w:val="bottom"/>
            <w:shd w:val="clear" w:color="auto" w:fill="D4F1F5"/>
          </w:tcPr>
          <w:p>
            <w:pPr>
              <w:spacing w:after="0"/>
              <w:rPr>
                <w:sz w:val="18"/>
                <w:szCs w:val="18"/>
                <w:color w:val="auto"/>
              </w:rPr>
            </w:pPr>
          </w:p>
        </w:tc>
        <w:tc>
          <w:tcPr>
            <w:tcW w:w="320" w:type="dxa"/>
            <w:vAlign w:val="bottom"/>
            <w:tcBorders>
              <w:bottom w:val="single" w:sz="8" w:color="auto"/>
            </w:tcBorders>
            <w:shd w:val="clear" w:color="auto" w:fill="D4F1F5"/>
          </w:tcPr>
          <w:p>
            <w:pPr>
              <w:spacing w:after="0"/>
              <w:rPr>
                <w:sz w:val="18"/>
                <w:szCs w:val="18"/>
                <w:color w:val="auto"/>
              </w:rPr>
            </w:pPr>
          </w:p>
        </w:tc>
        <w:tc>
          <w:tcPr>
            <w:tcW w:w="760" w:type="dxa"/>
            <w:vAlign w:val="bottom"/>
            <w:tcBorders>
              <w:bottom w:val="single" w:sz="8" w:color="auto"/>
            </w:tcBorders>
            <w:shd w:val="clear" w:color="auto" w:fill="D4F1F5"/>
          </w:tcPr>
          <w:p>
            <w:pPr>
              <w:jc w:val="right"/>
              <w:spacing w:after="0"/>
              <w:rPr>
                <w:sz w:val="20"/>
                <w:szCs w:val="20"/>
                <w:color w:val="auto"/>
              </w:rPr>
            </w:pPr>
            <w:r>
              <w:rPr>
                <w:rFonts w:ascii="Arial" w:cs="Arial" w:eastAsia="Arial" w:hAnsi="Arial"/>
                <w:sz w:val="16"/>
                <w:szCs w:val="16"/>
                <w:color w:val="auto"/>
              </w:rPr>
              <w:t>255</w:t>
            </w:r>
          </w:p>
        </w:tc>
        <w:tc>
          <w:tcPr>
            <w:tcW w:w="0" w:type="dxa"/>
            <w:vAlign w:val="bottom"/>
          </w:tcPr>
          <w:p>
            <w:pPr>
              <w:spacing w:after="0"/>
              <w:rPr>
                <w:sz w:val="1"/>
                <w:szCs w:val="1"/>
                <w:color w:val="auto"/>
              </w:rPr>
            </w:pPr>
          </w:p>
        </w:tc>
      </w:tr>
      <w:tr>
        <w:trPr>
          <w:trHeight w:val="209"/>
        </w:trPr>
        <w:tc>
          <w:tcPr>
            <w:tcW w:w="5900" w:type="dxa"/>
            <w:vAlign w:val="bottom"/>
            <w:tcBorders>
              <w:bottom w:val="single" w:sz="8" w:color="D4F1F5"/>
            </w:tcBorders>
          </w:tcPr>
          <w:p>
            <w:pPr>
              <w:ind w:left="460"/>
              <w:spacing w:after="0"/>
              <w:rPr>
                <w:sz w:val="20"/>
                <w:szCs w:val="20"/>
                <w:color w:val="auto"/>
              </w:rPr>
            </w:pPr>
            <w:r>
              <w:rPr>
                <w:rFonts w:ascii="Arial" w:cs="Arial" w:eastAsia="Arial" w:hAnsi="Arial"/>
                <w:sz w:val="16"/>
                <w:szCs w:val="16"/>
                <w:color w:val="auto"/>
              </w:rPr>
              <w:t>Total debt securities</w:t>
            </w:r>
          </w:p>
        </w:tc>
        <w:tc>
          <w:tcPr>
            <w:tcW w:w="1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28</w:t>
            </w:r>
          </w:p>
        </w:tc>
        <w:tc>
          <w:tcPr>
            <w:tcW w:w="2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574</w:t>
            </w: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D4F1F5"/>
            </w:tcBorders>
          </w:tcPr>
          <w:p>
            <w:pPr>
              <w:spacing w:after="0"/>
              <w:rPr>
                <w:sz w:val="18"/>
                <w:szCs w:val="18"/>
                <w:color w:val="auto"/>
              </w:rPr>
            </w:pPr>
          </w:p>
        </w:tc>
        <w:tc>
          <w:tcPr>
            <w:tcW w:w="840" w:type="dxa"/>
            <w:vAlign w:val="bottom"/>
            <w:tcBorders>
              <w:bottom w:val="single" w:sz="8" w:color="D4F1F5"/>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602</w:t>
            </w:r>
          </w:p>
        </w:tc>
        <w:tc>
          <w:tcPr>
            <w:tcW w:w="0" w:type="dxa"/>
            <w:vAlign w:val="bottom"/>
          </w:tcPr>
          <w:p>
            <w:pPr>
              <w:spacing w:after="0"/>
              <w:rPr>
                <w:sz w:val="1"/>
                <w:szCs w:val="1"/>
                <w:color w:val="auto"/>
              </w:rPr>
            </w:pPr>
          </w:p>
        </w:tc>
      </w:tr>
      <w:tr>
        <w:trPr>
          <w:trHeight w:val="210"/>
        </w:trPr>
        <w:tc>
          <w:tcPr>
            <w:tcW w:w="5900" w:type="dxa"/>
            <w:vAlign w:val="bottom"/>
            <w:shd w:val="clear" w:color="auto" w:fill="D4F1F5"/>
          </w:tcPr>
          <w:p>
            <w:pPr>
              <w:ind w:left="240"/>
              <w:spacing w:after="0" w:line="210" w:lineRule="exact"/>
              <w:rPr>
                <w:sz w:val="20"/>
                <w:szCs w:val="20"/>
                <w:color w:val="auto"/>
              </w:rPr>
            </w:pPr>
            <w:r>
              <w:rPr>
                <w:rFonts w:ascii="Arial" w:cs="Arial" w:eastAsia="Arial" w:hAnsi="Arial"/>
                <w:sz w:val="16"/>
                <w:szCs w:val="16"/>
                <w:color w:val="auto"/>
              </w:rPr>
              <w:t>Total nuclear decommissioning trusts</w:t>
            </w:r>
            <w:r>
              <w:rPr>
                <w:rFonts w:ascii="Arial" w:cs="Arial" w:eastAsia="Arial" w:hAnsi="Arial"/>
                <w:sz w:val="21"/>
                <w:szCs w:val="21"/>
                <w:color w:val="auto"/>
                <w:vertAlign w:val="superscript"/>
              </w:rPr>
              <w:t>(2)</w:t>
            </w:r>
          </w:p>
        </w:tc>
        <w:tc>
          <w:tcPr>
            <w:tcW w:w="180" w:type="dxa"/>
            <w:vAlign w:val="bottom"/>
            <w:shd w:val="clear" w:color="auto" w:fill="D4F1F5"/>
          </w:tcPr>
          <w:p>
            <w:pPr>
              <w:spacing w:after="0"/>
              <w:rPr>
                <w:sz w:val="18"/>
                <w:szCs w:val="18"/>
                <w:color w:val="auto"/>
              </w:rPr>
            </w:pPr>
          </w:p>
        </w:tc>
        <w:tc>
          <w:tcPr>
            <w:tcW w:w="820" w:type="dxa"/>
            <w:vAlign w:val="bottom"/>
            <w:shd w:val="clear" w:color="auto" w:fill="D4F1F5"/>
          </w:tcPr>
          <w:p>
            <w:pPr>
              <w:jc w:val="right"/>
              <w:ind w:right="19"/>
              <w:spacing w:after="0"/>
              <w:rPr>
                <w:sz w:val="20"/>
                <w:szCs w:val="20"/>
                <w:color w:val="auto"/>
              </w:rPr>
            </w:pPr>
            <w:r>
              <w:rPr>
                <w:rFonts w:ascii="Arial" w:cs="Arial" w:eastAsia="Arial" w:hAnsi="Arial"/>
                <w:sz w:val="16"/>
                <w:szCs w:val="16"/>
                <w:color w:val="auto"/>
              </w:rPr>
              <w:t>322</w:t>
            </w:r>
          </w:p>
        </w:tc>
        <w:tc>
          <w:tcPr>
            <w:tcW w:w="260" w:type="dxa"/>
            <w:vAlign w:val="bottom"/>
            <w:shd w:val="clear" w:color="auto" w:fill="D4F1F5"/>
          </w:tcPr>
          <w:p>
            <w:pPr>
              <w:spacing w:after="0"/>
              <w:rPr>
                <w:sz w:val="18"/>
                <w:szCs w:val="18"/>
                <w:color w:val="auto"/>
              </w:rPr>
            </w:pPr>
          </w:p>
        </w:tc>
        <w:tc>
          <w:tcPr>
            <w:tcW w:w="820" w:type="dxa"/>
            <w:vAlign w:val="bottom"/>
            <w:shd w:val="clear" w:color="auto" w:fill="D4F1F5"/>
          </w:tcPr>
          <w:p>
            <w:pPr>
              <w:jc w:val="right"/>
              <w:ind w:right="20"/>
              <w:spacing w:after="0"/>
              <w:rPr>
                <w:sz w:val="20"/>
                <w:szCs w:val="20"/>
                <w:color w:val="auto"/>
              </w:rPr>
            </w:pPr>
            <w:r>
              <w:rPr>
                <w:rFonts w:ascii="Arial" w:cs="Arial" w:eastAsia="Arial" w:hAnsi="Arial"/>
                <w:sz w:val="16"/>
                <w:szCs w:val="16"/>
                <w:color w:val="auto"/>
              </w:rPr>
              <w:t>580</w:t>
            </w:r>
          </w:p>
        </w:tc>
        <w:tc>
          <w:tcPr>
            <w:tcW w:w="260" w:type="dxa"/>
            <w:vAlign w:val="bottom"/>
            <w:shd w:val="clear" w:color="auto" w:fill="D4F1F5"/>
          </w:tcPr>
          <w:p>
            <w:pPr>
              <w:spacing w:after="0"/>
              <w:rPr>
                <w:sz w:val="18"/>
                <w:szCs w:val="18"/>
                <w:color w:val="auto"/>
              </w:rPr>
            </w:pPr>
          </w:p>
        </w:tc>
        <w:tc>
          <w:tcPr>
            <w:tcW w:w="900" w:type="dxa"/>
            <w:vAlign w:val="bottom"/>
            <w:shd w:val="clear" w:color="auto" w:fill="D4F1F5"/>
          </w:tcPr>
          <w:p>
            <w:pPr>
              <w:jc w:val="right"/>
              <w:ind w:right="99"/>
              <w:spacing w:after="0"/>
              <w:rPr>
                <w:sz w:val="20"/>
                <w:szCs w:val="20"/>
                <w:color w:val="auto"/>
              </w:rPr>
            </w:pPr>
            <w:r>
              <w:rPr>
                <w:rFonts w:ascii="Arial" w:cs="Arial" w:eastAsia="Arial" w:hAnsi="Arial"/>
                <w:sz w:val="16"/>
                <w:szCs w:val="16"/>
                <w:color w:val="auto"/>
              </w:rPr>
              <w:t>—</w:t>
            </w:r>
          </w:p>
        </w:tc>
        <w:tc>
          <w:tcPr>
            <w:tcW w:w="160" w:type="dxa"/>
            <w:vAlign w:val="bottom"/>
            <w:shd w:val="clear" w:color="auto" w:fill="D4F1F5"/>
          </w:tcPr>
          <w:p>
            <w:pPr>
              <w:spacing w:after="0"/>
              <w:rPr>
                <w:sz w:val="18"/>
                <w:szCs w:val="18"/>
                <w:color w:val="auto"/>
              </w:rPr>
            </w:pPr>
          </w:p>
        </w:tc>
        <w:tc>
          <w:tcPr>
            <w:tcW w:w="840" w:type="dxa"/>
            <w:vAlign w:val="bottom"/>
            <w:shd w:val="clear" w:color="auto" w:fill="D4F1F5"/>
          </w:tcPr>
          <w:p>
            <w:pPr>
              <w:spacing w:after="0"/>
              <w:rPr>
                <w:sz w:val="18"/>
                <w:szCs w:val="18"/>
                <w:color w:val="auto"/>
              </w:rPr>
            </w:pPr>
          </w:p>
        </w:tc>
        <w:tc>
          <w:tcPr>
            <w:tcW w:w="320" w:type="dxa"/>
            <w:vAlign w:val="bottom"/>
            <w:shd w:val="clear" w:color="auto" w:fill="D4F1F5"/>
          </w:tcPr>
          <w:p>
            <w:pPr>
              <w:spacing w:after="0"/>
              <w:rPr>
                <w:sz w:val="18"/>
                <w:szCs w:val="18"/>
                <w:color w:val="auto"/>
              </w:rPr>
            </w:pPr>
          </w:p>
        </w:tc>
        <w:tc>
          <w:tcPr>
            <w:tcW w:w="760" w:type="dxa"/>
            <w:vAlign w:val="bottom"/>
            <w:shd w:val="clear" w:color="auto" w:fill="D4F1F5"/>
          </w:tcPr>
          <w:p>
            <w:pPr>
              <w:jc w:val="right"/>
              <w:spacing w:after="0"/>
              <w:rPr>
                <w:sz w:val="20"/>
                <w:szCs w:val="20"/>
                <w:color w:val="auto"/>
              </w:rPr>
            </w:pPr>
            <w:r>
              <w:rPr>
                <w:rFonts w:ascii="Arial" w:cs="Arial" w:eastAsia="Arial" w:hAnsi="Arial"/>
                <w:sz w:val="16"/>
                <w:szCs w:val="16"/>
                <w:color w:val="auto"/>
              </w:rPr>
              <w:t>902</w:t>
            </w:r>
          </w:p>
        </w:tc>
        <w:tc>
          <w:tcPr>
            <w:tcW w:w="0" w:type="dxa"/>
            <w:vAlign w:val="bottom"/>
          </w:tcPr>
          <w:p>
            <w:pPr>
              <w:spacing w:after="0"/>
              <w:rPr>
                <w:sz w:val="1"/>
                <w:szCs w:val="1"/>
                <w:color w:val="auto"/>
              </w:rPr>
            </w:pPr>
          </w:p>
        </w:tc>
      </w:tr>
      <w:tr>
        <w:trPr>
          <w:trHeight w:val="215"/>
        </w:trPr>
        <w:tc>
          <w:tcPr>
            <w:tcW w:w="5900" w:type="dxa"/>
            <w:vAlign w:val="bottom"/>
            <w:tcBorders>
              <w:bottom w:val="single" w:sz="8" w:color="D4F1F5"/>
            </w:tcBorders>
          </w:tcPr>
          <w:p>
            <w:pPr>
              <w:ind w:left="240"/>
              <w:spacing w:after="0"/>
              <w:rPr>
                <w:sz w:val="20"/>
                <w:szCs w:val="20"/>
                <w:color w:val="auto"/>
              </w:rPr>
            </w:pPr>
            <w:r>
              <w:rPr>
                <w:rFonts w:ascii="Arial" w:cs="Arial" w:eastAsia="Arial" w:hAnsi="Arial"/>
                <w:sz w:val="16"/>
                <w:szCs w:val="16"/>
                <w:color w:val="auto"/>
              </w:rPr>
              <w:t>Commodity contracts subject to rate recovery</w:t>
            </w:r>
          </w:p>
        </w:tc>
        <w:tc>
          <w:tcPr>
            <w:tcW w:w="1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w:t>
            </w:r>
          </w:p>
        </w:tc>
        <w:tc>
          <w:tcPr>
            <w:tcW w:w="2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10</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tcPr>
          <w:p>
            <w:pPr>
              <w:jc w:val="center"/>
              <w:ind w:left="420"/>
              <w:spacing w:after="0"/>
              <w:rPr>
                <w:sz w:val="20"/>
                <w:szCs w:val="20"/>
                <w:color w:val="auto"/>
              </w:rPr>
            </w:pPr>
            <w:r>
              <w:rPr>
                <w:rFonts w:ascii="Arial" w:cs="Arial" w:eastAsia="Arial" w:hAnsi="Arial"/>
                <w:sz w:val="16"/>
                <w:szCs w:val="16"/>
                <w:color w:val="auto"/>
              </w:rPr>
              <w:t>12</w:t>
            </w:r>
          </w:p>
        </w:tc>
        <w:tc>
          <w:tcPr>
            <w:tcW w:w="3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w:t>
            </w:r>
          </w:p>
        </w:tc>
        <w:tc>
          <w:tcPr>
            <w:tcW w:w="0" w:type="dxa"/>
            <w:vAlign w:val="bottom"/>
          </w:tcPr>
          <w:p>
            <w:pPr>
              <w:spacing w:after="0"/>
              <w:rPr>
                <w:sz w:val="1"/>
                <w:szCs w:val="1"/>
                <w:color w:val="auto"/>
              </w:rPr>
            </w:pPr>
          </w:p>
        </w:tc>
      </w:tr>
      <w:tr>
        <w:trPr>
          <w:trHeight w:val="230"/>
        </w:trPr>
        <w:tc>
          <w:tcPr>
            <w:tcW w:w="5900" w:type="dxa"/>
            <w:vAlign w:val="bottom"/>
            <w:tcBorders>
              <w:bottom w:val="single" w:sz="8" w:color="D4F1F5"/>
            </w:tcBorders>
            <w:shd w:val="clear" w:color="auto" w:fill="D4F1F5"/>
          </w:tcPr>
          <w:p>
            <w:pPr>
              <w:ind w:left="20"/>
              <w:spacing w:after="0"/>
              <w:rPr>
                <w:sz w:val="20"/>
                <w:szCs w:val="20"/>
                <w:color w:val="auto"/>
              </w:rPr>
            </w:pPr>
            <w:r>
              <w:rPr>
                <w:rFonts w:ascii="Arial" w:cs="Arial" w:eastAsia="Arial" w:hAnsi="Arial"/>
                <w:sz w:val="16"/>
                <w:szCs w:val="16"/>
                <w:color w:val="auto"/>
              </w:rPr>
              <w:t>Total assets</w:t>
            </w:r>
          </w:p>
        </w:tc>
        <w:tc>
          <w:tcPr>
            <w:tcW w:w="180" w:type="dxa"/>
            <w:vAlign w:val="bottom"/>
            <w:tcBorders>
              <w:bottom w:val="single" w:sz="8" w:color="auto"/>
            </w:tcBorders>
            <w:shd w:val="clear" w:color="auto" w:fill="D4F1F5"/>
          </w:tcPr>
          <w:p>
            <w:pPr>
              <w:jc w:val="right"/>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shd w:val="clear" w:color="auto" w:fill="D4F1F5"/>
          </w:tcPr>
          <w:p>
            <w:pPr>
              <w:jc w:val="right"/>
              <w:ind w:right="19"/>
              <w:spacing w:after="0"/>
              <w:rPr>
                <w:sz w:val="20"/>
                <w:szCs w:val="20"/>
                <w:color w:val="auto"/>
              </w:rPr>
            </w:pPr>
            <w:r>
              <w:rPr>
                <w:rFonts w:ascii="Arial" w:cs="Arial" w:eastAsia="Arial" w:hAnsi="Arial"/>
                <w:sz w:val="16"/>
                <w:szCs w:val="16"/>
                <w:color w:val="auto"/>
              </w:rPr>
              <w:t>324</w:t>
            </w:r>
          </w:p>
        </w:tc>
        <w:tc>
          <w:tcPr>
            <w:tcW w:w="260" w:type="dxa"/>
            <w:vAlign w:val="bottom"/>
            <w:tcBorders>
              <w:bottom w:val="single" w:sz="8" w:color="auto"/>
            </w:tcBorders>
            <w:shd w:val="clear" w:color="auto" w:fill="D4F1F5"/>
          </w:tcPr>
          <w:p>
            <w:pPr>
              <w:jc w:val="right"/>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shd w:val="clear" w:color="auto" w:fill="D4F1F5"/>
          </w:tcPr>
          <w:p>
            <w:pPr>
              <w:jc w:val="right"/>
              <w:ind w:right="20"/>
              <w:spacing w:after="0"/>
              <w:rPr>
                <w:sz w:val="20"/>
                <w:szCs w:val="20"/>
                <w:color w:val="auto"/>
              </w:rPr>
            </w:pPr>
            <w:r>
              <w:rPr>
                <w:rFonts w:ascii="Arial" w:cs="Arial" w:eastAsia="Arial" w:hAnsi="Arial"/>
                <w:sz w:val="16"/>
                <w:szCs w:val="16"/>
                <w:color w:val="auto"/>
              </w:rPr>
              <w:t>580</w:t>
            </w:r>
          </w:p>
        </w:tc>
        <w:tc>
          <w:tcPr>
            <w:tcW w:w="260" w:type="dxa"/>
            <w:vAlign w:val="bottom"/>
            <w:tcBorders>
              <w:bottom w:val="single" w:sz="8" w:color="auto"/>
            </w:tcBorders>
            <w:shd w:val="clear" w:color="auto" w:fill="D4F1F5"/>
          </w:tcPr>
          <w:p>
            <w:pPr>
              <w:jc w:val="right"/>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shd w:val="clear" w:color="auto" w:fill="D4F1F5"/>
          </w:tcPr>
          <w:p>
            <w:pPr>
              <w:jc w:val="right"/>
              <w:ind w:right="99"/>
              <w:spacing w:after="0"/>
              <w:rPr>
                <w:sz w:val="20"/>
                <w:szCs w:val="20"/>
                <w:color w:val="auto"/>
              </w:rPr>
            </w:pPr>
            <w:r>
              <w:rPr>
                <w:rFonts w:ascii="Arial" w:cs="Arial" w:eastAsia="Arial" w:hAnsi="Arial"/>
                <w:sz w:val="16"/>
                <w:szCs w:val="16"/>
                <w:color w:val="auto"/>
              </w:rPr>
              <w:t>10</w:t>
            </w:r>
          </w:p>
        </w:tc>
        <w:tc>
          <w:tcPr>
            <w:tcW w:w="160" w:type="dxa"/>
            <w:vAlign w:val="bottom"/>
            <w:tcBorders>
              <w:bottom w:val="single" w:sz="8" w:color="auto"/>
            </w:tcBorders>
            <w:shd w:val="clear" w:color="auto" w:fill="D4F1F5"/>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shd w:val="clear" w:color="auto" w:fill="D4F1F5"/>
          </w:tcPr>
          <w:p>
            <w:pPr>
              <w:jc w:val="center"/>
              <w:ind w:left="420"/>
              <w:spacing w:after="0"/>
              <w:rPr>
                <w:sz w:val="20"/>
                <w:szCs w:val="20"/>
                <w:color w:val="auto"/>
              </w:rPr>
            </w:pPr>
            <w:r>
              <w:rPr>
                <w:rFonts w:ascii="Arial" w:cs="Arial" w:eastAsia="Arial" w:hAnsi="Arial"/>
                <w:sz w:val="16"/>
                <w:szCs w:val="16"/>
                <w:color w:val="auto"/>
              </w:rPr>
              <w:t>12</w:t>
            </w:r>
          </w:p>
        </w:tc>
        <w:tc>
          <w:tcPr>
            <w:tcW w:w="320" w:type="dxa"/>
            <w:vAlign w:val="bottom"/>
            <w:tcBorders>
              <w:bottom w:val="single" w:sz="8" w:color="auto"/>
            </w:tcBorders>
            <w:shd w:val="clear" w:color="auto" w:fill="D4F1F5"/>
          </w:tcPr>
          <w:p>
            <w:pPr>
              <w:jc w:val="right"/>
              <w:ind w:right="39"/>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auto"/>
            </w:tcBorders>
            <w:shd w:val="clear" w:color="auto" w:fill="D4F1F5"/>
          </w:tcPr>
          <w:p>
            <w:pPr>
              <w:jc w:val="right"/>
              <w:spacing w:after="0"/>
              <w:rPr>
                <w:sz w:val="20"/>
                <w:szCs w:val="20"/>
                <w:color w:val="auto"/>
              </w:rPr>
            </w:pPr>
            <w:r>
              <w:rPr>
                <w:rFonts w:ascii="Arial" w:cs="Arial" w:eastAsia="Arial" w:hAnsi="Arial"/>
                <w:sz w:val="16"/>
                <w:szCs w:val="16"/>
                <w:color w:val="auto"/>
              </w:rPr>
              <w:t>926</w:t>
            </w:r>
          </w:p>
        </w:tc>
        <w:tc>
          <w:tcPr>
            <w:tcW w:w="0" w:type="dxa"/>
            <w:vAlign w:val="bottom"/>
          </w:tcPr>
          <w:p>
            <w:pPr>
              <w:spacing w:after="0"/>
              <w:rPr>
                <w:sz w:val="1"/>
                <w:szCs w:val="1"/>
                <w:color w:val="auto"/>
              </w:rPr>
            </w:pPr>
          </w:p>
        </w:tc>
      </w:tr>
      <w:tr>
        <w:trPr>
          <w:trHeight w:val="202"/>
        </w:trPr>
        <w:tc>
          <w:tcPr>
            <w:tcW w:w="5900" w:type="dxa"/>
            <w:vAlign w:val="bottom"/>
          </w:tcPr>
          <w:p>
            <w:pPr>
              <w:ind w:left="20"/>
              <w:spacing w:after="0"/>
              <w:rPr>
                <w:sz w:val="20"/>
                <w:szCs w:val="20"/>
                <w:color w:val="auto"/>
              </w:rPr>
            </w:pPr>
            <w:r>
              <w:rPr>
                <w:rFonts w:ascii="Arial" w:cs="Arial" w:eastAsia="Arial" w:hAnsi="Arial"/>
                <w:sz w:val="16"/>
                <w:szCs w:val="16"/>
                <w:color w:val="auto"/>
              </w:rPr>
              <w:t>Liabilities:</w:t>
            </w: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5900" w:type="dxa"/>
            <w:vAlign w:val="bottom"/>
            <w:tcBorders>
              <w:bottom w:val="single" w:sz="8" w:color="B6B6B6"/>
            </w:tcBorders>
            <w:shd w:val="clear" w:color="auto" w:fill="D4F1F5"/>
          </w:tcPr>
          <w:p>
            <w:pPr>
              <w:ind w:left="220"/>
              <w:spacing w:after="0"/>
              <w:rPr>
                <w:sz w:val="20"/>
                <w:szCs w:val="20"/>
                <w:color w:val="auto"/>
              </w:rPr>
            </w:pPr>
            <w:r>
              <w:rPr>
                <w:rFonts w:ascii="Arial" w:cs="Arial" w:eastAsia="Arial" w:hAnsi="Arial"/>
                <w:sz w:val="16"/>
                <w:szCs w:val="16"/>
                <w:color w:val="auto"/>
              </w:rPr>
              <w:t>Commodity contracts subject to rate recovery</w:t>
            </w:r>
          </w:p>
        </w:tc>
        <w:tc>
          <w:tcPr>
            <w:tcW w:w="180" w:type="dxa"/>
            <w:vAlign w:val="bottom"/>
            <w:tcBorders>
              <w:bottom w:val="single" w:sz="8" w:color="B6B6B6"/>
            </w:tcBorders>
            <w:shd w:val="clear" w:color="auto" w:fill="D4F1F5"/>
          </w:tcPr>
          <w:p>
            <w:pPr>
              <w:jc w:val="right"/>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B6B6B6"/>
            </w:tcBorders>
            <w:shd w:val="clear" w:color="auto" w:fill="D4F1F5"/>
          </w:tcPr>
          <w:p>
            <w:pPr>
              <w:jc w:val="right"/>
              <w:ind w:right="19"/>
              <w:spacing w:after="0"/>
              <w:rPr>
                <w:sz w:val="20"/>
                <w:szCs w:val="20"/>
                <w:color w:val="auto"/>
              </w:rPr>
            </w:pPr>
            <w:r>
              <w:rPr>
                <w:rFonts w:ascii="Arial" w:cs="Arial" w:eastAsia="Arial" w:hAnsi="Arial"/>
                <w:sz w:val="16"/>
                <w:szCs w:val="16"/>
                <w:color w:val="auto"/>
              </w:rPr>
              <w:t>17</w:t>
            </w:r>
          </w:p>
        </w:tc>
        <w:tc>
          <w:tcPr>
            <w:tcW w:w="260" w:type="dxa"/>
            <w:vAlign w:val="bottom"/>
            <w:tcBorders>
              <w:bottom w:val="single" w:sz="8" w:color="B6B6B6"/>
            </w:tcBorders>
            <w:shd w:val="clear" w:color="auto" w:fill="D4F1F5"/>
          </w:tcPr>
          <w:p>
            <w:pPr>
              <w:jc w:val="right"/>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B6B6B6"/>
            </w:tcBorders>
            <w:shd w:val="clear" w:color="auto" w:fill="D4F1F5"/>
          </w:tcPr>
          <w:p>
            <w:pPr>
              <w:jc w:val="right"/>
              <w:ind w:right="2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B6B6B6"/>
            </w:tcBorders>
            <w:shd w:val="clear" w:color="auto" w:fill="D4F1F5"/>
          </w:tcPr>
          <w:p>
            <w:pPr>
              <w:jc w:val="right"/>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B6B6B6"/>
            </w:tcBorders>
            <w:shd w:val="clear" w:color="auto" w:fill="D4F1F5"/>
          </w:tcPr>
          <w:p>
            <w:pPr>
              <w:jc w:val="right"/>
              <w:ind w:right="99"/>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B6B6B6"/>
            </w:tcBorders>
            <w:shd w:val="clear" w:color="auto" w:fill="D4F1F5"/>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B6B6B6"/>
            </w:tcBorders>
            <w:shd w:val="clear" w:color="auto" w:fill="D4F1F5"/>
          </w:tcPr>
          <w:p>
            <w:pPr>
              <w:jc w:val="center"/>
              <w:ind w:left="400"/>
              <w:spacing w:after="0"/>
              <w:rPr>
                <w:sz w:val="20"/>
                <w:szCs w:val="20"/>
                <w:color w:val="auto"/>
              </w:rPr>
            </w:pPr>
            <w:r>
              <w:rPr>
                <w:rFonts w:ascii="Arial" w:cs="Arial" w:eastAsia="Arial" w:hAnsi="Arial"/>
                <w:sz w:val="16"/>
                <w:szCs w:val="16"/>
                <w:color w:val="auto"/>
                <w:w w:val="98"/>
              </w:rPr>
              <w:t>(17)</w:t>
            </w:r>
          </w:p>
        </w:tc>
        <w:tc>
          <w:tcPr>
            <w:tcW w:w="320" w:type="dxa"/>
            <w:vAlign w:val="bottom"/>
            <w:tcBorders>
              <w:bottom w:val="single" w:sz="8" w:color="B6B6B6"/>
            </w:tcBorders>
            <w:shd w:val="clear" w:color="auto" w:fill="D4F1F5"/>
          </w:tcPr>
          <w:p>
            <w:pPr>
              <w:jc w:val="right"/>
              <w:ind w:right="39"/>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B6B6B6"/>
            </w:tcBorders>
            <w:shd w:val="clear" w:color="auto" w:fill="D4F1F5"/>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bl>
    <w:p>
      <w:pPr>
        <w:spacing w:after="0" w:line="48" w:lineRule="exact"/>
        <w:rPr>
          <w:sz w:val="20"/>
          <w:szCs w:val="20"/>
          <w:color w:val="auto"/>
        </w:rPr>
      </w:pPr>
    </w:p>
    <w:p>
      <w:pPr>
        <w:ind w:left="260" w:hanging="252"/>
        <w:spacing w:after="0"/>
        <w:tabs>
          <w:tab w:leader="none" w:pos="260" w:val="left"/>
        </w:tabs>
        <w:numPr>
          <w:ilvl w:val="0"/>
          <w:numId w:val="28"/>
        </w:numPr>
        <w:rPr>
          <w:rFonts w:ascii="Arial" w:cs="Arial" w:eastAsia="Arial" w:hAnsi="Arial"/>
          <w:sz w:val="21"/>
          <w:szCs w:val="21"/>
          <w:i w:val="1"/>
          <w:iCs w:val="1"/>
          <w:color w:val="auto"/>
          <w:vertAlign w:val="superscript"/>
        </w:rPr>
      </w:pPr>
      <w:r>
        <w:rPr>
          <w:rFonts w:ascii="Arial" w:cs="Arial" w:eastAsia="Arial" w:hAnsi="Arial"/>
          <w:sz w:val="14"/>
          <w:szCs w:val="14"/>
          <w:i w:val="1"/>
          <w:iCs w:val="1"/>
          <w:color w:val="auto"/>
        </w:rPr>
        <w:t>Includes the effect of the contractual ability to settle contracts under master netting agreements and with cash collateral, as well as cash collateral not offset.</w:t>
      </w:r>
    </w:p>
    <w:p>
      <w:pPr>
        <w:spacing w:after="0" w:line="39" w:lineRule="exact"/>
        <w:rPr>
          <w:rFonts w:ascii="Arial" w:cs="Arial" w:eastAsia="Arial" w:hAnsi="Arial"/>
          <w:sz w:val="21"/>
          <w:szCs w:val="21"/>
          <w:i w:val="1"/>
          <w:iCs w:val="1"/>
          <w:color w:val="auto"/>
          <w:vertAlign w:val="superscript"/>
        </w:rPr>
      </w:pPr>
    </w:p>
    <w:p>
      <w:pPr>
        <w:ind w:left="220" w:hanging="212"/>
        <w:spacing w:after="0" w:line="193" w:lineRule="auto"/>
        <w:tabs>
          <w:tab w:leader="none" w:pos="220" w:val="left"/>
        </w:tabs>
        <w:numPr>
          <w:ilvl w:val="0"/>
          <w:numId w:val="28"/>
        </w:numPr>
        <w:rPr>
          <w:rFonts w:ascii="Arial" w:cs="Arial" w:eastAsia="Arial" w:hAnsi="Arial"/>
          <w:sz w:val="19"/>
          <w:szCs w:val="19"/>
          <w:i w:val="1"/>
          <w:iCs w:val="1"/>
          <w:color w:val="auto"/>
          <w:vertAlign w:val="superscript"/>
        </w:rPr>
      </w:pPr>
      <w:r>
        <w:rPr>
          <w:rFonts w:ascii="Arial" w:cs="Arial" w:eastAsia="Arial" w:hAnsi="Arial"/>
          <w:sz w:val="14"/>
          <w:szCs w:val="14"/>
          <w:i w:val="1"/>
          <w:iCs w:val="1"/>
          <w:color w:val="auto"/>
        </w:rPr>
        <w:t>Excludes receivables (payables), net.</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150495</wp:posOffset>
            </wp:positionV>
            <wp:extent cx="7157720"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FFFFFF"/>
        </w:rPr>
        <w:t>RECURRING FAIR VALUE MEASURES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-115570</wp:posOffset>
            </wp:positionV>
            <wp:extent cx="7132320" cy="26543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32320" cy="265430"/>
                    </a:xfrm>
                    <a:prstGeom prst="rect">
                      <a:avLst/>
                    </a:prstGeom>
                    <a:noFill/>
                  </pic:spPr>
                </pic:pic>
              </a:graphicData>
            </a:graphic>
          </wp:anchor>
        </w:drawing>
      </w:r>
    </w:p>
    <w:p>
      <w:pPr>
        <w:spacing w:after="0" w:line="19" w:lineRule="exact"/>
        <w:rPr>
          <w:sz w:val="20"/>
          <w:szCs w:val="20"/>
          <w:color w:val="auto"/>
        </w:rPr>
      </w:pPr>
    </w:p>
    <w:p>
      <w:pPr>
        <w:ind w:left="20"/>
        <w:spacing w:after="0"/>
        <w:rPr>
          <w:sz w:val="20"/>
          <w:szCs w:val="20"/>
          <w:color w:val="auto"/>
        </w:rPr>
      </w:pPr>
      <w:r>
        <w:rPr>
          <w:rFonts w:ascii="Arial" w:cs="Arial" w:eastAsia="Arial" w:hAnsi="Arial"/>
          <w:sz w:val="14"/>
          <w:szCs w:val="14"/>
          <w:i w:val="1"/>
          <w:iCs w:val="1"/>
          <w:color w:val="FFFFFF"/>
        </w:rPr>
        <w:t>(Dollars in millions)</w:t>
      </w:r>
    </w:p>
    <w:p>
      <w:pPr>
        <w:spacing w:after="0" w:line="4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44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261"/>
              <w:spacing w:after="0"/>
              <w:rPr>
                <w:sz w:val="20"/>
                <w:szCs w:val="20"/>
                <w:color w:val="auto"/>
              </w:rPr>
            </w:pPr>
            <w:r>
              <w:rPr>
                <w:rFonts w:ascii="Arial" w:cs="Arial" w:eastAsia="Arial" w:hAnsi="Arial"/>
                <w:sz w:val="14"/>
                <w:szCs w:val="14"/>
                <w:color w:val="auto"/>
              </w:rPr>
              <w:t>Level 1</w:t>
            </w:r>
          </w:p>
        </w:tc>
        <w:tc>
          <w:tcPr>
            <w:tcW w:w="2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263"/>
              <w:spacing w:after="0"/>
              <w:rPr>
                <w:sz w:val="20"/>
                <w:szCs w:val="20"/>
                <w:color w:val="auto"/>
              </w:rPr>
            </w:pPr>
            <w:r>
              <w:rPr>
                <w:rFonts w:ascii="Arial" w:cs="Arial" w:eastAsia="Arial" w:hAnsi="Arial"/>
                <w:sz w:val="14"/>
                <w:szCs w:val="14"/>
                <w:color w:val="auto"/>
              </w:rPr>
              <w:t>Level 2</w:t>
            </w:r>
          </w:p>
        </w:tc>
        <w:tc>
          <w:tcPr>
            <w:tcW w:w="28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center"/>
              <w:ind w:right="141"/>
              <w:spacing w:after="0"/>
              <w:rPr>
                <w:sz w:val="20"/>
                <w:szCs w:val="20"/>
                <w:color w:val="auto"/>
              </w:rPr>
            </w:pPr>
            <w:r>
              <w:rPr>
                <w:rFonts w:ascii="Arial" w:cs="Arial" w:eastAsia="Arial" w:hAnsi="Arial"/>
                <w:sz w:val="14"/>
                <w:szCs w:val="14"/>
                <w:color w:val="auto"/>
              </w:rPr>
              <w:t>Level 3</w:t>
            </w:r>
          </w:p>
        </w:tc>
        <w:tc>
          <w:tcPr>
            <w:tcW w:w="2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221"/>
              <w:spacing w:after="0"/>
              <w:rPr>
                <w:sz w:val="20"/>
                <w:szCs w:val="20"/>
                <w:color w:val="auto"/>
              </w:rPr>
            </w:pPr>
            <w:r>
              <w:rPr>
                <w:rFonts w:ascii="Arial" w:cs="Arial" w:eastAsia="Arial" w:hAnsi="Arial"/>
                <w:sz w:val="14"/>
                <w:szCs w:val="14"/>
                <w:color w:val="auto"/>
              </w:rPr>
              <w:t>Netting</w:t>
            </w:r>
            <w:r>
              <w:rPr>
                <w:rFonts w:ascii="Arial" w:cs="Arial" w:eastAsia="Arial" w:hAnsi="Arial"/>
                <w:sz w:val="18"/>
                <w:szCs w:val="18"/>
                <w:color w:val="auto"/>
                <w:vertAlign w:val="superscript"/>
              </w:rPr>
              <w:t>(1)</w:t>
            </w:r>
          </w:p>
        </w:tc>
        <w:tc>
          <w:tcPr>
            <w:tcW w:w="3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301"/>
              <w:spacing w:after="0"/>
              <w:rPr>
                <w:sz w:val="20"/>
                <w:szCs w:val="20"/>
                <w:color w:val="auto"/>
              </w:rPr>
            </w:pPr>
            <w:r>
              <w:rPr>
                <w:rFonts w:ascii="Arial" w:cs="Arial" w:eastAsia="Arial" w:hAnsi="Arial"/>
                <w:sz w:val="14"/>
                <w:szCs w:val="14"/>
                <w:color w:val="auto"/>
              </w:rPr>
              <w:t>Total</w:t>
            </w:r>
          </w:p>
        </w:tc>
      </w:tr>
      <w:tr>
        <w:trPr>
          <w:trHeight w:val="206"/>
        </w:trPr>
        <w:tc>
          <w:tcPr>
            <w:tcW w:w="544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3280" w:type="dxa"/>
            <w:vAlign w:val="bottom"/>
            <w:tcBorders>
              <w:bottom w:val="single" w:sz="8" w:color="auto"/>
            </w:tcBorders>
            <w:gridSpan w:val="5"/>
          </w:tcPr>
          <w:p>
            <w:pPr>
              <w:jc w:val="center"/>
              <w:ind w:right="201"/>
              <w:spacing w:after="0"/>
              <w:rPr>
                <w:sz w:val="20"/>
                <w:szCs w:val="20"/>
                <w:color w:val="auto"/>
              </w:rPr>
            </w:pPr>
            <w:r>
              <w:rPr>
                <w:rFonts w:ascii="Arial" w:cs="Arial" w:eastAsia="Arial" w:hAnsi="Arial"/>
                <w:sz w:val="14"/>
                <w:szCs w:val="14"/>
                <w:color w:val="auto"/>
              </w:rPr>
              <w:t>Fair value at March 31, 2026</w:t>
            </w:r>
          </w:p>
        </w:tc>
        <w:tc>
          <w:tcPr>
            <w:tcW w:w="3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r>
      <w:tr>
        <w:trPr>
          <w:trHeight w:val="213"/>
        </w:trPr>
        <w:tc>
          <w:tcPr>
            <w:tcW w:w="5440" w:type="dxa"/>
            <w:vAlign w:val="bottom"/>
            <w:shd w:val="clear" w:color="auto" w:fill="D4F1F5"/>
          </w:tcPr>
          <w:p>
            <w:pPr>
              <w:ind w:left="20"/>
              <w:spacing w:after="0"/>
              <w:rPr>
                <w:sz w:val="20"/>
                <w:szCs w:val="20"/>
                <w:color w:val="auto"/>
              </w:rPr>
            </w:pPr>
            <w:r>
              <w:rPr>
                <w:rFonts w:ascii="Arial" w:cs="Arial" w:eastAsia="Arial" w:hAnsi="Arial"/>
                <w:sz w:val="16"/>
                <w:szCs w:val="16"/>
                <w:b w:val="1"/>
                <w:bCs w:val="1"/>
                <w:color w:val="auto"/>
              </w:rPr>
              <w:t>SoCalGas:</w:t>
            </w:r>
          </w:p>
        </w:tc>
        <w:tc>
          <w:tcPr>
            <w:tcW w:w="220" w:type="dxa"/>
            <w:vAlign w:val="bottom"/>
            <w:shd w:val="clear" w:color="auto" w:fill="D4F1F5"/>
          </w:tcPr>
          <w:p>
            <w:pPr>
              <w:spacing w:after="0"/>
              <w:rPr>
                <w:sz w:val="18"/>
                <w:szCs w:val="18"/>
                <w:color w:val="auto"/>
              </w:rPr>
            </w:pPr>
          </w:p>
        </w:tc>
        <w:tc>
          <w:tcPr>
            <w:tcW w:w="900" w:type="dxa"/>
            <w:vAlign w:val="bottom"/>
            <w:shd w:val="clear" w:color="auto" w:fill="D4F1F5"/>
          </w:tcPr>
          <w:p>
            <w:pPr>
              <w:spacing w:after="0"/>
              <w:rPr>
                <w:sz w:val="18"/>
                <w:szCs w:val="18"/>
                <w:color w:val="auto"/>
              </w:rPr>
            </w:pPr>
          </w:p>
        </w:tc>
        <w:tc>
          <w:tcPr>
            <w:tcW w:w="280" w:type="dxa"/>
            <w:vAlign w:val="bottom"/>
            <w:shd w:val="clear" w:color="auto" w:fill="D4F1F5"/>
          </w:tcPr>
          <w:p>
            <w:pPr>
              <w:spacing w:after="0"/>
              <w:rPr>
                <w:sz w:val="18"/>
                <w:szCs w:val="18"/>
                <w:color w:val="auto"/>
              </w:rPr>
            </w:pPr>
          </w:p>
        </w:tc>
        <w:tc>
          <w:tcPr>
            <w:tcW w:w="900" w:type="dxa"/>
            <w:vAlign w:val="bottom"/>
            <w:shd w:val="clear" w:color="auto" w:fill="D4F1F5"/>
          </w:tcPr>
          <w:p>
            <w:pPr>
              <w:spacing w:after="0"/>
              <w:rPr>
                <w:sz w:val="18"/>
                <w:szCs w:val="18"/>
                <w:color w:val="auto"/>
              </w:rPr>
            </w:pPr>
          </w:p>
        </w:tc>
        <w:tc>
          <w:tcPr>
            <w:tcW w:w="280" w:type="dxa"/>
            <w:vAlign w:val="bottom"/>
            <w:shd w:val="clear" w:color="auto" w:fill="D4F1F5"/>
          </w:tcPr>
          <w:p>
            <w:pPr>
              <w:spacing w:after="0"/>
              <w:rPr>
                <w:sz w:val="18"/>
                <w:szCs w:val="18"/>
                <w:color w:val="auto"/>
              </w:rPr>
            </w:pPr>
          </w:p>
        </w:tc>
        <w:tc>
          <w:tcPr>
            <w:tcW w:w="880" w:type="dxa"/>
            <w:vAlign w:val="bottom"/>
            <w:shd w:val="clear" w:color="auto" w:fill="D4F1F5"/>
          </w:tcPr>
          <w:p>
            <w:pPr>
              <w:spacing w:after="0"/>
              <w:rPr>
                <w:sz w:val="18"/>
                <w:szCs w:val="18"/>
                <w:color w:val="auto"/>
              </w:rPr>
            </w:pPr>
          </w:p>
        </w:tc>
        <w:tc>
          <w:tcPr>
            <w:tcW w:w="260" w:type="dxa"/>
            <w:vAlign w:val="bottom"/>
            <w:shd w:val="clear" w:color="auto" w:fill="D4F1F5"/>
          </w:tcPr>
          <w:p>
            <w:pPr>
              <w:spacing w:after="0"/>
              <w:rPr>
                <w:sz w:val="18"/>
                <w:szCs w:val="18"/>
                <w:color w:val="auto"/>
              </w:rPr>
            </w:pPr>
          </w:p>
        </w:tc>
        <w:tc>
          <w:tcPr>
            <w:tcW w:w="960" w:type="dxa"/>
            <w:vAlign w:val="bottom"/>
            <w:shd w:val="clear" w:color="auto" w:fill="D4F1F5"/>
          </w:tcPr>
          <w:p>
            <w:pPr>
              <w:spacing w:after="0"/>
              <w:rPr>
                <w:sz w:val="18"/>
                <w:szCs w:val="18"/>
                <w:color w:val="auto"/>
              </w:rPr>
            </w:pPr>
          </w:p>
        </w:tc>
        <w:tc>
          <w:tcPr>
            <w:tcW w:w="300" w:type="dxa"/>
            <w:vAlign w:val="bottom"/>
            <w:shd w:val="clear" w:color="auto" w:fill="D4F1F5"/>
          </w:tcPr>
          <w:p>
            <w:pPr>
              <w:spacing w:after="0"/>
              <w:rPr>
                <w:sz w:val="18"/>
                <w:szCs w:val="18"/>
                <w:color w:val="auto"/>
              </w:rPr>
            </w:pPr>
          </w:p>
        </w:tc>
        <w:tc>
          <w:tcPr>
            <w:tcW w:w="820" w:type="dxa"/>
            <w:vAlign w:val="bottom"/>
            <w:shd w:val="clear" w:color="auto" w:fill="D4F1F5"/>
          </w:tcPr>
          <w:p>
            <w:pPr>
              <w:spacing w:after="0"/>
              <w:rPr>
                <w:sz w:val="18"/>
                <w:szCs w:val="18"/>
                <w:color w:val="auto"/>
              </w:rPr>
            </w:pPr>
          </w:p>
        </w:tc>
      </w:tr>
      <w:tr>
        <w:trPr>
          <w:trHeight w:val="215"/>
        </w:trPr>
        <w:tc>
          <w:tcPr>
            <w:tcW w:w="5440" w:type="dxa"/>
            <w:vAlign w:val="bottom"/>
          </w:tcPr>
          <w:p>
            <w:pPr>
              <w:ind w:left="20"/>
              <w:spacing w:after="0"/>
              <w:rPr>
                <w:sz w:val="20"/>
                <w:szCs w:val="20"/>
                <w:color w:val="auto"/>
              </w:rPr>
            </w:pPr>
            <w:r>
              <w:rPr>
                <w:rFonts w:ascii="Arial" w:cs="Arial" w:eastAsia="Arial" w:hAnsi="Arial"/>
                <w:sz w:val="16"/>
                <w:szCs w:val="16"/>
                <w:color w:val="auto"/>
              </w:rPr>
              <w:t>Assets:</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237"/>
        </w:trPr>
        <w:tc>
          <w:tcPr>
            <w:tcW w:w="5440" w:type="dxa"/>
            <w:vAlign w:val="bottom"/>
            <w:tcBorders>
              <w:bottom w:val="single" w:sz="8" w:color="D4F1F5"/>
            </w:tcBorders>
            <w:shd w:val="clear" w:color="auto" w:fill="D4F1F5"/>
          </w:tcPr>
          <w:p>
            <w:pPr>
              <w:ind w:left="220"/>
              <w:spacing w:after="0"/>
              <w:rPr>
                <w:sz w:val="20"/>
                <w:szCs w:val="20"/>
                <w:color w:val="auto"/>
              </w:rPr>
            </w:pPr>
            <w:r>
              <w:rPr>
                <w:rFonts w:ascii="Arial" w:cs="Arial" w:eastAsia="Arial" w:hAnsi="Arial"/>
                <w:sz w:val="16"/>
                <w:szCs w:val="16"/>
                <w:color w:val="auto"/>
              </w:rPr>
              <w:t>Commodity contracts subject to rate recovery</w:t>
            </w:r>
          </w:p>
        </w:tc>
        <w:tc>
          <w:tcPr>
            <w:tcW w:w="220" w:type="dxa"/>
            <w:vAlign w:val="bottom"/>
            <w:tcBorders>
              <w:bottom w:val="single" w:sz="8" w:color="B6B6B6"/>
            </w:tcBorders>
            <w:shd w:val="clear" w:color="auto" w:fill="D4F1F5"/>
          </w:tcPr>
          <w:p>
            <w:pPr>
              <w:jc w:val="right"/>
              <w:ind w:right="1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B6B6B6"/>
            </w:tcBorders>
            <w:shd w:val="clear" w:color="auto" w:fill="D4F1F5"/>
          </w:tcPr>
          <w:p>
            <w:pPr>
              <w:jc w:val="right"/>
              <w:ind w:right="21"/>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B6B6B6"/>
            </w:tcBorders>
            <w:shd w:val="clear" w:color="auto" w:fill="D4F1F5"/>
          </w:tcPr>
          <w:p>
            <w:pPr>
              <w:jc w:val="right"/>
              <w:ind w:right="1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B6B6B6"/>
            </w:tcBorders>
            <w:shd w:val="clear" w:color="auto" w:fill="D4F1F5"/>
          </w:tcPr>
          <w:p>
            <w:pPr>
              <w:jc w:val="right"/>
              <w:ind w:right="23"/>
              <w:spacing w:after="0"/>
              <w:rPr>
                <w:sz w:val="20"/>
                <w:szCs w:val="20"/>
                <w:color w:val="auto"/>
              </w:rPr>
            </w:pPr>
            <w:r>
              <w:rPr>
                <w:rFonts w:ascii="Arial" w:cs="Arial" w:eastAsia="Arial" w:hAnsi="Arial"/>
                <w:sz w:val="16"/>
                <w:szCs w:val="16"/>
                <w:color w:val="auto"/>
              </w:rPr>
              <w:t>9</w:t>
            </w:r>
          </w:p>
        </w:tc>
        <w:tc>
          <w:tcPr>
            <w:tcW w:w="280" w:type="dxa"/>
            <w:vAlign w:val="bottom"/>
            <w:tcBorders>
              <w:bottom w:val="single" w:sz="8" w:color="B6B6B6"/>
            </w:tcBorders>
            <w:shd w:val="clear" w:color="auto" w:fill="D4F1F5"/>
          </w:tcPr>
          <w:p>
            <w:pPr>
              <w:jc w:val="right"/>
              <w:ind w:right="1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B6B6B6"/>
            </w:tcBorders>
            <w:shd w:val="clear" w:color="auto" w:fill="D4F1F5"/>
          </w:tcPr>
          <w:p>
            <w:pPr>
              <w:ind w:left="62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B6B6B6"/>
            </w:tcBorders>
            <w:shd w:val="clear" w:color="auto" w:fill="D4F1F5"/>
          </w:tcPr>
          <w:p>
            <w:pPr>
              <w:jc w:val="right"/>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B6B6B6"/>
            </w:tcBorders>
            <w:shd w:val="clear" w:color="auto" w:fill="D4F1F5"/>
          </w:tcPr>
          <w:p>
            <w:pPr>
              <w:jc w:val="right"/>
              <w:ind w:right="1"/>
              <w:spacing w:after="0"/>
              <w:rPr>
                <w:sz w:val="20"/>
                <w:szCs w:val="20"/>
                <w:color w:val="auto"/>
              </w:rPr>
            </w:pPr>
            <w:r>
              <w:rPr>
                <w:rFonts w:ascii="Arial" w:cs="Arial" w:eastAsia="Arial" w:hAnsi="Arial"/>
                <w:sz w:val="16"/>
                <w:szCs w:val="16"/>
                <w:color w:val="auto"/>
              </w:rPr>
              <w:t>(1)</w:t>
            </w:r>
          </w:p>
        </w:tc>
        <w:tc>
          <w:tcPr>
            <w:tcW w:w="300" w:type="dxa"/>
            <w:vAlign w:val="bottom"/>
            <w:tcBorders>
              <w:bottom w:val="single" w:sz="8" w:color="B6B6B6"/>
            </w:tcBorders>
            <w:shd w:val="clear" w:color="auto" w:fill="D4F1F5"/>
          </w:tcPr>
          <w:p>
            <w:pPr>
              <w:jc w:val="right"/>
              <w:ind w:right="59"/>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B6B6B6"/>
            </w:tcBorders>
            <w:shd w:val="clear" w:color="auto" w:fill="D4F1F5"/>
          </w:tcPr>
          <w:p>
            <w:pPr>
              <w:jc w:val="right"/>
              <w:ind w:right="1"/>
              <w:spacing w:after="0"/>
              <w:rPr>
                <w:sz w:val="20"/>
                <w:szCs w:val="20"/>
                <w:color w:val="auto"/>
              </w:rPr>
            </w:pPr>
            <w:r>
              <w:rPr>
                <w:rFonts w:ascii="Arial" w:cs="Arial" w:eastAsia="Arial" w:hAnsi="Arial"/>
                <w:sz w:val="16"/>
                <w:szCs w:val="16"/>
                <w:color w:val="auto"/>
              </w:rPr>
              <w:t>8</w:t>
            </w:r>
          </w:p>
        </w:tc>
      </w:tr>
      <w:tr>
        <w:trPr>
          <w:trHeight w:val="202"/>
        </w:trPr>
        <w:tc>
          <w:tcPr>
            <w:tcW w:w="5440" w:type="dxa"/>
            <w:vAlign w:val="bottom"/>
          </w:tcPr>
          <w:p>
            <w:pPr>
              <w:ind w:left="20"/>
              <w:spacing w:after="0"/>
              <w:rPr>
                <w:sz w:val="20"/>
                <w:szCs w:val="20"/>
                <w:color w:val="auto"/>
              </w:rPr>
            </w:pPr>
            <w:r>
              <w:rPr>
                <w:rFonts w:ascii="Arial" w:cs="Arial" w:eastAsia="Arial" w:hAnsi="Arial"/>
                <w:sz w:val="16"/>
                <w:szCs w:val="16"/>
                <w:color w:val="auto"/>
              </w:rPr>
              <w:t>Liabilities:</w:t>
            </w: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20" w:type="dxa"/>
            <w:vAlign w:val="bottom"/>
          </w:tcPr>
          <w:p>
            <w:pPr>
              <w:spacing w:after="0"/>
              <w:rPr>
                <w:sz w:val="17"/>
                <w:szCs w:val="17"/>
                <w:color w:val="auto"/>
              </w:rPr>
            </w:pPr>
          </w:p>
        </w:tc>
      </w:tr>
      <w:tr>
        <w:trPr>
          <w:trHeight w:val="224"/>
        </w:trPr>
        <w:tc>
          <w:tcPr>
            <w:tcW w:w="5440" w:type="dxa"/>
            <w:vAlign w:val="bottom"/>
            <w:tcBorders>
              <w:bottom w:val="single" w:sz="8" w:color="B6B6B6"/>
            </w:tcBorders>
            <w:shd w:val="clear" w:color="auto" w:fill="D4F1F5"/>
          </w:tcPr>
          <w:p>
            <w:pPr>
              <w:ind w:left="220"/>
              <w:spacing w:after="0"/>
              <w:rPr>
                <w:sz w:val="20"/>
                <w:szCs w:val="20"/>
                <w:color w:val="auto"/>
              </w:rPr>
            </w:pPr>
            <w:r>
              <w:rPr>
                <w:rFonts w:ascii="Arial" w:cs="Arial" w:eastAsia="Arial" w:hAnsi="Arial"/>
                <w:sz w:val="16"/>
                <w:szCs w:val="16"/>
                <w:color w:val="auto"/>
              </w:rPr>
              <w:t>Commodity contracts subject to rate recovery</w:t>
            </w:r>
          </w:p>
        </w:tc>
        <w:tc>
          <w:tcPr>
            <w:tcW w:w="220" w:type="dxa"/>
            <w:vAlign w:val="bottom"/>
            <w:tcBorders>
              <w:bottom w:val="single" w:sz="8" w:color="B6B6B6"/>
            </w:tcBorders>
            <w:shd w:val="clear" w:color="auto" w:fill="D4F1F5"/>
          </w:tcPr>
          <w:p>
            <w:pPr>
              <w:jc w:val="right"/>
              <w:ind w:right="1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B6B6B6"/>
            </w:tcBorders>
            <w:shd w:val="clear" w:color="auto" w:fill="D4F1F5"/>
          </w:tcPr>
          <w:p>
            <w:pPr>
              <w:jc w:val="right"/>
              <w:ind w:right="21"/>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B6B6B6"/>
            </w:tcBorders>
            <w:shd w:val="clear" w:color="auto" w:fill="D4F1F5"/>
          </w:tcPr>
          <w:p>
            <w:pPr>
              <w:jc w:val="right"/>
              <w:ind w:right="1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B6B6B6"/>
            </w:tcBorders>
            <w:shd w:val="clear" w:color="auto" w:fill="D4F1F5"/>
          </w:tcPr>
          <w:p>
            <w:pPr>
              <w:jc w:val="right"/>
              <w:ind w:right="23"/>
              <w:spacing w:after="0"/>
              <w:rPr>
                <w:sz w:val="20"/>
                <w:szCs w:val="20"/>
                <w:color w:val="auto"/>
              </w:rPr>
            </w:pPr>
            <w:r>
              <w:rPr>
                <w:rFonts w:ascii="Arial" w:cs="Arial" w:eastAsia="Arial" w:hAnsi="Arial"/>
                <w:sz w:val="16"/>
                <w:szCs w:val="16"/>
                <w:color w:val="auto"/>
              </w:rPr>
              <w:t>24</w:t>
            </w:r>
          </w:p>
        </w:tc>
        <w:tc>
          <w:tcPr>
            <w:tcW w:w="280" w:type="dxa"/>
            <w:vAlign w:val="bottom"/>
            <w:tcBorders>
              <w:bottom w:val="single" w:sz="8" w:color="B6B6B6"/>
            </w:tcBorders>
            <w:shd w:val="clear" w:color="auto" w:fill="D4F1F5"/>
          </w:tcPr>
          <w:p>
            <w:pPr>
              <w:jc w:val="right"/>
              <w:ind w:right="1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B6B6B6"/>
            </w:tcBorders>
            <w:shd w:val="clear" w:color="auto" w:fill="D4F1F5"/>
          </w:tcPr>
          <w:p>
            <w:pPr>
              <w:ind w:left="62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B6B6B6"/>
            </w:tcBorders>
            <w:shd w:val="clear" w:color="auto" w:fill="D4F1F5"/>
          </w:tcPr>
          <w:p>
            <w:pPr>
              <w:jc w:val="right"/>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B6B6B6"/>
            </w:tcBorders>
            <w:shd w:val="clear" w:color="auto" w:fill="D4F1F5"/>
          </w:tcPr>
          <w:p>
            <w:pPr>
              <w:jc w:val="right"/>
              <w:ind w:right="1"/>
              <w:spacing w:after="0"/>
              <w:rPr>
                <w:sz w:val="20"/>
                <w:szCs w:val="20"/>
                <w:color w:val="auto"/>
              </w:rPr>
            </w:pPr>
            <w:r>
              <w:rPr>
                <w:rFonts w:ascii="Arial" w:cs="Arial" w:eastAsia="Arial" w:hAnsi="Arial"/>
                <w:sz w:val="16"/>
                <w:szCs w:val="16"/>
                <w:color w:val="auto"/>
              </w:rPr>
              <w:t>(6)</w:t>
            </w:r>
          </w:p>
        </w:tc>
        <w:tc>
          <w:tcPr>
            <w:tcW w:w="300" w:type="dxa"/>
            <w:vAlign w:val="bottom"/>
            <w:tcBorders>
              <w:bottom w:val="single" w:sz="8" w:color="B6B6B6"/>
            </w:tcBorders>
            <w:shd w:val="clear" w:color="auto" w:fill="D4F1F5"/>
          </w:tcPr>
          <w:p>
            <w:pPr>
              <w:jc w:val="right"/>
              <w:ind w:right="59"/>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B6B6B6"/>
            </w:tcBorders>
            <w:shd w:val="clear" w:color="auto" w:fill="D4F1F5"/>
          </w:tcPr>
          <w:p>
            <w:pPr>
              <w:jc w:val="right"/>
              <w:ind w:right="1"/>
              <w:spacing w:after="0"/>
              <w:rPr>
                <w:sz w:val="20"/>
                <w:szCs w:val="20"/>
                <w:color w:val="auto"/>
              </w:rPr>
            </w:pPr>
            <w:r>
              <w:rPr>
                <w:rFonts w:ascii="Arial" w:cs="Arial" w:eastAsia="Arial" w:hAnsi="Arial"/>
                <w:sz w:val="16"/>
                <w:szCs w:val="16"/>
                <w:color w:val="auto"/>
              </w:rPr>
              <w:t>18</w:t>
            </w:r>
          </w:p>
        </w:tc>
      </w:tr>
      <w:tr>
        <w:trPr>
          <w:trHeight w:val="414"/>
        </w:trPr>
        <w:tc>
          <w:tcPr>
            <w:tcW w:w="54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3280" w:type="dxa"/>
            <w:vAlign w:val="bottom"/>
            <w:tcBorders>
              <w:bottom w:val="single" w:sz="8" w:color="auto"/>
            </w:tcBorders>
            <w:gridSpan w:val="5"/>
          </w:tcPr>
          <w:p>
            <w:pPr>
              <w:jc w:val="center"/>
              <w:ind w:right="181"/>
              <w:spacing w:after="0"/>
              <w:rPr>
                <w:sz w:val="20"/>
                <w:szCs w:val="20"/>
                <w:color w:val="auto"/>
              </w:rPr>
            </w:pPr>
            <w:r>
              <w:rPr>
                <w:rFonts w:ascii="Arial" w:cs="Arial" w:eastAsia="Arial" w:hAnsi="Arial"/>
                <w:sz w:val="14"/>
                <w:szCs w:val="14"/>
                <w:color w:val="auto"/>
              </w:rPr>
              <w:t>Fair value at December 31, 2025</w:t>
            </w:r>
          </w:p>
        </w:tc>
        <w:tc>
          <w:tcPr>
            <w:tcW w:w="3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r>
      <w:tr>
        <w:trPr>
          <w:trHeight w:val="213"/>
        </w:trPr>
        <w:tc>
          <w:tcPr>
            <w:tcW w:w="5440" w:type="dxa"/>
            <w:vAlign w:val="bottom"/>
            <w:shd w:val="clear" w:color="auto" w:fill="D4F1F5"/>
          </w:tcPr>
          <w:p>
            <w:pPr>
              <w:ind w:left="20"/>
              <w:spacing w:after="0"/>
              <w:rPr>
                <w:sz w:val="20"/>
                <w:szCs w:val="20"/>
                <w:color w:val="auto"/>
              </w:rPr>
            </w:pPr>
            <w:r>
              <w:rPr>
                <w:rFonts w:ascii="Arial" w:cs="Arial" w:eastAsia="Arial" w:hAnsi="Arial"/>
                <w:sz w:val="16"/>
                <w:szCs w:val="16"/>
                <w:b w:val="1"/>
                <w:bCs w:val="1"/>
                <w:color w:val="auto"/>
              </w:rPr>
              <w:t>SoCalGas:</w:t>
            </w:r>
          </w:p>
        </w:tc>
        <w:tc>
          <w:tcPr>
            <w:tcW w:w="220" w:type="dxa"/>
            <w:vAlign w:val="bottom"/>
            <w:shd w:val="clear" w:color="auto" w:fill="D4F1F5"/>
          </w:tcPr>
          <w:p>
            <w:pPr>
              <w:spacing w:after="0"/>
              <w:rPr>
                <w:sz w:val="18"/>
                <w:szCs w:val="18"/>
                <w:color w:val="auto"/>
              </w:rPr>
            </w:pPr>
          </w:p>
        </w:tc>
        <w:tc>
          <w:tcPr>
            <w:tcW w:w="900" w:type="dxa"/>
            <w:vAlign w:val="bottom"/>
            <w:shd w:val="clear" w:color="auto" w:fill="D4F1F5"/>
          </w:tcPr>
          <w:p>
            <w:pPr>
              <w:spacing w:after="0"/>
              <w:rPr>
                <w:sz w:val="18"/>
                <w:szCs w:val="18"/>
                <w:color w:val="auto"/>
              </w:rPr>
            </w:pPr>
          </w:p>
        </w:tc>
        <w:tc>
          <w:tcPr>
            <w:tcW w:w="280" w:type="dxa"/>
            <w:vAlign w:val="bottom"/>
            <w:shd w:val="clear" w:color="auto" w:fill="D4F1F5"/>
          </w:tcPr>
          <w:p>
            <w:pPr>
              <w:spacing w:after="0"/>
              <w:rPr>
                <w:sz w:val="18"/>
                <w:szCs w:val="18"/>
                <w:color w:val="auto"/>
              </w:rPr>
            </w:pPr>
          </w:p>
        </w:tc>
        <w:tc>
          <w:tcPr>
            <w:tcW w:w="900" w:type="dxa"/>
            <w:vAlign w:val="bottom"/>
            <w:shd w:val="clear" w:color="auto" w:fill="D4F1F5"/>
          </w:tcPr>
          <w:p>
            <w:pPr>
              <w:spacing w:after="0"/>
              <w:rPr>
                <w:sz w:val="18"/>
                <w:szCs w:val="18"/>
                <w:color w:val="auto"/>
              </w:rPr>
            </w:pPr>
          </w:p>
        </w:tc>
        <w:tc>
          <w:tcPr>
            <w:tcW w:w="280" w:type="dxa"/>
            <w:vAlign w:val="bottom"/>
            <w:shd w:val="clear" w:color="auto" w:fill="D4F1F5"/>
          </w:tcPr>
          <w:p>
            <w:pPr>
              <w:spacing w:after="0"/>
              <w:rPr>
                <w:sz w:val="18"/>
                <w:szCs w:val="18"/>
                <w:color w:val="auto"/>
              </w:rPr>
            </w:pPr>
          </w:p>
        </w:tc>
        <w:tc>
          <w:tcPr>
            <w:tcW w:w="880" w:type="dxa"/>
            <w:vAlign w:val="bottom"/>
            <w:shd w:val="clear" w:color="auto" w:fill="D4F1F5"/>
          </w:tcPr>
          <w:p>
            <w:pPr>
              <w:spacing w:after="0"/>
              <w:rPr>
                <w:sz w:val="18"/>
                <w:szCs w:val="18"/>
                <w:color w:val="auto"/>
              </w:rPr>
            </w:pPr>
          </w:p>
        </w:tc>
        <w:tc>
          <w:tcPr>
            <w:tcW w:w="260" w:type="dxa"/>
            <w:vAlign w:val="bottom"/>
            <w:shd w:val="clear" w:color="auto" w:fill="D4F1F5"/>
          </w:tcPr>
          <w:p>
            <w:pPr>
              <w:spacing w:after="0"/>
              <w:rPr>
                <w:sz w:val="18"/>
                <w:szCs w:val="18"/>
                <w:color w:val="auto"/>
              </w:rPr>
            </w:pPr>
          </w:p>
        </w:tc>
        <w:tc>
          <w:tcPr>
            <w:tcW w:w="960" w:type="dxa"/>
            <w:vAlign w:val="bottom"/>
            <w:shd w:val="clear" w:color="auto" w:fill="D4F1F5"/>
          </w:tcPr>
          <w:p>
            <w:pPr>
              <w:spacing w:after="0"/>
              <w:rPr>
                <w:sz w:val="18"/>
                <w:szCs w:val="18"/>
                <w:color w:val="auto"/>
              </w:rPr>
            </w:pPr>
          </w:p>
        </w:tc>
        <w:tc>
          <w:tcPr>
            <w:tcW w:w="300" w:type="dxa"/>
            <w:vAlign w:val="bottom"/>
            <w:shd w:val="clear" w:color="auto" w:fill="D4F1F5"/>
          </w:tcPr>
          <w:p>
            <w:pPr>
              <w:spacing w:after="0"/>
              <w:rPr>
                <w:sz w:val="18"/>
                <w:szCs w:val="18"/>
                <w:color w:val="auto"/>
              </w:rPr>
            </w:pPr>
          </w:p>
        </w:tc>
        <w:tc>
          <w:tcPr>
            <w:tcW w:w="820" w:type="dxa"/>
            <w:vAlign w:val="bottom"/>
            <w:shd w:val="clear" w:color="auto" w:fill="D4F1F5"/>
          </w:tcPr>
          <w:p>
            <w:pPr>
              <w:spacing w:after="0"/>
              <w:rPr>
                <w:sz w:val="18"/>
                <w:szCs w:val="18"/>
                <w:color w:val="auto"/>
              </w:rPr>
            </w:pPr>
          </w:p>
        </w:tc>
      </w:tr>
      <w:tr>
        <w:trPr>
          <w:trHeight w:val="215"/>
        </w:trPr>
        <w:tc>
          <w:tcPr>
            <w:tcW w:w="5440" w:type="dxa"/>
            <w:vAlign w:val="bottom"/>
          </w:tcPr>
          <w:p>
            <w:pPr>
              <w:ind w:left="20"/>
              <w:spacing w:after="0"/>
              <w:rPr>
                <w:sz w:val="20"/>
                <w:szCs w:val="20"/>
                <w:color w:val="auto"/>
              </w:rPr>
            </w:pPr>
            <w:r>
              <w:rPr>
                <w:rFonts w:ascii="Arial" w:cs="Arial" w:eastAsia="Arial" w:hAnsi="Arial"/>
                <w:sz w:val="16"/>
                <w:szCs w:val="16"/>
                <w:color w:val="auto"/>
              </w:rPr>
              <w:t>Assets:</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237"/>
        </w:trPr>
        <w:tc>
          <w:tcPr>
            <w:tcW w:w="5440" w:type="dxa"/>
            <w:vAlign w:val="bottom"/>
            <w:tcBorders>
              <w:bottom w:val="single" w:sz="8" w:color="D4F1F5"/>
            </w:tcBorders>
            <w:shd w:val="clear" w:color="auto" w:fill="D4F1F5"/>
          </w:tcPr>
          <w:p>
            <w:pPr>
              <w:ind w:left="220"/>
              <w:spacing w:after="0"/>
              <w:rPr>
                <w:sz w:val="20"/>
                <w:szCs w:val="20"/>
                <w:color w:val="auto"/>
              </w:rPr>
            </w:pPr>
            <w:r>
              <w:rPr>
                <w:rFonts w:ascii="Arial" w:cs="Arial" w:eastAsia="Arial" w:hAnsi="Arial"/>
                <w:sz w:val="16"/>
                <w:szCs w:val="16"/>
                <w:color w:val="auto"/>
              </w:rPr>
              <w:t>Commodity contracts subject to rate recovery</w:t>
            </w:r>
          </w:p>
        </w:tc>
        <w:tc>
          <w:tcPr>
            <w:tcW w:w="220" w:type="dxa"/>
            <w:vAlign w:val="bottom"/>
            <w:tcBorders>
              <w:bottom w:val="single" w:sz="8" w:color="B6B6B6"/>
            </w:tcBorders>
            <w:shd w:val="clear" w:color="auto" w:fill="D4F1F5"/>
          </w:tcPr>
          <w:p>
            <w:pPr>
              <w:jc w:val="right"/>
              <w:ind w:right="1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B6B6B6"/>
            </w:tcBorders>
            <w:shd w:val="clear" w:color="auto" w:fill="D4F1F5"/>
          </w:tcPr>
          <w:p>
            <w:pPr>
              <w:jc w:val="right"/>
              <w:ind w:right="21"/>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B6B6B6"/>
            </w:tcBorders>
            <w:shd w:val="clear" w:color="auto" w:fill="D4F1F5"/>
          </w:tcPr>
          <w:p>
            <w:pPr>
              <w:jc w:val="right"/>
              <w:ind w:right="1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B6B6B6"/>
            </w:tcBorders>
            <w:shd w:val="clear" w:color="auto" w:fill="D4F1F5"/>
          </w:tcPr>
          <w:p>
            <w:pPr>
              <w:jc w:val="right"/>
              <w:ind w:right="23"/>
              <w:spacing w:after="0"/>
              <w:rPr>
                <w:sz w:val="20"/>
                <w:szCs w:val="20"/>
                <w:color w:val="auto"/>
              </w:rPr>
            </w:pPr>
            <w:r>
              <w:rPr>
                <w:rFonts w:ascii="Arial" w:cs="Arial" w:eastAsia="Arial" w:hAnsi="Arial"/>
                <w:sz w:val="16"/>
                <w:szCs w:val="16"/>
                <w:color w:val="auto"/>
              </w:rPr>
              <w:t>24</w:t>
            </w:r>
          </w:p>
        </w:tc>
        <w:tc>
          <w:tcPr>
            <w:tcW w:w="280" w:type="dxa"/>
            <w:vAlign w:val="bottom"/>
            <w:tcBorders>
              <w:bottom w:val="single" w:sz="8" w:color="B6B6B6"/>
            </w:tcBorders>
            <w:shd w:val="clear" w:color="auto" w:fill="D4F1F5"/>
          </w:tcPr>
          <w:p>
            <w:pPr>
              <w:jc w:val="right"/>
              <w:ind w:right="1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B6B6B6"/>
            </w:tcBorders>
            <w:shd w:val="clear" w:color="auto" w:fill="D4F1F5"/>
          </w:tcPr>
          <w:p>
            <w:pPr>
              <w:ind w:left="62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B6B6B6"/>
            </w:tcBorders>
            <w:shd w:val="clear" w:color="auto" w:fill="D4F1F5"/>
          </w:tcPr>
          <w:p>
            <w:pPr>
              <w:jc w:val="right"/>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B6B6B6"/>
            </w:tcBorders>
            <w:shd w:val="clear" w:color="auto" w:fill="D4F1F5"/>
          </w:tcPr>
          <w:p>
            <w:pPr>
              <w:jc w:val="right"/>
              <w:ind w:right="41"/>
              <w:spacing w:after="0"/>
              <w:rPr>
                <w:sz w:val="20"/>
                <w:szCs w:val="20"/>
                <w:color w:val="auto"/>
              </w:rPr>
            </w:pPr>
            <w:r>
              <w:rPr>
                <w:rFonts w:ascii="Arial" w:cs="Arial" w:eastAsia="Arial" w:hAnsi="Arial"/>
                <w:sz w:val="16"/>
                <w:szCs w:val="16"/>
                <w:color w:val="auto"/>
              </w:rPr>
              <w:t>5</w:t>
            </w:r>
          </w:p>
        </w:tc>
        <w:tc>
          <w:tcPr>
            <w:tcW w:w="300" w:type="dxa"/>
            <w:vAlign w:val="bottom"/>
            <w:tcBorders>
              <w:bottom w:val="single" w:sz="8" w:color="B6B6B6"/>
            </w:tcBorders>
            <w:shd w:val="clear" w:color="auto" w:fill="D4F1F5"/>
          </w:tcPr>
          <w:p>
            <w:pPr>
              <w:jc w:val="right"/>
              <w:ind w:right="59"/>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B6B6B6"/>
            </w:tcBorders>
            <w:shd w:val="clear" w:color="auto" w:fill="D4F1F5"/>
          </w:tcPr>
          <w:p>
            <w:pPr>
              <w:jc w:val="right"/>
              <w:ind w:right="1"/>
              <w:spacing w:after="0"/>
              <w:rPr>
                <w:sz w:val="20"/>
                <w:szCs w:val="20"/>
                <w:color w:val="auto"/>
              </w:rPr>
            </w:pPr>
            <w:r>
              <w:rPr>
                <w:rFonts w:ascii="Arial" w:cs="Arial" w:eastAsia="Arial" w:hAnsi="Arial"/>
                <w:sz w:val="16"/>
                <w:szCs w:val="16"/>
                <w:color w:val="auto"/>
              </w:rPr>
              <w:t>29</w:t>
            </w:r>
          </w:p>
        </w:tc>
      </w:tr>
      <w:tr>
        <w:trPr>
          <w:trHeight w:val="202"/>
        </w:trPr>
        <w:tc>
          <w:tcPr>
            <w:tcW w:w="5440" w:type="dxa"/>
            <w:vAlign w:val="bottom"/>
          </w:tcPr>
          <w:p>
            <w:pPr>
              <w:ind w:left="20"/>
              <w:spacing w:after="0"/>
              <w:rPr>
                <w:sz w:val="20"/>
                <w:szCs w:val="20"/>
                <w:color w:val="auto"/>
              </w:rPr>
            </w:pPr>
            <w:r>
              <w:rPr>
                <w:rFonts w:ascii="Arial" w:cs="Arial" w:eastAsia="Arial" w:hAnsi="Arial"/>
                <w:sz w:val="16"/>
                <w:szCs w:val="16"/>
                <w:color w:val="auto"/>
              </w:rPr>
              <w:t>Liabilities:</w:t>
            </w: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20" w:type="dxa"/>
            <w:vAlign w:val="bottom"/>
          </w:tcPr>
          <w:p>
            <w:pPr>
              <w:spacing w:after="0"/>
              <w:rPr>
                <w:sz w:val="17"/>
                <w:szCs w:val="17"/>
                <w:color w:val="auto"/>
              </w:rPr>
            </w:pPr>
          </w:p>
        </w:tc>
      </w:tr>
      <w:tr>
        <w:trPr>
          <w:trHeight w:val="224"/>
        </w:trPr>
        <w:tc>
          <w:tcPr>
            <w:tcW w:w="5440" w:type="dxa"/>
            <w:vAlign w:val="bottom"/>
            <w:tcBorders>
              <w:bottom w:val="single" w:sz="8" w:color="B6B6B6"/>
            </w:tcBorders>
            <w:shd w:val="clear" w:color="auto" w:fill="D4F1F5"/>
          </w:tcPr>
          <w:p>
            <w:pPr>
              <w:ind w:left="220"/>
              <w:spacing w:after="0"/>
              <w:rPr>
                <w:sz w:val="20"/>
                <w:szCs w:val="20"/>
                <w:color w:val="auto"/>
              </w:rPr>
            </w:pPr>
            <w:r>
              <w:rPr>
                <w:rFonts w:ascii="Arial" w:cs="Arial" w:eastAsia="Arial" w:hAnsi="Arial"/>
                <w:sz w:val="16"/>
                <w:szCs w:val="16"/>
                <w:color w:val="auto"/>
              </w:rPr>
              <w:t>Commodity contracts subject to rate recovery</w:t>
            </w:r>
          </w:p>
        </w:tc>
        <w:tc>
          <w:tcPr>
            <w:tcW w:w="220" w:type="dxa"/>
            <w:vAlign w:val="bottom"/>
            <w:tcBorders>
              <w:bottom w:val="single" w:sz="8" w:color="B6B6B6"/>
            </w:tcBorders>
            <w:shd w:val="clear" w:color="auto" w:fill="D4F1F5"/>
          </w:tcPr>
          <w:p>
            <w:pPr>
              <w:jc w:val="right"/>
              <w:ind w:right="1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B6B6B6"/>
            </w:tcBorders>
            <w:shd w:val="clear" w:color="auto" w:fill="D4F1F5"/>
          </w:tcPr>
          <w:p>
            <w:pPr>
              <w:jc w:val="right"/>
              <w:ind w:right="21"/>
              <w:spacing w:after="0"/>
              <w:rPr>
                <w:sz w:val="20"/>
                <w:szCs w:val="20"/>
                <w:color w:val="auto"/>
              </w:rPr>
            </w:pPr>
            <w:r>
              <w:rPr>
                <w:rFonts w:ascii="Arial" w:cs="Arial" w:eastAsia="Arial" w:hAnsi="Arial"/>
                <w:sz w:val="16"/>
                <w:szCs w:val="16"/>
                <w:color w:val="auto"/>
              </w:rPr>
              <w:t>20</w:t>
            </w:r>
          </w:p>
        </w:tc>
        <w:tc>
          <w:tcPr>
            <w:tcW w:w="280" w:type="dxa"/>
            <w:vAlign w:val="bottom"/>
            <w:tcBorders>
              <w:bottom w:val="single" w:sz="8" w:color="B6B6B6"/>
            </w:tcBorders>
            <w:shd w:val="clear" w:color="auto" w:fill="D4F1F5"/>
          </w:tcPr>
          <w:p>
            <w:pPr>
              <w:jc w:val="right"/>
              <w:ind w:right="1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B6B6B6"/>
            </w:tcBorders>
            <w:shd w:val="clear" w:color="auto" w:fill="D4F1F5"/>
          </w:tcPr>
          <w:p>
            <w:pPr>
              <w:jc w:val="right"/>
              <w:ind w:right="23"/>
              <w:spacing w:after="0"/>
              <w:rPr>
                <w:sz w:val="20"/>
                <w:szCs w:val="20"/>
                <w:color w:val="auto"/>
              </w:rPr>
            </w:pPr>
            <w:r>
              <w:rPr>
                <w:rFonts w:ascii="Arial" w:cs="Arial" w:eastAsia="Arial" w:hAnsi="Arial"/>
                <w:sz w:val="16"/>
                <w:szCs w:val="16"/>
                <w:color w:val="auto"/>
              </w:rPr>
              <w:t>107</w:t>
            </w:r>
          </w:p>
        </w:tc>
        <w:tc>
          <w:tcPr>
            <w:tcW w:w="280" w:type="dxa"/>
            <w:vAlign w:val="bottom"/>
            <w:tcBorders>
              <w:bottom w:val="single" w:sz="8" w:color="B6B6B6"/>
            </w:tcBorders>
            <w:shd w:val="clear" w:color="auto" w:fill="D4F1F5"/>
          </w:tcPr>
          <w:p>
            <w:pPr>
              <w:jc w:val="right"/>
              <w:ind w:right="1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B6B6B6"/>
            </w:tcBorders>
            <w:shd w:val="clear" w:color="auto" w:fill="D4F1F5"/>
          </w:tcPr>
          <w:p>
            <w:pPr>
              <w:ind w:left="62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B6B6B6"/>
            </w:tcBorders>
            <w:shd w:val="clear" w:color="auto" w:fill="D4F1F5"/>
          </w:tcPr>
          <w:p>
            <w:pPr>
              <w:jc w:val="right"/>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B6B6B6"/>
            </w:tcBorders>
            <w:shd w:val="clear" w:color="auto" w:fill="D4F1F5"/>
          </w:tcPr>
          <w:p>
            <w:pPr>
              <w:jc w:val="right"/>
              <w:ind w:right="1"/>
              <w:spacing w:after="0"/>
              <w:rPr>
                <w:sz w:val="20"/>
                <w:szCs w:val="20"/>
                <w:color w:val="auto"/>
              </w:rPr>
            </w:pPr>
            <w:r>
              <w:rPr>
                <w:rFonts w:ascii="Arial" w:cs="Arial" w:eastAsia="Arial" w:hAnsi="Arial"/>
                <w:sz w:val="16"/>
                <w:szCs w:val="16"/>
                <w:color w:val="auto"/>
              </w:rPr>
              <w:t>(61)</w:t>
            </w:r>
          </w:p>
        </w:tc>
        <w:tc>
          <w:tcPr>
            <w:tcW w:w="300" w:type="dxa"/>
            <w:vAlign w:val="bottom"/>
            <w:tcBorders>
              <w:bottom w:val="single" w:sz="8" w:color="B6B6B6"/>
            </w:tcBorders>
            <w:shd w:val="clear" w:color="auto" w:fill="D4F1F5"/>
          </w:tcPr>
          <w:p>
            <w:pPr>
              <w:jc w:val="right"/>
              <w:ind w:right="59"/>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B6B6B6"/>
            </w:tcBorders>
            <w:shd w:val="clear" w:color="auto" w:fill="D4F1F5"/>
          </w:tcPr>
          <w:p>
            <w:pPr>
              <w:jc w:val="right"/>
              <w:ind w:right="1"/>
              <w:spacing w:after="0"/>
              <w:rPr>
                <w:sz w:val="20"/>
                <w:szCs w:val="20"/>
                <w:color w:val="auto"/>
              </w:rPr>
            </w:pPr>
            <w:r>
              <w:rPr>
                <w:rFonts w:ascii="Arial" w:cs="Arial" w:eastAsia="Arial" w:hAnsi="Arial"/>
                <w:sz w:val="16"/>
                <w:szCs w:val="16"/>
                <w:color w:val="auto"/>
              </w:rPr>
              <w:t>66</w:t>
            </w:r>
          </w:p>
        </w:tc>
      </w:tr>
    </w:tbl>
    <w:p>
      <w:pPr>
        <w:spacing w:after="0" w:line="61" w:lineRule="exact"/>
        <w:rPr>
          <w:sz w:val="20"/>
          <w:szCs w:val="20"/>
          <w:color w:val="auto"/>
        </w:rPr>
      </w:pPr>
    </w:p>
    <w:p>
      <w:pPr>
        <w:ind w:left="260" w:hanging="252"/>
        <w:spacing w:after="0"/>
        <w:tabs>
          <w:tab w:leader="none" w:pos="260" w:val="left"/>
        </w:tabs>
        <w:numPr>
          <w:ilvl w:val="0"/>
          <w:numId w:val="29"/>
        </w:numPr>
        <w:rPr>
          <w:rFonts w:ascii="Arial" w:cs="Arial" w:eastAsia="Arial" w:hAnsi="Arial"/>
          <w:sz w:val="21"/>
          <w:szCs w:val="21"/>
          <w:i w:val="1"/>
          <w:iCs w:val="1"/>
          <w:color w:val="auto"/>
          <w:vertAlign w:val="superscript"/>
        </w:rPr>
      </w:pPr>
      <w:r>
        <w:rPr>
          <w:rFonts w:ascii="Arial" w:cs="Arial" w:eastAsia="Arial" w:hAnsi="Arial"/>
          <w:sz w:val="14"/>
          <w:szCs w:val="14"/>
          <w:i w:val="1"/>
          <w:iCs w:val="1"/>
          <w:color w:val="auto"/>
        </w:rPr>
        <w:t>Includes the effect of the contractual ability to settle contracts under master netting agreements and with cash collateral, as well as cash collateral not offset.</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Level 3 Information</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SDG&amp;E</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 below sets forth reconciliations of changes in the fair value of CRRs classified as Level 3 in the fair value hierarchy for Sempra and SDG&amp;E.</w:t>
      </w:r>
    </w:p>
    <w:p>
      <w:pPr>
        <w:spacing w:after="0" w:line="169"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FFFFFF"/>
        </w:rPr>
        <w:t>LEVEL 3 RECONCILIATIONS</w:t>
      </w:r>
      <w:r>
        <w:rPr>
          <w:rFonts w:ascii="Arial" w:cs="Arial" w:eastAsia="Arial" w:hAnsi="Arial"/>
          <w:sz w:val="21"/>
          <w:szCs w:val="21"/>
          <w:b w:val="1"/>
          <w:bCs w:val="1"/>
          <w:color w:val="FFFFFF"/>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-147955</wp:posOffset>
            </wp:positionV>
            <wp:extent cx="7098030" cy="26543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098030" cy="265430"/>
                    </a:xfrm>
                    <a:prstGeom prst="rect">
                      <a:avLst/>
                    </a:prstGeom>
                    <a:noFill/>
                  </pic:spPr>
                </pic:pic>
              </a:graphicData>
            </a:graphic>
          </wp:anchor>
        </w:drawing>
      </w:r>
    </w:p>
    <w:p>
      <w:pPr>
        <w:ind w:left="20"/>
        <w:spacing w:after="0"/>
        <w:rPr>
          <w:sz w:val="20"/>
          <w:szCs w:val="20"/>
          <w:color w:val="auto"/>
        </w:rPr>
      </w:pPr>
      <w:r>
        <w:rPr>
          <w:rFonts w:ascii="Arial" w:cs="Arial" w:eastAsia="Arial" w:hAnsi="Arial"/>
          <w:sz w:val="14"/>
          <w:szCs w:val="14"/>
          <w:i w:val="1"/>
          <w:iCs w:val="1"/>
          <w:color w:val="FFFFFF"/>
        </w:rPr>
        <w:t>(Dollars in millions)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8180" w:type="dxa"/>
            <w:vAlign w:val="bottom"/>
          </w:tcPr>
          <w:p>
            <w:pPr>
              <w:spacing w:after="0"/>
              <w:rPr>
                <w:sz w:val="16"/>
                <w:szCs w:val="16"/>
                <w:color w:val="auto"/>
              </w:rPr>
            </w:pPr>
          </w:p>
        </w:tc>
        <w:tc>
          <w:tcPr>
            <w:tcW w:w="2640" w:type="dxa"/>
            <w:vAlign w:val="bottom"/>
            <w:tcBorders>
              <w:bottom w:val="single" w:sz="8" w:color="auto"/>
            </w:tcBorders>
            <w:gridSpan w:val="3"/>
          </w:tcPr>
          <w:p>
            <w:pPr>
              <w:jc w:val="right"/>
              <w:ind w:right="41"/>
              <w:spacing w:after="0"/>
              <w:rPr>
                <w:sz w:val="20"/>
                <w:szCs w:val="20"/>
                <w:color w:val="auto"/>
              </w:rPr>
            </w:pPr>
            <w:r>
              <w:rPr>
                <w:rFonts w:ascii="Arial" w:cs="Arial" w:eastAsia="Arial" w:hAnsi="Arial"/>
                <w:sz w:val="14"/>
                <w:szCs w:val="14"/>
                <w:color w:val="auto"/>
              </w:rPr>
              <w:t>Three months ended March 31,</w:t>
            </w:r>
          </w:p>
        </w:tc>
        <w:tc>
          <w:tcPr>
            <w:tcW w:w="360" w:type="dxa"/>
            <w:vAlign w:val="bottom"/>
            <w:tcBorders>
              <w:bottom w:val="single" w:sz="8" w:color="auto"/>
            </w:tcBorders>
          </w:tcPr>
          <w:p>
            <w:pPr>
              <w:spacing w:after="0"/>
              <w:rPr>
                <w:sz w:val="16"/>
                <w:szCs w:val="16"/>
                <w:color w:val="auto"/>
              </w:rPr>
            </w:pPr>
          </w:p>
        </w:tc>
      </w:tr>
      <w:tr>
        <w:trPr>
          <w:trHeight w:val="210"/>
        </w:trPr>
        <w:tc>
          <w:tcPr>
            <w:tcW w:w="81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63"/>
              <w:spacing w:after="0"/>
              <w:rPr>
                <w:sz w:val="20"/>
                <w:szCs w:val="20"/>
                <w:color w:val="auto"/>
              </w:rPr>
            </w:pPr>
            <w:r>
              <w:rPr>
                <w:rFonts w:ascii="Arial" w:cs="Arial" w:eastAsia="Arial" w:hAnsi="Arial"/>
                <w:sz w:val="14"/>
                <w:szCs w:val="14"/>
                <w:color w:val="auto"/>
              </w:rPr>
              <w:t>2026</w:t>
            </w:r>
          </w:p>
        </w:tc>
        <w:tc>
          <w:tcPr>
            <w:tcW w:w="4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121"/>
              <w:spacing w:after="0"/>
              <w:rPr>
                <w:sz w:val="20"/>
                <w:szCs w:val="20"/>
                <w:color w:val="auto"/>
              </w:rPr>
            </w:pPr>
            <w:r>
              <w:rPr>
                <w:rFonts w:ascii="Arial" w:cs="Arial" w:eastAsia="Arial" w:hAnsi="Arial"/>
                <w:sz w:val="14"/>
                <w:szCs w:val="14"/>
                <w:color w:val="auto"/>
              </w:rPr>
              <w:t>2025</w:t>
            </w:r>
          </w:p>
        </w:tc>
        <w:tc>
          <w:tcPr>
            <w:tcW w:w="360" w:type="dxa"/>
            <w:vAlign w:val="bottom"/>
            <w:tcBorders>
              <w:bottom w:val="single" w:sz="8" w:color="auto"/>
            </w:tcBorders>
          </w:tcPr>
          <w:p>
            <w:pPr>
              <w:spacing w:after="0"/>
              <w:rPr>
                <w:sz w:val="18"/>
                <w:szCs w:val="18"/>
                <w:color w:val="auto"/>
              </w:rPr>
            </w:pPr>
          </w:p>
        </w:tc>
      </w:tr>
      <w:tr>
        <w:trPr>
          <w:trHeight w:val="213"/>
        </w:trPr>
        <w:tc>
          <w:tcPr>
            <w:tcW w:w="8180" w:type="dxa"/>
            <w:vAlign w:val="bottom"/>
            <w:shd w:val="clear" w:color="auto" w:fill="D4F1F5"/>
          </w:tcPr>
          <w:p>
            <w:pPr>
              <w:ind w:left="20"/>
              <w:spacing w:after="0"/>
              <w:rPr>
                <w:sz w:val="20"/>
                <w:szCs w:val="20"/>
                <w:color w:val="auto"/>
              </w:rPr>
            </w:pPr>
            <w:r>
              <w:rPr>
                <w:rFonts w:ascii="Arial" w:cs="Arial" w:eastAsia="Arial" w:hAnsi="Arial"/>
                <w:sz w:val="16"/>
                <w:szCs w:val="16"/>
                <w:color w:val="auto"/>
              </w:rPr>
              <w:t>Balance at January 1</w:t>
            </w:r>
          </w:p>
        </w:tc>
        <w:tc>
          <w:tcPr>
            <w:tcW w:w="1040" w:type="dxa"/>
            <w:vAlign w:val="bottom"/>
            <w:shd w:val="clear" w:color="auto" w:fill="D4F1F5"/>
          </w:tcPr>
          <w:p>
            <w:pPr>
              <w:jc w:val="right"/>
              <w:ind w:right="843"/>
              <w:spacing w:after="0"/>
              <w:rPr>
                <w:sz w:val="20"/>
                <w:szCs w:val="20"/>
                <w:color w:val="auto"/>
              </w:rPr>
            </w:pPr>
            <w:r>
              <w:rPr>
                <w:rFonts w:ascii="Arial" w:cs="Arial" w:eastAsia="Arial" w:hAnsi="Arial"/>
                <w:sz w:val="16"/>
                <w:szCs w:val="16"/>
                <w:color w:val="auto"/>
              </w:rPr>
              <w:t>$</w:t>
            </w:r>
          </w:p>
        </w:tc>
        <w:tc>
          <w:tcPr>
            <w:tcW w:w="460" w:type="dxa"/>
            <w:vAlign w:val="bottom"/>
            <w:shd w:val="clear" w:color="auto" w:fill="D4F1F5"/>
          </w:tcPr>
          <w:p>
            <w:pPr>
              <w:jc w:val="right"/>
              <w:ind w:right="39"/>
              <w:spacing w:after="0"/>
              <w:rPr>
                <w:sz w:val="20"/>
                <w:szCs w:val="20"/>
                <w:color w:val="auto"/>
              </w:rPr>
            </w:pPr>
            <w:r>
              <w:rPr>
                <w:rFonts w:ascii="Arial" w:cs="Arial" w:eastAsia="Arial" w:hAnsi="Arial"/>
                <w:sz w:val="16"/>
                <w:szCs w:val="16"/>
                <w:color w:val="auto"/>
              </w:rPr>
              <w:t>10</w:t>
            </w:r>
          </w:p>
        </w:tc>
        <w:tc>
          <w:tcPr>
            <w:tcW w:w="1140" w:type="dxa"/>
            <w:vAlign w:val="bottom"/>
            <w:shd w:val="clear" w:color="auto" w:fill="D4F1F5"/>
          </w:tcPr>
          <w:p>
            <w:pPr>
              <w:jc w:val="right"/>
              <w:ind w:right="901"/>
              <w:spacing w:after="0"/>
              <w:rPr>
                <w:sz w:val="20"/>
                <w:szCs w:val="20"/>
                <w:color w:val="auto"/>
              </w:rPr>
            </w:pPr>
            <w:r>
              <w:rPr>
                <w:rFonts w:ascii="Arial" w:cs="Arial" w:eastAsia="Arial" w:hAnsi="Arial"/>
                <w:sz w:val="16"/>
                <w:szCs w:val="16"/>
                <w:color w:val="auto"/>
              </w:rPr>
              <w:t>$</w:t>
            </w:r>
          </w:p>
        </w:tc>
        <w:tc>
          <w:tcPr>
            <w:tcW w:w="360" w:type="dxa"/>
            <w:vAlign w:val="bottom"/>
            <w:shd w:val="clear" w:color="auto" w:fill="D4F1F5"/>
          </w:tcPr>
          <w:p>
            <w:pPr>
              <w:jc w:val="center"/>
              <w:ind w:left="59"/>
              <w:spacing w:after="0"/>
              <w:rPr>
                <w:sz w:val="20"/>
                <w:szCs w:val="20"/>
                <w:color w:val="auto"/>
              </w:rPr>
            </w:pPr>
            <w:r>
              <w:rPr>
                <w:rFonts w:ascii="Arial" w:cs="Arial" w:eastAsia="Arial" w:hAnsi="Arial"/>
                <w:sz w:val="16"/>
                <w:szCs w:val="16"/>
                <w:color w:val="auto"/>
              </w:rPr>
              <w:t>4</w:t>
            </w:r>
          </w:p>
        </w:tc>
      </w:tr>
      <w:tr>
        <w:trPr>
          <w:trHeight w:val="215"/>
        </w:trPr>
        <w:tc>
          <w:tcPr>
            <w:tcW w:w="8180" w:type="dxa"/>
            <w:vAlign w:val="bottom"/>
          </w:tcPr>
          <w:p>
            <w:pPr>
              <w:ind w:left="220"/>
              <w:spacing w:after="0"/>
              <w:rPr>
                <w:sz w:val="20"/>
                <w:szCs w:val="20"/>
                <w:color w:val="auto"/>
              </w:rPr>
            </w:pPr>
            <w:r>
              <w:rPr>
                <w:rFonts w:ascii="Arial" w:cs="Arial" w:eastAsia="Arial" w:hAnsi="Arial"/>
                <w:sz w:val="16"/>
                <w:szCs w:val="16"/>
                <w:color w:val="auto"/>
              </w:rPr>
              <w:t>Realized and unrealized gains (losses), net</w:t>
            </w:r>
          </w:p>
        </w:tc>
        <w:tc>
          <w:tcPr>
            <w:tcW w:w="10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(3)</w:t>
            </w:r>
          </w:p>
        </w:tc>
        <w:tc>
          <w:tcPr>
            <w:tcW w:w="1140" w:type="dxa"/>
            <w:vAlign w:val="bottom"/>
          </w:tcPr>
          <w:p>
            <w:pPr>
              <w:spacing w:after="0"/>
              <w:rPr>
                <w:sz w:val="18"/>
                <w:szCs w:val="18"/>
                <w:color w:val="auto"/>
              </w:rPr>
            </w:pPr>
          </w:p>
        </w:tc>
        <w:tc>
          <w:tcPr>
            <w:tcW w:w="360" w:type="dxa"/>
            <w:vAlign w:val="bottom"/>
          </w:tcPr>
          <w:p>
            <w:pPr>
              <w:jc w:val="center"/>
              <w:ind w:left="39"/>
              <w:spacing w:after="0"/>
              <w:rPr>
                <w:sz w:val="20"/>
                <w:szCs w:val="20"/>
                <w:color w:val="auto"/>
              </w:rPr>
            </w:pPr>
            <w:r>
              <w:rPr>
                <w:rFonts w:ascii="Arial" w:cs="Arial" w:eastAsia="Arial" w:hAnsi="Arial"/>
                <w:sz w:val="16"/>
                <w:szCs w:val="16"/>
                <w:color w:val="auto"/>
              </w:rPr>
              <w:t>(1)</w:t>
            </w:r>
          </w:p>
        </w:tc>
      </w:tr>
      <w:tr>
        <w:trPr>
          <w:trHeight w:val="217"/>
        </w:trPr>
        <w:tc>
          <w:tcPr>
            <w:tcW w:w="8180" w:type="dxa"/>
            <w:vAlign w:val="bottom"/>
            <w:shd w:val="clear" w:color="auto" w:fill="D4F1F5"/>
          </w:tcPr>
          <w:p>
            <w:pPr>
              <w:ind w:left="220"/>
              <w:spacing w:after="0"/>
              <w:rPr>
                <w:sz w:val="20"/>
                <w:szCs w:val="20"/>
                <w:color w:val="auto"/>
              </w:rPr>
            </w:pPr>
            <w:r>
              <w:rPr>
                <w:rFonts w:ascii="Arial" w:cs="Arial" w:eastAsia="Arial" w:hAnsi="Arial"/>
                <w:sz w:val="16"/>
                <w:szCs w:val="16"/>
                <w:color w:val="auto"/>
              </w:rPr>
              <w:t>Allocated transmission instruments</w:t>
            </w:r>
          </w:p>
        </w:tc>
        <w:tc>
          <w:tcPr>
            <w:tcW w:w="1040" w:type="dxa"/>
            <w:vAlign w:val="bottom"/>
            <w:shd w:val="clear" w:color="auto" w:fill="D4F1F5"/>
          </w:tcPr>
          <w:p>
            <w:pPr>
              <w:spacing w:after="0"/>
              <w:rPr>
                <w:sz w:val="18"/>
                <w:szCs w:val="18"/>
                <w:color w:val="auto"/>
              </w:rPr>
            </w:pPr>
          </w:p>
        </w:tc>
        <w:tc>
          <w:tcPr>
            <w:tcW w:w="460" w:type="dxa"/>
            <w:vAlign w:val="bottom"/>
            <w:shd w:val="clear" w:color="auto" w:fill="D4F1F5"/>
          </w:tcPr>
          <w:p>
            <w:pPr>
              <w:jc w:val="right"/>
              <w:ind w:right="39"/>
              <w:spacing w:after="0"/>
              <w:rPr>
                <w:sz w:val="20"/>
                <w:szCs w:val="20"/>
                <w:color w:val="auto"/>
              </w:rPr>
            </w:pPr>
            <w:r>
              <w:rPr>
                <w:rFonts w:ascii="Arial" w:cs="Arial" w:eastAsia="Arial" w:hAnsi="Arial"/>
                <w:sz w:val="16"/>
                <w:szCs w:val="16"/>
                <w:color w:val="auto"/>
              </w:rPr>
              <w:t>3</w:t>
            </w:r>
          </w:p>
        </w:tc>
        <w:tc>
          <w:tcPr>
            <w:tcW w:w="1140" w:type="dxa"/>
            <w:vAlign w:val="bottom"/>
            <w:shd w:val="clear" w:color="auto" w:fill="D4F1F5"/>
          </w:tcPr>
          <w:p>
            <w:pPr>
              <w:spacing w:after="0"/>
              <w:rPr>
                <w:sz w:val="18"/>
                <w:szCs w:val="18"/>
                <w:color w:val="auto"/>
              </w:rPr>
            </w:pPr>
          </w:p>
        </w:tc>
        <w:tc>
          <w:tcPr>
            <w:tcW w:w="360" w:type="dxa"/>
            <w:vAlign w:val="bottom"/>
            <w:shd w:val="clear" w:color="auto" w:fill="D4F1F5"/>
          </w:tcPr>
          <w:p>
            <w:pPr>
              <w:jc w:val="center"/>
              <w:ind w:left="59"/>
              <w:spacing w:after="0"/>
              <w:rPr>
                <w:sz w:val="20"/>
                <w:szCs w:val="20"/>
                <w:color w:val="auto"/>
              </w:rPr>
            </w:pPr>
            <w:r>
              <w:rPr>
                <w:rFonts w:ascii="Arial" w:cs="Arial" w:eastAsia="Arial" w:hAnsi="Arial"/>
                <w:sz w:val="16"/>
                <w:szCs w:val="16"/>
                <w:color w:val="auto"/>
              </w:rPr>
              <w:t>2</w:t>
            </w:r>
          </w:p>
        </w:tc>
      </w:tr>
      <w:tr>
        <w:trPr>
          <w:trHeight w:val="215"/>
        </w:trPr>
        <w:tc>
          <w:tcPr>
            <w:tcW w:w="8180" w:type="dxa"/>
            <w:vAlign w:val="bottom"/>
            <w:tcBorders>
              <w:bottom w:val="single" w:sz="8" w:color="D4F1F5"/>
            </w:tcBorders>
          </w:tcPr>
          <w:p>
            <w:pPr>
              <w:ind w:left="220"/>
              <w:spacing w:after="0"/>
              <w:rPr>
                <w:sz w:val="20"/>
                <w:szCs w:val="20"/>
                <w:color w:val="auto"/>
              </w:rPr>
            </w:pPr>
            <w:r>
              <w:rPr>
                <w:rFonts w:ascii="Arial" w:cs="Arial" w:eastAsia="Arial" w:hAnsi="Arial"/>
                <w:sz w:val="16"/>
                <w:szCs w:val="16"/>
                <w:color w:val="auto"/>
              </w:rPr>
              <w:t>Settlements</w:t>
            </w:r>
          </w:p>
        </w:tc>
        <w:tc>
          <w:tcPr>
            <w:tcW w:w="104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jc w:val="center"/>
              <w:ind w:left="39"/>
              <w:spacing w:after="0"/>
              <w:rPr>
                <w:sz w:val="20"/>
                <w:szCs w:val="20"/>
                <w:color w:val="auto"/>
              </w:rPr>
            </w:pPr>
            <w:r>
              <w:rPr>
                <w:rFonts w:ascii="Arial" w:cs="Arial" w:eastAsia="Arial" w:hAnsi="Arial"/>
                <w:sz w:val="16"/>
                <w:szCs w:val="16"/>
                <w:color w:val="auto"/>
              </w:rPr>
              <w:t>(1)</w:t>
            </w:r>
          </w:p>
        </w:tc>
      </w:tr>
      <w:tr>
        <w:trPr>
          <w:trHeight w:val="230"/>
        </w:trPr>
        <w:tc>
          <w:tcPr>
            <w:tcW w:w="8180" w:type="dxa"/>
            <w:vAlign w:val="bottom"/>
            <w:tcBorders>
              <w:bottom w:val="single" w:sz="8" w:color="D4F1F5"/>
            </w:tcBorders>
            <w:shd w:val="clear" w:color="auto" w:fill="D4F1F5"/>
          </w:tcPr>
          <w:p>
            <w:pPr>
              <w:ind w:left="20"/>
              <w:spacing w:after="0"/>
              <w:rPr>
                <w:sz w:val="20"/>
                <w:szCs w:val="20"/>
                <w:color w:val="auto"/>
              </w:rPr>
            </w:pPr>
            <w:r>
              <w:rPr>
                <w:rFonts w:ascii="Arial" w:cs="Arial" w:eastAsia="Arial" w:hAnsi="Arial"/>
                <w:sz w:val="16"/>
                <w:szCs w:val="16"/>
                <w:color w:val="auto"/>
              </w:rPr>
              <w:t>Balance at March 31</w:t>
            </w:r>
          </w:p>
        </w:tc>
        <w:tc>
          <w:tcPr>
            <w:tcW w:w="1040" w:type="dxa"/>
            <w:vAlign w:val="bottom"/>
            <w:tcBorders>
              <w:bottom w:val="single" w:sz="8" w:color="auto"/>
            </w:tcBorders>
            <w:shd w:val="clear" w:color="auto" w:fill="D4F1F5"/>
          </w:tcPr>
          <w:p>
            <w:pPr>
              <w:jc w:val="right"/>
              <w:ind w:right="843"/>
              <w:spacing w:after="0"/>
              <w:rPr>
                <w:sz w:val="20"/>
                <w:szCs w:val="20"/>
                <w:color w:val="auto"/>
              </w:rPr>
            </w:pPr>
            <w:r>
              <w:rPr>
                <w:rFonts w:ascii="Arial" w:cs="Arial" w:eastAsia="Arial" w:hAnsi="Arial"/>
                <w:sz w:val="16"/>
                <w:szCs w:val="16"/>
                <w:color w:val="auto"/>
              </w:rPr>
              <w:t>$</w:t>
            </w:r>
          </w:p>
        </w:tc>
        <w:tc>
          <w:tcPr>
            <w:tcW w:w="460" w:type="dxa"/>
            <w:vAlign w:val="bottom"/>
            <w:tcBorders>
              <w:bottom w:val="single" w:sz="8" w:color="auto"/>
            </w:tcBorders>
            <w:shd w:val="clear" w:color="auto" w:fill="D4F1F5"/>
          </w:tcPr>
          <w:p>
            <w:pPr>
              <w:jc w:val="right"/>
              <w:ind w:right="39"/>
              <w:spacing w:after="0"/>
              <w:rPr>
                <w:sz w:val="20"/>
                <w:szCs w:val="20"/>
                <w:color w:val="auto"/>
              </w:rPr>
            </w:pPr>
            <w:r>
              <w:rPr>
                <w:rFonts w:ascii="Arial" w:cs="Arial" w:eastAsia="Arial" w:hAnsi="Arial"/>
                <w:sz w:val="16"/>
                <w:szCs w:val="16"/>
                <w:color w:val="auto"/>
              </w:rPr>
              <w:t>10</w:t>
            </w:r>
          </w:p>
        </w:tc>
        <w:tc>
          <w:tcPr>
            <w:tcW w:w="1140" w:type="dxa"/>
            <w:vAlign w:val="bottom"/>
            <w:tcBorders>
              <w:bottom w:val="single" w:sz="8" w:color="auto"/>
            </w:tcBorders>
            <w:shd w:val="clear" w:color="auto" w:fill="D4F1F5"/>
          </w:tcPr>
          <w:p>
            <w:pPr>
              <w:jc w:val="right"/>
              <w:ind w:right="901"/>
              <w:spacing w:after="0"/>
              <w:rPr>
                <w:sz w:val="20"/>
                <w:szCs w:val="20"/>
                <w:color w:val="auto"/>
              </w:rPr>
            </w:pPr>
            <w:r>
              <w:rPr>
                <w:rFonts w:ascii="Arial" w:cs="Arial" w:eastAsia="Arial" w:hAnsi="Arial"/>
                <w:sz w:val="16"/>
                <w:szCs w:val="16"/>
                <w:color w:val="auto"/>
              </w:rPr>
              <w:t>$</w:t>
            </w:r>
          </w:p>
        </w:tc>
        <w:tc>
          <w:tcPr>
            <w:tcW w:w="360" w:type="dxa"/>
            <w:vAlign w:val="bottom"/>
            <w:tcBorders>
              <w:bottom w:val="single" w:sz="8" w:color="auto"/>
            </w:tcBorders>
            <w:shd w:val="clear" w:color="auto" w:fill="D4F1F5"/>
          </w:tcPr>
          <w:p>
            <w:pPr>
              <w:jc w:val="center"/>
              <w:ind w:left="59"/>
              <w:spacing w:after="0"/>
              <w:rPr>
                <w:sz w:val="20"/>
                <w:szCs w:val="20"/>
                <w:color w:val="auto"/>
              </w:rPr>
            </w:pPr>
            <w:r>
              <w:rPr>
                <w:rFonts w:ascii="Arial" w:cs="Arial" w:eastAsia="Arial" w:hAnsi="Arial"/>
                <w:sz w:val="16"/>
                <w:szCs w:val="16"/>
                <w:color w:val="auto"/>
              </w:rPr>
              <w:t>4</w:t>
            </w:r>
          </w:p>
        </w:tc>
      </w:tr>
      <w:tr>
        <w:trPr>
          <w:trHeight w:val="210"/>
        </w:trPr>
        <w:tc>
          <w:tcPr>
            <w:tcW w:w="8180" w:type="dxa"/>
            <w:vAlign w:val="bottom"/>
            <w:tcBorders>
              <w:bottom w:val="single" w:sz="8" w:color="ACACAC"/>
            </w:tcBorders>
          </w:tcPr>
          <w:p>
            <w:pPr>
              <w:ind w:left="20"/>
              <w:spacing w:after="0"/>
              <w:rPr>
                <w:sz w:val="20"/>
                <w:szCs w:val="20"/>
                <w:color w:val="auto"/>
              </w:rPr>
            </w:pPr>
            <w:r>
              <w:rPr>
                <w:rFonts w:ascii="Arial" w:cs="Arial" w:eastAsia="Arial" w:hAnsi="Arial"/>
                <w:sz w:val="16"/>
                <w:szCs w:val="16"/>
                <w:color w:val="auto"/>
              </w:rPr>
              <w:t>Change in unrealized gains (losses) relating to instruments still held at March 31</w:t>
            </w:r>
          </w:p>
        </w:tc>
        <w:tc>
          <w:tcPr>
            <w:tcW w:w="1040" w:type="dxa"/>
            <w:vAlign w:val="bottom"/>
            <w:tcBorders>
              <w:bottom w:val="single" w:sz="8" w:color="ACACAC"/>
            </w:tcBorders>
          </w:tcPr>
          <w:p>
            <w:pPr>
              <w:jc w:val="right"/>
              <w:ind w:right="843"/>
              <w:spacing w:after="0"/>
              <w:rPr>
                <w:sz w:val="20"/>
                <w:szCs w:val="20"/>
                <w:color w:val="auto"/>
              </w:rPr>
            </w:pPr>
            <w:r>
              <w:rPr>
                <w:rFonts w:ascii="Arial" w:cs="Arial" w:eastAsia="Arial" w:hAnsi="Arial"/>
                <w:sz w:val="16"/>
                <w:szCs w:val="16"/>
                <w:color w:val="auto"/>
              </w:rPr>
              <w:t>$</w:t>
            </w:r>
          </w:p>
        </w:tc>
        <w:tc>
          <w:tcPr>
            <w:tcW w:w="460" w:type="dxa"/>
            <w:vAlign w:val="bottom"/>
            <w:tcBorders>
              <w:bottom w:val="single" w:sz="8" w:color="ACACAC"/>
            </w:tcBorders>
          </w:tcPr>
          <w:p>
            <w:pPr>
              <w:jc w:val="right"/>
              <w:spacing w:after="0"/>
              <w:rPr>
                <w:sz w:val="20"/>
                <w:szCs w:val="20"/>
                <w:color w:val="auto"/>
              </w:rPr>
            </w:pPr>
            <w:r>
              <w:rPr>
                <w:rFonts w:ascii="Arial" w:cs="Arial" w:eastAsia="Arial" w:hAnsi="Arial"/>
                <w:sz w:val="16"/>
                <w:szCs w:val="16"/>
                <w:color w:val="auto"/>
              </w:rPr>
              <w:t>(2)</w:t>
            </w:r>
          </w:p>
        </w:tc>
        <w:tc>
          <w:tcPr>
            <w:tcW w:w="1140" w:type="dxa"/>
            <w:vAlign w:val="bottom"/>
            <w:tcBorders>
              <w:bottom w:val="single" w:sz="8" w:color="ACACAC"/>
            </w:tcBorders>
          </w:tcPr>
          <w:p>
            <w:pPr>
              <w:jc w:val="right"/>
              <w:ind w:right="901"/>
              <w:spacing w:after="0"/>
              <w:rPr>
                <w:sz w:val="20"/>
                <w:szCs w:val="20"/>
                <w:color w:val="auto"/>
              </w:rPr>
            </w:pPr>
            <w:r>
              <w:rPr>
                <w:rFonts w:ascii="Arial" w:cs="Arial" w:eastAsia="Arial" w:hAnsi="Arial"/>
                <w:sz w:val="16"/>
                <w:szCs w:val="16"/>
                <w:color w:val="auto"/>
              </w:rPr>
              <w:t>$</w:t>
            </w:r>
          </w:p>
        </w:tc>
        <w:tc>
          <w:tcPr>
            <w:tcW w:w="360" w:type="dxa"/>
            <w:vAlign w:val="bottom"/>
            <w:tcBorders>
              <w:bottom w:val="single" w:sz="8" w:color="ACACAC"/>
            </w:tcBorders>
          </w:tcPr>
          <w:p>
            <w:pPr>
              <w:jc w:val="center"/>
              <w:ind w:left="39"/>
              <w:spacing w:after="0"/>
              <w:rPr>
                <w:sz w:val="20"/>
                <w:szCs w:val="20"/>
                <w:color w:val="auto"/>
              </w:rPr>
            </w:pPr>
            <w:r>
              <w:rPr>
                <w:rFonts w:ascii="Arial" w:cs="Arial" w:eastAsia="Arial" w:hAnsi="Arial"/>
                <w:sz w:val="16"/>
                <w:szCs w:val="16"/>
                <w:color w:val="auto"/>
              </w:rPr>
              <w:t>(2)</w:t>
            </w:r>
          </w:p>
        </w:tc>
      </w:tr>
    </w:tbl>
    <w:p>
      <w:pPr>
        <w:spacing w:after="0" w:line="48" w:lineRule="exact"/>
        <w:rPr>
          <w:sz w:val="20"/>
          <w:szCs w:val="20"/>
          <w:color w:val="auto"/>
        </w:rPr>
      </w:pPr>
    </w:p>
    <w:p>
      <w:pPr>
        <w:ind w:left="260" w:hanging="252"/>
        <w:spacing w:after="0"/>
        <w:tabs>
          <w:tab w:leader="none" w:pos="260" w:val="left"/>
        </w:tabs>
        <w:numPr>
          <w:ilvl w:val="0"/>
          <w:numId w:val="30"/>
        </w:numPr>
        <w:rPr>
          <w:rFonts w:ascii="Arial" w:cs="Arial" w:eastAsia="Arial" w:hAnsi="Arial"/>
          <w:sz w:val="21"/>
          <w:szCs w:val="21"/>
          <w:i w:val="1"/>
          <w:iCs w:val="1"/>
          <w:color w:val="auto"/>
          <w:vertAlign w:val="superscript"/>
        </w:rPr>
      </w:pPr>
      <w:r>
        <w:rPr>
          <w:rFonts w:ascii="Arial" w:cs="Arial" w:eastAsia="Arial" w:hAnsi="Arial"/>
          <w:sz w:val="14"/>
          <w:szCs w:val="14"/>
          <w:i w:val="1"/>
          <w:iCs w:val="1"/>
          <w:color w:val="auto"/>
        </w:rPr>
        <w:t>Excludes the effect of the contractual ability to settle contracts under master netting agreements and cash collateral.</w:t>
      </w:r>
    </w:p>
    <w:p>
      <w:pPr>
        <w:spacing w:after="0" w:line="138" w:lineRule="exact"/>
        <w:rPr>
          <w:sz w:val="20"/>
          <w:szCs w:val="20"/>
          <w:color w:val="auto"/>
        </w:rPr>
      </w:pPr>
    </w:p>
    <w:p>
      <w:pPr>
        <w:ind w:right="140"/>
        <w:spacing w:after="0" w:line="274" w:lineRule="auto"/>
        <w:rPr>
          <w:sz w:val="20"/>
          <w:szCs w:val="20"/>
          <w:color w:val="auto"/>
        </w:rPr>
      </w:pPr>
      <w:r>
        <w:rPr>
          <w:rFonts w:ascii="Times New Roman" w:cs="Times New Roman" w:eastAsia="Times New Roman" w:hAnsi="Times New Roman"/>
          <w:sz w:val="18"/>
          <w:szCs w:val="18"/>
          <w:color w:val="auto"/>
        </w:rPr>
        <w:t>Realized gains and losses associated with CRRs, which are recoverable in rates, are recorded in Cost of Electric Fuel and Purchased Power on the Condensed Consolidated Statements of Operations. Because unrealized gains and losses are recorded as regulatory assets and liabilities, they do not affect earnings. Inputs used to determine the fair value of CRRs are reviewed and compared with market conditions to determine reasonableness.</w:t>
      </w:r>
    </w:p>
    <w:p>
      <w:pPr>
        <w:spacing w:after="0" w:line="74" w:lineRule="exact"/>
        <w:rPr>
          <w:sz w:val="20"/>
          <w:szCs w:val="20"/>
          <w:color w:val="auto"/>
        </w:rPr>
      </w:pPr>
    </w:p>
    <w:p>
      <w:pPr>
        <w:ind w:right="340"/>
        <w:spacing w:after="0" w:line="297" w:lineRule="auto"/>
        <w:rPr>
          <w:sz w:val="20"/>
          <w:szCs w:val="20"/>
          <w:color w:val="auto"/>
        </w:rPr>
      </w:pPr>
      <w:r>
        <w:rPr>
          <w:rFonts w:ascii="Times New Roman" w:cs="Times New Roman" w:eastAsia="Times New Roman" w:hAnsi="Times New Roman"/>
          <w:sz w:val="17"/>
          <w:szCs w:val="17"/>
          <w:color w:val="auto"/>
        </w:rPr>
        <w:t>CRRs are recorded at fair value based almost entirely on the most current auction prices published by the California ISO, an objective source. Annual auction prices are published once a year, typically in the middle of November, and are the basis for valuing CRRs settling in the following year. For the CRRs settling from January 1 to December 31, the auction price inputs, at a given location, are in the following ranges for the years indicated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65405</wp:posOffset>
            </wp:positionV>
            <wp:extent cx="7132320" cy="29146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32320" cy="291465"/>
                    </a:xfrm>
                    <a:prstGeom prst="rect">
                      <a:avLst/>
                    </a:prstGeom>
                    <a:noFill/>
                  </pic:spPr>
                </pic:pic>
              </a:graphicData>
            </a:graphic>
          </wp:anchor>
        </w:drawing>
      </w:r>
    </w:p>
    <w:p>
      <w:pPr>
        <w:spacing w:after="0" w:line="95"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FFFFFF"/>
        </w:rPr>
        <w:t>CONGESTION REVENUE RIGHTS AUCTION PRICE INPUTS</w:t>
      </w: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96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0" w:type="dxa"/>
            <w:vAlign w:val="bottom"/>
          </w:tcPr>
          <w:p>
            <w:pPr>
              <w:jc w:val="right"/>
              <w:ind w:right="44"/>
              <w:spacing w:after="0"/>
              <w:rPr>
                <w:sz w:val="20"/>
                <w:szCs w:val="20"/>
                <w:color w:val="auto"/>
              </w:rPr>
            </w:pPr>
            <w:r>
              <w:rPr>
                <w:rFonts w:ascii="Arial" w:cs="Arial" w:eastAsia="Arial" w:hAnsi="Arial"/>
                <w:sz w:val="14"/>
                <w:szCs w:val="14"/>
                <w:color w:val="auto"/>
              </w:rPr>
              <w:t>Median price per</w:t>
            </w:r>
          </w:p>
        </w:tc>
      </w:tr>
      <w:tr>
        <w:trPr>
          <w:trHeight w:val="208"/>
        </w:trPr>
        <w:tc>
          <w:tcPr>
            <w:tcW w:w="39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Settlement year</w:t>
            </w:r>
          </w:p>
        </w:tc>
        <w:tc>
          <w:tcPr>
            <w:tcW w:w="332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gridSpan w:val="3"/>
          </w:tcPr>
          <w:p>
            <w:pPr>
              <w:jc w:val="center"/>
              <w:ind w:left="182"/>
              <w:spacing w:after="0"/>
              <w:rPr>
                <w:sz w:val="20"/>
                <w:szCs w:val="20"/>
                <w:color w:val="auto"/>
              </w:rPr>
            </w:pPr>
            <w:r>
              <w:rPr>
                <w:rFonts w:ascii="Arial" w:cs="Arial" w:eastAsia="Arial" w:hAnsi="Arial"/>
                <w:sz w:val="14"/>
                <w:szCs w:val="14"/>
                <w:color w:val="auto"/>
              </w:rPr>
              <w:t>Price per MWh</w:t>
            </w:r>
          </w:p>
        </w:tc>
        <w:tc>
          <w:tcPr>
            <w:tcW w:w="84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404"/>
              <w:spacing w:after="0"/>
              <w:rPr>
                <w:sz w:val="20"/>
                <w:szCs w:val="20"/>
                <w:color w:val="auto"/>
              </w:rPr>
            </w:pPr>
            <w:r>
              <w:rPr>
                <w:rFonts w:ascii="Arial" w:cs="Arial" w:eastAsia="Arial" w:hAnsi="Arial"/>
                <w:sz w:val="14"/>
                <w:szCs w:val="14"/>
                <w:color w:val="auto"/>
              </w:rPr>
              <w:t>MWh</w:t>
            </w:r>
          </w:p>
        </w:tc>
      </w:tr>
      <w:tr>
        <w:trPr>
          <w:trHeight w:val="214"/>
        </w:trPr>
        <w:tc>
          <w:tcPr>
            <w:tcW w:w="3960" w:type="dxa"/>
            <w:vAlign w:val="bottom"/>
            <w:shd w:val="clear" w:color="auto" w:fill="D4F1F5"/>
          </w:tcPr>
          <w:p>
            <w:pPr>
              <w:ind w:left="20"/>
              <w:spacing w:after="0"/>
              <w:rPr>
                <w:sz w:val="20"/>
                <w:szCs w:val="20"/>
                <w:color w:val="auto"/>
              </w:rPr>
            </w:pPr>
            <w:r>
              <w:rPr>
                <w:rFonts w:ascii="Arial" w:cs="Arial" w:eastAsia="Arial" w:hAnsi="Arial"/>
                <w:sz w:val="16"/>
                <w:szCs w:val="16"/>
                <w:color w:val="auto"/>
              </w:rPr>
              <w:t>2026</w:t>
            </w:r>
          </w:p>
        </w:tc>
        <w:tc>
          <w:tcPr>
            <w:tcW w:w="3320" w:type="dxa"/>
            <w:vAlign w:val="bottom"/>
            <w:shd w:val="clear" w:color="auto" w:fill="D4F1F5"/>
          </w:tcPr>
          <w:p>
            <w:pPr>
              <w:jc w:val="right"/>
              <w:ind w:right="239"/>
              <w:spacing w:after="0"/>
              <w:rPr>
                <w:sz w:val="20"/>
                <w:szCs w:val="20"/>
                <w:color w:val="auto"/>
              </w:rPr>
            </w:pPr>
            <w:r>
              <w:rPr>
                <w:rFonts w:ascii="Arial" w:cs="Arial" w:eastAsia="Arial" w:hAnsi="Arial"/>
                <w:sz w:val="16"/>
                <w:szCs w:val="16"/>
                <w:color w:val="auto"/>
              </w:rPr>
              <w:t>$</w:t>
            </w:r>
          </w:p>
        </w:tc>
        <w:tc>
          <w:tcPr>
            <w:tcW w:w="820" w:type="dxa"/>
            <w:vAlign w:val="bottom"/>
            <w:shd w:val="clear" w:color="auto" w:fill="D4F1F5"/>
          </w:tcPr>
          <w:p>
            <w:pPr>
              <w:jc w:val="right"/>
              <w:ind w:right="2"/>
              <w:spacing w:after="0"/>
              <w:rPr>
                <w:sz w:val="20"/>
                <w:szCs w:val="20"/>
                <w:color w:val="auto"/>
              </w:rPr>
            </w:pPr>
            <w:r>
              <w:rPr>
                <w:rFonts w:ascii="Arial" w:cs="Arial" w:eastAsia="Arial" w:hAnsi="Arial"/>
                <w:sz w:val="16"/>
                <w:szCs w:val="16"/>
                <w:color w:val="auto"/>
              </w:rPr>
              <w:t>(0.31)</w:t>
            </w:r>
          </w:p>
        </w:tc>
        <w:tc>
          <w:tcPr>
            <w:tcW w:w="240" w:type="dxa"/>
            <w:vAlign w:val="bottom"/>
            <w:shd w:val="clear" w:color="auto" w:fill="D4F1F5"/>
          </w:tcPr>
          <w:p>
            <w:pPr>
              <w:jc w:val="center"/>
              <w:spacing w:after="0"/>
              <w:rPr>
                <w:sz w:val="20"/>
                <w:szCs w:val="20"/>
                <w:color w:val="auto"/>
              </w:rPr>
            </w:pPr>
            <w:r>
              <w:rPr>
                <w:rFonts w:ascii="Arial" w:cs="Arial" w:eastAsia="Arial" w:hAnsi="Arial"/>
                <w:sz w:val="16"/>
                <w:szCs w:val="16"/>
                <w:color w:val="auto"/>
              </w:rPr>
              <w:t>to</w:t>
            </w:r>
          </w:p>
        </w:tc>
        <w:tc>
          <w:tcPr>
            <w:tcW w:w="560" w:type="dxa"/>
            <w:vAlign w:val="bottom"/>
            <w:shd w:val="clear" w:color="auto" w:fill="D4F1F5"/>
          </w:tcPr>
          <w:p>
            <w:pPr>
              <w:jc w:val="right"/>
              <w:ind w:right="319"/>
              <w:spacing w:after="0"/>
              <w:rPr>
                <w:sz w:val="20"/>
                <w:szCs w:val="20"/>
                <w:color w:val="auto"/>
              </w:rPr>
            </w:pPr>
            <w:r>
              <w:rPr>
                <w:rFonts w:ascii="Arial" w:cs="Arial" w:eastAsia="Arial" w:hAnsi="Arial"/>
                <w:sz w:val="16"/>
                <w:szCs w:val="16"/>
                <w:color w:val="auto"/>
              </w:rPr>
              <w:t>$</w:t>
            </w:r>
          </w:p>
        </w:tc>
        <w:tc>
          <w:tcPr>
            <w:tcW w:w="840" w:type="dxa"/>
            <w:vAlign w:val="bottom"/>
            <w:shd w:val="clear" w:color="auto" w:fill="D4F1F5"/>
          </w:tcPr>
          <w:p>
            <w:pPr>
              <w:jc w:val="right"/>
              <w:ind w:right="139"/>
              <w:spacing w:after="0"/>
              <w:rPr>
                <w:sz w:val="20"/>
                <w:szCs w:val="20"/>
                <w:color w:val="auto"/>
              </w:rPr>
            </w:pPr>
            <w:r>
              <w:rPr>
                <w:rFonts w:ascii="Arial" w:cs="Arial" w:eastAsia="Arial" w:hAnsi="Arial"/>
                <w:sz w:val="16"/>
                <w:szCs w:val="16"/>
                <w:color w:val="auto"/>
              </w:rPr>
              <w:t>13.76</w:t>
            </w:r>
          </w:p>
        </w:tc>
        <w:tc>
          <w:tcPr>
            <w:tcW w:w="300" w:type="dxa"/>
            <w:vAlign w:val="bottom"/>
            <w:shd w:val="clear" w:color="auto" w:fill="D4F1F5"/>
          </w:tcPr>
          <w:p>
            <w:pPr>
              <w:jc w:val="right"/>
              <w:spacing w:after="0"/>
              <w:rPr>
                <w:sz w:val="20"/>
                <w:szCs w:val="20"/>
                <w:color w:val="auto"/>
              </w:rPr>
            </w:pPr>
            <w:r>
              <w:rPr>
                <w:rFonts w:ascii="Arial" w:cs="Arial" w:eastAsia="Arial" w:hAnsi="Arial"/>
                <w:sz w:val="16"/>
                <w:szCs w:val="16"/>
                <w:color w:val="auto"/>
              </w:rPr>
              <w:t>$</w:t>
            </w:r>
          </w:p>
        </w:tc>
        <w:tc>
          <w:tcPr>
            <w:tcW w:w="1200" w:type="dxa"/>
            <w:vAlign w:val="bottom"/>
            <w:shd w:val="clear" w:color="auto" w:fill="D4F1F5"/>
          </w:tcPr>
          <w:p>
            <w:pPr>
              <w:jc w:val="right"/>
              <w:ind w:right="4"/>
              <w:spacing w:after="0"/>
              <w:rPr>
                <w:sz w:val="20"/>
                <w:szCs w:val="20"/>
                <w:color w:val="auto"/>
              </w:rPr>
            </w:pPr>
            <w:r>
              <w:rPr>
                <w:rFonts w:ascii="Arial" w:cs="Arial" w:eastAsia="Arial" w:hAnsi="Arial"/>
                <w:sz w:val="16"/>
                <w:szCs w:val="16"/>
                <w:color w:val="auto"/>
              </w:rPr>
              <w:t>4.05</w:t>
            </w:r>
          </w:p>
        </w:tc>
      </w:tr>
      <w:tr>
        <w:trPr>
          <w:trHeight w:val="223"/>
        </w:trPr>
        <w:tc>
          <w:tcPr>
            <w:tcW w:w="3960" w:type="dxa"/>
            <w:vAlign w:val="bottom"/>
            <w:tcBorders>
              <w:bottom w:val="single" w:sz="8" w:color="ACACAC"/>
            </w:tcBorders>
          </w:tcPr>
          <w:p>
            <w:pPr>
              <w:ind w:left="20"/>
              <w:spacing w:after="0"/>
              <w:rPr>
                <w:sz w:val="20"/>
                <w:szCs w:val="20"/>
                <w:color w:val="auto"/>
              </w:rPr>
            </w:pPr>
            <w:r>
              <w:rPr>
                <w:rFonts w:ascii="Arial" w:cs="Arial" w:eastAsia="Arial" w:hAnsi="Arial"/>
                <w:sz w:val="16"/>
                <w:szCs w:val="16"/>
                <w:color w:val="auto"/>
              </w:rPr>
              <w:t>2025</w:t>
            </w:r>
          </w:p>
        </w:tc>
        <w:tc>
          <w:tcPr>
            <w:tcW w:w="3320" w:type="dxa"/>
            <w:vAlign w:val="bottom"/>
            <w:tcBorders>
              <w:bottom w:val="single" w:sz="8" w:color="ACACAC"/>
            </w:tcBorders>
          </w:tcPr>
          <w:p>
            <w:pPr>
              <w:spacing w:after="0"/>
              <w:rPr>
                <w:sz w:val="19"/>
                <w:szCs w:val="19"/>
                <w:color w:val="auto"/>
              </w:rPr>
            </w:pPr>
          </w:p>
        </w:tc>
        <w:tc>
          <w:tcPr>
            <w:tcW w:w="820" w:type="dxa"/>
            <w:vAlign w:val="bottom"/>
            <w:tcBorders>
              <w:bottom w:val="single" w:sz="8" w:color="ACACAC"/>
            </w:tcBorders>
          </w:tcPr>
          <w:p>
            <w:pPr>
              <w:jc w:val="right"/>
              <w:ind w:right="2"/>
              <w:spacing w:after="0"/>
              <w:rPr>
                <w:sz w:val="20"/>
                <w:szCs w:val="20"/>
                <w:color w:val="auto"/>
              </w:rPr>
            </w:pPr>
            <w:r>
              <w:rPr>
                <w:rFonts w:ascii="Arial" w:cs="Arial" w:eastAsia="Arial" w:hAnsi="Arial"/>
                <w:sz w:val="16"/>
                <w:szCs w:val="16"/>
                <w:color w:val="auto"/>
              </w:rPr>
              <w:t>(7.38)</w:t>
            </w:r>
          </w:p>
        </w:tc>
        <w:tc>
          <w:tcPr>
            <w:tcW w:w="240" w:type="dxa"/>
            <w:vAlign w:val="bottom"/>
            <w:tcBorders>
              <w:bottom w:val="single" w:sz="8" w:color="ACACAC"/>
            </w:tcBorders>
          </w:tcPr>
          <w:p>
            <w:pPr>
              <w:jc w:val="center"/>
              <w:spacing w:after="0"/>
              <w:rPr>
                <w:sz w:val="20"/>
                <w:szCs w:val="20"/>
                <w:color w:val="auto"/>
              </w:rPr>
            </w:pPr>
            <w:r>
              <w:rPr>
                <w:rFonts w:ascii="Arial" w:cs="Arial" w:eastAsia="Arial" w:hAnsi="Arial"/>
                <w:sz w:val="16"/>
                <w:szCs w:val="16"/>
                <w:color w:val="auto"/>
              </w:rPr>
              <w:t>to</w:t>
            </w:r>
          </w:p>
        </w:tc>
        <w:tc>
          <w:tcPr>
            <w:tcW w:w="560" w:type="dxa"/>
            <w:vAlign w:val="bottom"/>
            <w:tcBorders>
              <w:bottom w:val="single" w:sz="8" w:color="ACACAC"/>
            </w:tcBorders>
          </w:tcPr>
          <w:p>
            <w:pPr>
              <w:spacing w:after="0"/>
              <w:rPr>
                <w:sz w:val="19"/>
                <w:szCs w:val="19"/>
                <w:color w:val="auto"/>
              </w:rPr>
            </w:pPr>
          </w:p>
        </w:tc>
        <w:tc>
          <w:tcPr>
            <w:tcW w:w="840" w:type="dxa"/>
            <w:vAlign w:val="bottom"/>
            <w:tcBorders>
              <w:bottom w:val="single" w:sz="8" w:color="ACACAC"/>
            </w:tcBorders>
          </w:tcPr>
          <w:p>
            <w:pPr>
              <w:jc w:val="right"/>
              <w:ind w:right="139"/>
              <w:spacing w:after="0"/>
              <w:rPr>
                <w:sz w:val="20"/>
                <w:szCs w:val="20"/>
                <w:color w:val="auto"/>
              </w:rPr>
            </w:pPr>
            <w:r>
              <w:rPr>
                <w:rFonts w:ascii="Arial" w:cs="Arial" w:eastAsia="Arial" w:hAnsi="Arial"/>
                <w:sz w:val="16"/>
                <w:szCs w:val="16"/>
                <w:color w:val="auto"/>
              </w:rPr>
              <w:t>15.54</w:t>
            </w:r>
          </w:p>
        </w:tc>
        <w:tc>
          <w:tcPr>
            <w:tcW w:w="300" w:type="dxa"/>
            <w:vAlign w:val="bottom"/>
            <w:tcBorders>
              <w:bottom w:val="single" w:sz="8" w:color="ACACAC"/>
            </w:tcBorders>
          </w:tcPr>
          <w:p>
            <w:pPr>
              <w:spacing w:after="0"/>
              <w:rPr>
                <w:sz w:val="19"/>
                <w:szCs w:val="19"/>
                <w:color w:val="auto"/>
              </w:rPr>
            </w:pPr>
          </w:p>
        </w:tc>
        <w:tc>
          <w:tcPr>
            <w:tcW w:w="1200" w:type="dxa"/>
            <w:vAlign w:val="bottom"/>
            <w:tcBorders>
              <w:bottom w:val="single" w:sz="8" w:color="ACACAC"/>
            </w:tcBorders>
          </w:tcPr>
          <w:p>
            <w:pPr>
              <w:jc w:val="right"/>
              <w:ind w:right="4"/>
              <w:spacing w:after="0"/>
              <w:rPr>
                <w:sz w:val="20"/>
                <w:szCs w:val="20"/>
                <w:color w:val="auto"/>
              </w:rPr>
            </w:pPr>
            <w:r>
              <w:rPr>
                <w:rFonts w:ascii="Arial" w:cs="Arial" w:eastAsia="Arial" w:hAnsi="Arial"/>
                <w:sz w:val="16"/>
                <w:szCs w:val="16"/>
                <w:color w:val="auto"/>
              </w:rPr>
              <w:t>0.01</w:t>
            </w:r>
          </w:p>
        </w:tc>
      </w:tr>
    </w:tbl>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150495</wp:posOffset>
            </wp:positionV>
            <wp:extent cx="7157720"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impact associated with discounting is not significant. Because these auction prices are a less observable input, these instruments are classified as Level</w:t>
      </w:r>
    </w:p>
    <w:p>
      <w:pPr>
        <w:spacing w:after="0" w:line="27" w:lineRule="exact"/>
        <w:rPr>
          <w:sz w:val="20"/>
          <w:szCs w:val="20"/>
          <w:color w:val="auto"/>
        </w:rPr>
      </w:pPr>
    </w:p>
    <w:p>
      <w:pPr>
        <w:ind w:right="60" w:firstLine="8"/>
        <w:spacing w:after="0" w:line="269" w:lineRule="auto"/>
        <w:tabs>
          <w:tab w:leader="none" w:pos="1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fair value of these instruments is derived from auction price differences between two locations. Positive values between two locations represent expected future reductions in congestion costs, whereas negative values between two locations represent expected future charges. Valuation of our CRRs is sensitive to a change in auction price. If auction prices at one location increase (decrease) relative to another location, this could result in a significantly higher (lower) fair value measurement. We summarize CRR volumes in Note 8.</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Other Sempra</w:t>
      </w:r>
    </w:p>
    <w:p>
      <w:pPr>
        <w:spacing w:after="0" w:line="45" w:lineRule="exact"/>
        <w:rPr>
          <w:sz w:val="20"/>
          <w:szCs w:val="20"/>
          <w:color w:val="auto"/>
        </w:rPr>
      </w:pPr>
    </w:p>
    <w:p>
      <w:pPr>
        <w:ind w:right="560"/>
        <w:spacing w:after="0" w:line="302" w:lineRule="auto"/>
        <w:rPr>
          <w:sz w:val="20"/>
          <w:szCs w:val="20"/>
          <w:color w:val="auto"/>
        </w:rPr>
      </w:pPr>
      <w:r>
        <w:rPr>
          <w:rFonts w:ascii="Times New Roman" w:cs="Times New Roman" w:eastAsia="Times New Roman" w:hAnsi="Times New Roman"/>
          <w:sz w:val="18"/>
          <w:szCs w:val="18"/>
          <w:b w:val="1"/>
          <w:bCs w:val="1"/>
          <w:color w:val="auto"/>
        </w:rPr>
        <w:t xml:space="preserve">Support Agreement. </w:t>
      </w:r>
      <w:r>
        <w:rPr>
          <w:rFonts w:ascii="Times New Roman" w:cs="Times New Roman" w:eastAsia="Times New Roman" w:hAnsi="Times New Roman"/>
          <w:sz w:val="18"/>
          <w:szCs w:val="18"/>
          <w:color w:val="auto"/>
        </w:rPr>
        <w:t>The table below sets forth reconciliations of changes in the fair value of Sempra’s Support Agreement for the benefit of CFIN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classified as Level 3 in the fair value hierarchy.</w:t>
      </w:r>
    </w:p>
    <w:p>
      <w:pPr>
        <w:spacing w:after="0" w:line="95"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FFFFFF"/>
        </w:rPr>
        <w:t>LEVEL 3 RECONCILIATIONS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-115570</wp:posOffset>
            </wp:positionV>
            <wp:extent cx="7132320" cy="26543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32320" cy="265430"/>
                    </a:xfrm>
                    <a:prstGeom prst="rect">
                      <a:avLst/>
                    </a:prstGeom>
                    <a:noFill/>
                  </pic:spPr>
                </pic:pic>
              </a:graphicData>
            </a:graphic>
          </wp:anchor>
        </w:drawing>
      </w:r>
    </w:p>
    <w:p>
      <w:pPr>
        <w:spacing w:after="0" w:line="19" w:lineRule="exact"/>
        <w:rPr>
          <w:sz w:val="20"/>
          <w:szCs w:val="20"/>
          <w:color w:val="auto"/>
        </w:rPr>
      </w:pPr>
    </w:p>
    <w:p>
      <w:pPr>
        <w:ind w:left="20"/>
        <w:spacing w:after="0"/>
        <w:rPr>
          <w:sz w:val="20"/>
          <w:szCs w:val="20"/>
          <w:color w:val="auto"/>
        </w:rPr>
      </w:pPr>
      <w:r>
        <w:rPr>
          <w:rFonts w:ascii="Arial" w:cs="Arial" w:eastAsia="Arial" w:hAnsi="Arial"/>
          <w:sz w:val="14"/>
          <w:szCs w:val="14"/>
          <w:i w:val="1"/>
          <w:iCs w:val="1"/>
          <w:color w:val="FFFFFF"/>
        </w:rPr>
        <w:t>(Dollars in millions)</w:t>
      </w:r>
    </w:p>
    <w:p>
      <w:pPr>
        <w:spacing w:after="0" w:line="53"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8240" w:type="dxa"/>
            <w:vAlign w:val="bottom"/>
          </w:tcPr>
          <w:p>
            <w:pPr>
              <w:spacing w:after="0"/>
              <w:rPr>
                <w:sz w:val="16"/>
                <w:szCs w:val="16"/>
                <w:color w:val="auto"/>
              </w:rPr>
            </w:pPr>
          </w:p>
        </w:tc>
        <w:tc>
          <w:tcPr>
            <w:tcW w:w="2620" w:type="dxa"/>
            <w:vAlign w:val="bottom"/>
            <w:tcBorders>
              <w:bottom w:val="single" w:sz="8" w:color="auto"/>
            </w:tcBorders>
            <w:gridSpan w:val="3"/>
          </w:tcPr>
          <w:p>
            <w:pPr>
              <w:jc w:val="right"/>
              <w:ind w:right="41"/>
              <w:spacing w:after="0"/>
              <w:rPr>
                <w:sz w:val="20"/>
                <w:szCs w:val="20"/>
                <w:color w:val="auto"/>
              </w:rPr>
            </w:pPr>
            <w:r>
              <w:rPr>
                <w:rFonts w:ascii="Arial" w:cs="Arial" w:eastAsia="Arial" w:hAnsi="Arial"/>
                <w:sz w:val="14"/>
                <w:szCs w:val="14"/>
                <w:color w:val="auto"/>
              </w:rPr>
              <w:t>Three months ended March 31,</w:t>
            </w:r>
          </w:p>
        </w:tc>
        <w:tc>
          <w:tcPr>
            <w:tcW w:w="380" w:type="dxa"/>
            <w:vAlign w:val="bottom"/>
            <w:tcBorders>
              <w:bottom w:val="single" w:sz="8" w:color="auto"/>
            </w:tcBorders>
          </w:tcPr>
          <w:p>
            <w:pPr>
              <w:spacing w:after="0"/>
              <w:rPr>
                <w:sz w:val="16"/>
                <w:szCs w:val="16"/>
                <w:color w:val="auto"/>
              </w:rPr>
            </w:pPr>
          </w:p>
        </w:tc>
      </w:tr>
      <w:tr>
        <w:trPr>
          <w:trHeight w:val="209"/>
        </w:trPr>
        <w:tc>
          <w:tcPr>
            <w:tcW w:w="82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83"/>
              <w:spacing w:after="0"/>
              <w:rPr>
                <w:sz w:val="20"/>
                <w:szCs w:val="20"/>
                <w:color w:val="auto"/>
              </w:rPr>
            </w:pPr>
            <w:r>
              <w:rPr>
                <w:rFonts w:ascii="Arial" w:cs="Arial" w:eastAsia="Arial" w:hAnsi="Arial"/>
                <w:sz w:val="14"/>
                <w:szCs w:val="14"/>
                <w:color w:val="auto"/>
              </w:rPr>
              <w:t>2026</w:t>
            </w:r>
          </w:p>
        </w:tc>
        <w:tc>
          <w:tcPr>
            <w:tcW w:w="4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101"/>
              <w:spacing w:after="0"/>
              <w:rPr>
                <w:sz w:val="20"/>
                <w:szCs w:val="20"/>
                <w:color w:val="auto"/>
              </w:rPr>
            </w:pPr>
            <w:r>
              <w:rPr>
                <w:rFonts w:ascii="Arial" w:cs="Arial" w:eastAsia="Arial" w:hAnsi="Arial"/>
                <w:sz w:val="14"/>
                <w:szCs w:val="14"/>
                <w:color w:val="auto"/>
              </w:rPr>
              <w:t>2025</w:t>
            </w:r>
          </w:p>
        </w:tc>
        <w:tc>
          <w:tcPr>
            <w:tcW w:w="380" w:type="dxa"/>
            <w:vAlign w:val="bottom"/>
            <w:tcBorders>
              <w:bottom w:val="single" w:sz="8" w:color="auto"/>
            </w:tcBorders>
          </w:tcPr>
          <w:p>
            <w:pPr>
              <w:spacing w:after="0"/>
              <w:rPr>
                <w:sz w:val="18"/>
                <w:szCs w:val="18"/>
                <w:color w:val="auto"/>
              </w:rPr>
            </w:pPr>
          </w:p>
        </w:tc>
      </w:tr>
      <w:tr>
        <w:trPr>
          <w:trHeight w:val="214"/>
        </w:trPr>
        <w:tc>
          <w:tcPr>
            <w:tcW w:w="8240" w:type="dxa"/>
            <w:vAlign w:val="bottom"/>
            <w:shd w:val="clear" w:color="auto" w:fill="D4F1F5"/>
          </w:tcPr>
          <w:p>
            <w:pPr>
              <w:ind w:left="20"/>
              <w:spacing w:after="0"/>
              <w:rPr>
                <w:sz w:val="20"/>
                <w:szCs w:val="20"/>
                <w:color w:val="auto"/>
              </w:rPr>
            </w:pPr>
            <w:r>
              <w:rPr>
                <w:rFonts w:ascii="Arial" w:cs="Arial" w:eastAsia="Arial" w:hAnsi="Arial"/>
                <w:sz w:val="16"/>
                <w:szCs w:val="16"/>
                <w:color w:val="auto"/>
              </w:rPr>
              <w:t>Balance at January 1</w:t>
            </w:r>
          </w:p>
        </w:tc>
        <w:tc>
          <w:tcPr>
            <w:tcW w:w="1040" w:type="dxa"/>
            <w:vAlign w:val="bottom"/>
            <w:shd w:val="clear" w:color="auto" w:fill="D4F1F5"/>
          </w:tcPr>
          <w:p>
            <w:pPr>
              <w:jc w:val="right"/>
              <w:ind w:right="843"/>
              <w:spacing w:after="0"/>
              <w:rPr>
                <w:sz w:val="20"/>
                <w:szCs w:val="20"/>
                <w:color w:val="auto"/>
              </w:rPr>
            </w:pPr>
            <w:r>
              <w:rPr>
                <w:rFonts w:ascii="Arial" w:cs="Arial" w:eastAsia="Arial" w:hAnsi="Arial"/>
                <w:sz w:val="16"/>
                <w:szCs w:val="16"/>
                <w:color w:val="auto"/>
              </w:rPr>
              <w:t>$</w:t>
            </w:r>
          </w:p>
        </w:tc>
        <w:tc>
          <w:tcPr>
            <w:tcW w:w="460" w:type="dxa"/>
            <w:vAlign w:val="bottom"/>
            <w:shd w:val="clear" w:color="auto" w:fill="D4F1F5"/>
          </w:tcPr>
          <w:p>
            <w:pPr>
              <w:jc w:val="right"/>
              <w:ind w:right="39"/>
              <w:spacing w:after="0"/>
              <w:rPr>
                <w:sz w:val="20"/>
                <w:szCs w:val="20"/>
                <w:color w:val="auto"/>
              </w:rPr>
            </w:pPr>
            <w:r>
              <w:rPr>
                <w:rFonts w:ascii="Arial" w:cs="Arial" w:eastAsia="Arial" w:hAnsi="Arial"/>
                <w:sz w:val="16"/>
                <w:szCs w:val="16"/>
                <w:color w:val="auto"/>
              </w:rPr>
              <w:t>41</w:t>
            </w:r>
          </w:p>
        </w:tc>
        <w:tc>
          <w:tcPr>
            <w:tcW w:w="1120" w:type="dxa"/>
            <w:vAlign w:val="bottom"/>
            <w:shd w:val="clear" w:color="auto" w:fill="D4F1F5"/>
          </w:tcPr>
          <w:p>
            <w:pPr>
              <w:jc w:val="right"/>
              <w:ind w:right="881"/>
              <w:spacing w:after="0"/>
              <w:rPr>
                <w:sz w:val="20"/>
                <w:szCs w:val="20"/>
                <w:color w:val="auto"/>
              </w:rPr>
            </w:pPr>
            <w:r>
              <w:rPr>
                <w:rFonts w:ascii="Arial" w:cs="Arial" w:eastAsia="Arial" w:hAnsi="Arial"/>
                <w:sz w:val="16"/>
                <w:szCs w:val="16"/>
                <w:color w:val="auto"/>
              </w:rPr>
              <w:t>$</w:t>
            </w:r>
          </w:p>
        </w:tc>
        <w:tc>
          <w:tcPr>
            <w:tcW w:w="380" w:type="dxa"/>
            <w:vAlign w:val="bottom"/>
            <w:shd w:val="clear" w:color="auto" w:fill="D4F1F5"/>
          </w:tcPr>
          <w:p>
            <w:pPr>
              <w:jc w:val="right"/>
              <w:spacing w:after="0"/>
              <w:rPr>
                <w:sz w:val="20"/>
                <w:szCs w:val="20"/>
                <w:color w:val="auto"/>
              </w:rPr>
            </w:pPr>
            <w:r>
              <w:rPr>
                <w:rFonts w:ascii="Arial" w:cs="Arial" w:eastAsia="Arial" w:hAnsi="Arial"/>
                <w:sz w:val="16"/>
                <w:szCs w:val="16"/>
                <w:color w:val="auto"/>
              </w:rPr>
              <w:t>25</w:t>
            </w:r>
          </w:p>
        </w:tc>
      </w:tr>
      <w:tr>
        <w:trPr>
          <w:trHeight w:val="216"/>
        </w:trPr>
        <w:tc>
          <w:tcPr>
            <w:tcW w:w="8240" w:type="dxa"/>
            <w:vAlign w:val="bottom"/>
          </w:tcPr>
          <w:p>
            <w:pPr>
              <w:ind w:left="220"/>
              <w:spacing w:after="0" w:line="216" w:lineRule="exact"/>
              <w:rPr>
                <w:sz w:val="20"/>
                <w:szCs w:val="20"/>
                <w:color w:val="auto"/>
              </w:rPr>
            </w:pPr>
            <w:r>
              <w:rPr>
                <w:rFonts w:ascii="Arial" w:cs="Arial" w:eastAsia="Arial" w:hAnsi="Arial"/>
                <w:sz w:val="16"/>
                <w:szCs w:val="16"/>
                <w:color w:val="auto"/>
              </w:rPr>
              <w:t>Realized and unrealized gains (losses), net</w:t>
            </w:r>
            <w:r>
              <w:rPr>
                <w:rFonts w:ascii="Arial" w:cs="Arial" w:eastAsia="Arial" w:hAnsi="Arial"/>
                <w:sz w:val="21"/>
                <w:szCs w:val="21"/>
                <w:color w:val="auto"/>
                <w:vertAlign w:val="superscript"/>
              </w:rPr>
              <w:t>(1)</w:t>
            </w:r>
          </w:p>
        </w:tc>
        <w:tc>
          <w:tcPr>
            <w:tcW w:w="1040" w:type="dxa"/>
            <w:vAlign w:val="bottom"/>
          </w:tcPr>
          <w:p>
            <w:pPr>
              <w:spacing w:after="0"/>
              <w:rPr>
                <w:sz w:val="18"/>
                <w:szCs w:val="18"/>
                <w:color w:val="auto"/>
              </w:rPr>
            </w:pPr>
          </w:p>
        </w:tc>
        <w:tc>
          <w:tcPr>
            <w:tcW w:w="460" w:type="dxa"/>
            <w:vAlign w:val="bottom"/>
          </w:tcPr>
          <w:p>
            <w:pPr>
              <w:jc w:val="right"/>
              <w:ind w:right="39"/>
              <w:spacing w:after="0"/>
              <w:rPr>
                <w:sz w:val="20"/>
                <w:szCs w:val="20"/>
                <w:color w:val="auto"/>
              </w:rPr>
            </w:pPr>
            <w:r>
              <w:rPr>
                <w:rFonts w:ascii="Arial" w:cs="Arial" w:eastAsia="Arial" w:hAnsi="Arial"/>
                <w:sz w:val="16"/>
                <w:szCs w:val="16"/>
                <w:color w:val="auto"/>
              </w:rPr>
              <w:t>2</w:t>
            </w:r>
          </w:p>
        </w:tc>
        <w:tc>
          <w:tcPr>
            <w:tcW w:w="112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6"/>
                <w:szCs w:val="16"/>
                <w:color w:val="auto"/>
              </w:rPr>
              <w:t>15</w:t>
            </w:r>
          </w:p>
        </w:tc>
      </w:tr>
      <w:tr>
        <w:trPr>
          <w:trHeight w:val="216"/>
        </w:trPr>
        <w:tc>
          <w:tcPr>
            <w:tcW w:w="8240" w:type="dxa"/>
            <w:vAlign w:val="bottom"/>
            <w:shd w:val="clear" w:color="auto" w:fill="D4F1F5"/>
          </w:tcPr>
          <w:p>
            <w:pPr>
              <w:ind w:left="220"/>
              <w:spacing w:after="0"/>
              <w:rPr>
                <w:sz w:val="20"/>
                <w:szCs w:val="20"/>
                <w:color w:val="auto"/>
              </w:rPr>
            </w:pPr>
            <w:r>
              <w:rPr>
                <w:rFonts w:ascii="Arial" w:cs="Arial" w:eastAsia="Arial" w:hAnsi="Arial"/>
                <w:sz w:val="16"/>
                <w:szCs w:val="16"/>
                <w:color w:val="auto"/>
              </w:rPr>
              <w:t>Settlements</w:t>
            </w:r>
          </w:p>
        </w:tc>
        <w:tc>
          <w:tcPr>
            <w:tcW w:w="1040" w:type="dxa"/>
            <w:vAlign w:val="bottom"/>
            <w:tcBorders>
              <w:bottom w:val="single" w:sz="8" w:color="auto"/>
            </w:tcBorders>
            <w:shd w:val="clear" w:color="auto" w:fill="D4F1F5"/>
          </w:tcPr>
          <w:p>
            <w:pPr>
              <w:spacing w:after="0"/>
              <w:rPr>
                <w:sz w:val="18"/>
                <w:szCs w:val="18"/>
                <w:color w:val="auto"/>
              </w:rPr>
            </w:pPr>
          </w:p>
        </w:tc>
        <w:tc>
          <w:tcPr>
            <w:tcW w:w="460" w:type="dxa"/>
            <w:vAlign w:val="bottom"/>
            <w:tcBorders>
              <w:bottom w:val="single" w:sz="8" w:color="auto"/>
            </w:tcBorders>
            <w:shd w:val="clear" w:color="auto" w:fill="D4F1F5"/>
          </w:tcPr>
          <w:p>
            <w:pPr>
              <w:jc w:val="right"/>
              <w:spacing w:after="0"/>
              <w:rPr>
                <w:sz w:val="20"/>
                <w:szCs w:val="20"/>
                <w:color w:val="auto"/>
              </w:rPr>
            </w:pPr>
            <w:r>
              <w:rPr>
                <w:rFonts w:ascii="Arial" w:cs="Arial" w:eastAsia="Arial" w:hAnsi="Arial"/>
                <w:sz w:val="16"/>
                <w:szCs w:val="16"/>
                <w:color w:val="auto"/>
              </w:rPr>
              <w:t>(2)</w:t>
            </w:r>
          </w:p>
        </w:tc>
        <w:tc>
          <w:tcPr>
            <w:tcW w:w="1120" w:type="dxa"/>
            <w:vAlign w:val="bottom"/>
            <w:tcBorders>
              <w:bottom w:val="single" w:sz="8" w:color="auto"/>
            </w:tcBorders>
            <w:shd w:val="clear" w:color="auto" w:fill="D4F1F5"/>
          </w:tcPr>
          <w:p>
            <w:pPr>
              <w:spacing w:after="0"/>
              <w:rPr>
                <w:sz w:val="18"/>
                <w:szCs w:val="18"/>
                <w:color w:val="auto"/>
              </w:rPr>
            </w:pPr>
          </w:p>
        </w:tc>
        <w:tc>
          <w:tcPr>
            <w:tcW w:w="380" w:type="dxa"/>
            <w:vAlign w:val="bottom"/>
            <w:tcBorders>
              <w:bottom w:val="single" w:sz="8" w:color="auto"/>
            </w:tcBorders>
            <w:shd w:val="clear" w:color="auto" w:fill="D4F1F5"/>
          </w:tcPr>
          <w:p>
            <w:pPr>
              <w:jc w:val="right"/>
              <w:spacing w:after="0"/>
              <w:rPr>
                <w:sz w:val="20"/>
                <w:szCs w:val="20"/>
                <w:color w:val="auto"/>
              </w:rPr>
            </w:pPr>
            <w:r>
              <w:rPr>
                <w:rFonts w:ascii="Arial" w:cs="Arial" w:eastAsia="Arial" w:hAnsi="Arial"/>
                <w:sz w:val="16"/>
                <w:szCs w:val="16"/>
                <w:color w:val="auto"/>
              </w:rPr>
              <w:t>(2)</w:t>
            </w:r>
          </w:p>
        </w:tc>
      </w:tr>
      <w:tr>
        <w:trPr>
          <w:trHeight w:val="217"/>
        </w:trPr>
        <w:tc>
          <w:tcPr>
            <w:tcW w:w="8240" w:type="dxa"/>
            <w:vAlign w:val="bottom"/>
            <w:tcBorders>
              <w:bottom w:val="single" w:sz="8" w:color="D4F1F5"/>
            </w:tcBorders>
          </w:tcPr>
          <w:p>
            <w:pPr>
              <w:ind w:left="20"/>
              <w:spacing w:after="0" w:line="210" w:lineRule="exact"/>
              <w:rPr>
                <w:sz w:val="20"/>
                <w:szCs w:val="20"/>
                <w:color w:val="auto"/>
              </w:rPr>
            </w:pPr>
            <w:r>
              <w:rPr>
                <w:rFonts w:ascii="Arial" w:cs="Arial" w:eastAsia="Arial" w:hAnsi="Arial"/>
                <w:sz w:val="16"/>
                <w:szCs w:val="16"/>
                <w:color w:val="auto"/>
              </w:rPr>
              <w:t>Balance at March 31</w:t>
            </w:r>
            <w:r>
              <w:rPr>
                <w:rFonts w:ascii="Arial" w:cs="Arial" w:eastAsia="Arial" w:hAnsi="Arial"/>
                <w:sz w:val="21"/>
                <w:szCs w:val="21"/>
                <w:color w:val="auto"/>
                <w:vertAlign w:val="superscript"/>
              </w:rPr>
              <w:t>(2)</w:t>
            </w:r>
          </w:p>
        </w:tc>
        <w:tc>
          <w:tcPr>
            <w:tcW w:w="1040" w:type="dxa"/>
            <w:vAlign w:val="bottom"/>
            <w:tcBorders>
              <w:bottom w:val="single" w:sz="8" w:color="auto"/>
            </w:tcBorders>
          </w:tcPr>
          <w:p>
            <w:pPr>
              <w:jc w:val="right"/>
              <w:ind w:right="843"/>
              <w:spacing w:after="0"/>
              <w:rPr>
                <w:sz w:val="20"/>
                <w:szCs w:val="20"/>
                <w:color w:val="auto"/>
              </w:rPr>
            </w:pPr>
            <w:r>
              <w:rPr>
                <w:rFonts w:ascii="Arial" w:cs="Arial" w:eastAsia="Arial" w:hAnsi="Arial"/>
                <w:sz w:val="16"/>
                <w:szCs w:val="16"/>
                <w:color w:val="auto"/>
              </w:rPr>
              <w:t>$</w:t>
            </w:r>
          </w:p>
        </w:tc>
        <w:tc>
          <w:tcPr>
            <w:tcW w:w="4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41</w:t>
            </w:r>
          </w:p>
        </w:tc>
        <w:tc>
          <w:tcPr>
            <w:tcW w:w="1120" w:type="dxa"/>
            <w:vAlign w:val="bottom"/>
            <w:tcBorders>
              <w:bottom w:val="single" w:sz="8" w:color="auto"/>
            </w:tcBorders>
          </w:tcPr>
          <w:p>
            <w:pPr>
              <w:jc w:val="right"/>
              <w:ind w:right="881"/>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w:t>
            </w:r>
          </w:p>
        </w:tc>
      </w:tr>
      <w:tr>
        <w:trPr>
          <w:trHeight w:val="223"/>
        </w:trPr>
        <w:tc>
          <w:tcPr>
            <w:tcW w:w="8240" w:type="dxa"/>
            <w:vAlign w:val="bottom"/>
            <w:tcBorders>
              <w:bottom w:val="single" w:sz="8" w:color="ACACAC"/>
            </w:tcBorders>
            <w:shd w:val="clear" w:color="auto" w:fill="D4F1F5"/>
          </w:tcPr>
          <w:p>
            <w:pPr>
              <w:ind w:left="20"/>
              <w:spacing w:after="0"/>
              <w:rPr>
                <w:sz w:val="20"/>
                <w:szCs w:val="20"/>
                <w:color w:val="auto"/>
              </w:rPr>
            </w:pPr>
            <w:r>
              <w:rPr>
                <w:rFonts w:ascii="Arial" w:cs="Arial" w:eastAsia="Arial" w:hAnsi="Arial"/>
                <w:sz w:val="16"/>
                <w:szCs w:val="16"/>
                <w:color w:val="auto"/>
              </w:rPr>
              <w:t>Change in unrealized gains (losses) relating to instruments still held at March 31</w:t>
            </w:r>
          </w:p>
        </w:tc>
        <w:tc>
          <w:tcPr>
            <w:tcW w:w="1040" w:type="dxa"/>
            <w:vAlign w:val="bottom"/>
            <w:tcBorders>
              <w:bottom w:val="single" w:sz="8" w:color="ACACAC"/>
            </w:tcBorders>
            <w:shd w:val="clear" w:color="auto" w:fill="D4F1F5"/>
          </w:tcPr>
          <w:p>
            <w:pPr>
              <w:jc w:val="right"/>
              <w:ind w:right="843"/>
              <w:spacing w:after="0"/>
              <w:rPr>
                <w:sz w:val="20"/>
                <w:szCs w:val="20"/>
                <w:color w:val="auto"/>
              </w:rPr>
            </w:pPr>
            <w:r>
              <w:rPr>
                <w:rFonts w:ascii="Arial" w:cs="Arial" w:eastAsia="Arial" w:hAnsi="Arial"/>
                <w:sz w:val="16"/>
                <w:szCs w:val="16"/>
                <w:color w:val="auto"/>
              </w:rPr>
              <w:t>$</w:t>
            </w:r>
          </w:p>
        </w:tc>
        <w:tc>
          <w:tcPr>
            <w:tcW w:w="460" w:type="dxa"/>
            <w:vAlign w:val="bottom"/>
            <w:tcBorders>
              <w:bottom w:val="single" w:sz="8" w:color="ACACAC"/>
            </w:tcBorders>
            <w:shd w:val="clear" w:color="auto" w:fill="D4F1F5"/>
          </w:tcPr>
          <w:p>
            <w:pPr>
              <w:jc w:val="right"/>
              <w:ind w:right="39"/>
              <w:spacing w:after="0"/>
              <w:rPr>
                <w:sz w:val="20"/>
                <w:szCs w:val="20"/>
                <w:color w:val="auto"/>
              </w:rPr>
            </w:pPr>
            <w:r>
              <w:rPr>
                <w:rFonts w:ascii="Arial" w:cs="Arial" w:eastAsia="Arial" w:hAnsi="Arial"/>
                <w:sz w:val="16"/>
                <w:szCs w:val="16"/>
                <w:color w:val="auto"/>
              </w:rPr>
              <w:t>2</w:t>
            </w:r>
          </w:p>
        </w:tc>
        <w:tc>
          <w:tcPr>
            <w:tcW w:w="1120" w:type="dxa"/>
            <w:vAlign w:val="bottom"/>
            <w:tcBorders>
              <w:bottom w:val="single" w:sz="8" w:color="ACACAC"/>
            </w:tcBorders>
            <w:shd w:val="clear" w:color="auto" w:fill="D4F1F5"/>
          </w:tcPr>
          <w:p>
            <w:pPr>
              <w:jc w:val="right"/>
              <w:ind w:right="881"/>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ACACAC"/>
            </w:tcBorders>
            <w:shd w:val="clear" w:color="auto" w:fill="D4F1F5"/>
          </w:tcPr>
          <w:p>
            <w:pPr>
              <w:jc w:val="right"/>
              <w:spacing w:after="0"/>
              <w:rPr>
                <w:sz w:val="20"/>
                <w:szCs w:val="20"/>
                <w:color w:val="auto"/>
              </w:rPr>
            </w:pPr>
            <w:r>
              <w:rPr>
                <w:rFonts w:ascii="Arial" w:cs="Arial" w:eastAsia="Arial" w:hAnsi="Arial"/>
                <w:sz w:val="16"/>
                <w:szCs w:val="16"/>
                <w:color w:val="auto"/>
              </w:rPr>
              <w:t>15</w:t>
            </w:r>
          </w:p>
        </w:tc>
      </w:tr>
    </w:tbl>
    <w:p>
      <w:pPr>
        <w:spacing w:after="0" w:line="48" w:lineRule="exact"/>
        <w:rPr>
          <w:sz w:val="20"/>
          <w:szCs w:val="20"/>
          <w:color w:val="auto"/>
        </w:rPr>
      </w:pPr>
    </w:p>
    <w:p>
      <w:pPr>
        <w:ind w:left="260" w:hanging="252"/>
        <w:spacing w:after="0"/>
        <w:tabs>
          <w:tab w:leader="none" w:pos="260" w:val="left"/>
        </w:tabs>
        <w:numPr>
          <w:ilvl w:val="0"/>
          <w:numId w:val="32"/>
        </w:numPr>
        <w:rPr>
          <w:rFonts w:ascii="Arial" w:cs="Arial" w:eastAsia="Arial" w:hAnsi="Arial"/>
          <w:sz w:val="21"/>
          <w:szCs w:val="21"/>
          <w:i w:val="1"/>
          <w:iCs w:val="1"/>
          <w:color w:val="auto"/>
          <w:vertAlign w:val="superscript"/>
        </w:rPr>
      </w:pPr>
      <w:r>
        <w:rPr>
          <w:rFonts w:ascii="Arial" w:cs="Arial" w:eastAsia="Arial" w:hAnsi="Arial"/>
          <w:sz w:val="14"/>
          <w:szCs w:val="14"/>
          <w:i w:val="1"/>
          <w:iCs w:val="1"/>
          <w:color w:val="auto"/>
        </w:rPr>
        <w:t>Net gains are included in Interest Income and net losses are recognized in Interest Expense on Sempra’s Condensed Consolidated Statements of Operations.</w:t>
      </w:r>
    </w:p>
    <w:p>
      <w:pPr>
        <w:spacing w:after="0" w:line="26" w:lineRule="exact"/>
        <w:rPr>
          <w:rFonts w:ascii="Arial" w:cs="Arial" w:eastAsia="Arial" w:hAnsi="Arial"/>
          <w:sz w:val="21"/>
          <w:szCs w:val="21"/>
          <w:i w:val="1"/>
          <w:iCs w:val="1"/>
          <w:color w:val="auto"/>
          <w:vertAlign w:val="superscript"/>
        </w:rPr>
      </w:pPr>
    </w:p>
    <w:p>
      <w:pPr>
        <w:ind w:left="260" w:hanging="252"/>
        <w:spacing w:after="0" w:line="183" w:lineRule="auto"/>
        <w:tabs>
          <w:tab w:leader="none" w:pos="260" w:val="left"/>
        </w:tabs>
        <w:numPr>
          <w:ilvl w:val="0"/>
          <w:numId w:val="32"/>
        </w:numPr>
        <w:rPr>
          <w:rFonts w:ascii="Arial" w:cs="Arial" w:eastAsia="Arial" w:hAnsi="Arial"/>
          <w:sz w:val="20"/>
          <w:szCs w:val="20"/>
          <w:i w:val="1"/>
          <w:iCs w:val="1"/>
          <w:color w:val="auto"/>
          <w:vertAlign w:val="superscript"/>
        </w:rPr>
      </w:pPr>
      <w:r>
        <w:rPr>
          <w:rFonts w:ascii="Arial" w:cs="Arial" w:eastAsia="Arial" w:hAnsi="Arial"/>
          <w:sz w:val="14"/>
          <w:szCs w:val="14"/>
          <w:i w:val="1"/>
          <w:iCs w:val="1"/>
          <w:color w:val="auto"/>
        </w:rPr>
        <w:t>Includes $8 in Other Current Assets and $33 in Other Long-Term Assets at March 31, 2026 on Sempra's Condensed Consolidated Balance Sheet.</w:t>
      </w:r>
    </w:p>
    <w:p>
      <w:pPr>
        <w:spacing w:after="0" w:line="274"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The fair value of the Support Agreement, net of related guarantee fees, is based on a discounted cash flow model using a probability of default and survival methodology. Our estimate of fair value considers inputs such as third-party default rates, credit ratings, recovery rates, and risk-adjusted discount rates, which may be readily observable, market corroborated or generally unobservable inputs. Because CFIN’s credit rating and related default and survival rates are unobservable inputs that are significant to the valuation, the Support Agreement, net of related guarantee fees, is classified as Level 3. We assigned CFIN an internally developed credit rating of A2 at March 31, 2026, and 2025, respectively, and relied on default rate data published by Moody’s to assign a probability of default. A hypothetical change in the credit rating up or down one notch would not result in a significant change in the fair value of the Support Agreement.</w:t>
      </w:r>
    </w:p>
    <w:p>
      <w:pPr>
        <w:spacing w:after="0" w:line="78" w:lineRule="exact"/>
        <w:rPr>
          <w:sz w:val="20"/>
          <w:szCs w:val="20"/>
          <w:color w:val="auto"/>
        </w:rPr>
      </w:pPr>
    </w:p>
    <w:p>
      <w:pPr>
        <w:ind w:right="26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Commodity contracts not subject to rate recovery. </w:t>
      </w:r>
      <w:r>
        <w:rPr>
          <w:rFonts w:ascii="Times New Roman" w:cs="Times New Roman" w:eastAsia="Times New Roman" w:hAnsi="Times New Roman"/>
          <w:sz w:val="18"/>
          <w:szCs w:val="18"/>
          <w:color w:val="auto"/>
        </w:rPr>
        <w:t>The table below sets forth a reconciliation of the change in the fair value of natural gas derivatives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classified as Level 3 in the fair value hierarchy.</w:t>
      </w:r>
    </w:p>
    <w:p>
      <w:pPr>
        <w:spacing w:after="0" w:line="109"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FFFFFF"/>
        </w:rPr>
        <w:t>LEVEL 3 RECONCILIATION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-115570</wp:posOffset>
            </wp:positionV>
            <wp:extent cx="7132320" cy="26543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32320" cy="265430"/>
                    </a:xfrm>
                    <a:prstGeom prst="rect">
                      <a:avLst/>
                    </a:prstGeom>
                    <a:noFill/>
                  </pic:spPr>
                </pic:pic>
              </a:graphicData>
            </a:graphic>
          </wp:anchor>
        </w:drawing>
      </w:r>
    </w:p>
    <w:p>
      <w:pPr>
        <w:spacing w:after="0" w:line="19" w:lineRule="exact"/>
        <w:rPr>
          <w:sz w:val="20"/>
          <w:szCs w:val="20"/>
          <w:color w:val="auto"/>
        </w:rPr>
      </w:pPr>
    </w:p>
    <w:p>
      <w:pPr>
        <w:ind w:left="20"/>
        <w:spacing w:after="0"/>
        <w:rPr>
          <w:sz w:val="20"/>
          <w:szCs w:val="20"/>
          <w:color w:val="auto"/>
        </w:rPr>
      </w:pPr>
      <w:r>
        <w:rPr>
          <w:rFonts w:ascii="Arial" w:cs="Arial" w:eastAsia="Arial" w:hAnsi="Arial"/>
          <w:sz w:val="14"/>
          <w:szCs w:val="14"/>
          <w:i w:val="1"/>
          <w:iCs w:val="1"/>
          <w:color w:val="FFFFFF"/>
        </w:rPr>
        <w:t>(Dollars in millions)</w:t>
      </w:r>
    </w:p>
    <w:p>
      <w:pPr>
        <w:spacing w:after="0" w:line="5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9420" w:type="dxa"/>
            <w:vAlign w:val="bottom"/>
          </w:tcPr>
          <w:p>
            <w:pPr>
              <w:spacing w:after="0"/>
              <w:rPr>
                <w:sz w:val="14"/>
                <w:szCs w:val="14"/>
                <w:color w:val="auto"/>
              </w:rPr>
            </w:pPr>
          </w:p>
        </w:tc>
        <w:tc>
          <w:tcPr>
            <w:tcW w:w="1820" w:type="dxa"/>
            <w:vAlign w:val="bottom"/>
            <w:gridSpan w:val="2"/>
          </w:tcPr>
          <w:p>
            <w:pPr>
              <w:ind w:left="20"/>
              <w:spacing w:after="0"/>
              <w:rPr>
                <w:sz w:val="20"/>
                <w:szCs w:val="20"/>
                <w:color w:val="auto"/>
              </w:rPr>
            </w:pPr>
            <w:r>
              <w:rPr>
                <w:rFonts w:ascii="Arial" w:cs="Arial" w:eastAsia="Arial" w:hAnsi="Arial"/>
                <w:sz w:val="14"/>
                <w:szCs w:val="14"/>
                <w:color w:val="auto"/>
              </w:rPr>
              <w:t>Three months ended March</w:t>
            </w:r>
          </w:p>
        </w:tc>
      </w:tr>
      <w:tr>
        <w:trPr>
          <w:trHeight w:val="190"/>
        </w:trPr>
        <w:tc>
          <w:tcPr>
            <w:tcW w:w="94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60" w:type="dxa"/>
            <w:vAlign w:val="bottom"/>
          </w:tcPr>
          <w:p>
            <w:pPr>
              <w:jc w:val="right"/>
              <w:ind w:right="561"/>
              <w:spacing w:after="0"/>
              <w:rPr>
                <w:sz w:val="20"/>
                <w:szCs w:val="20"/>
                <w:color w:val="auto"/>
              </w:rPr>
            </w:pPr>
            <w:r>
              <w:rPr>
                <w:rFonts w:ascii="Arial" w:cs="Arial" w:eastAsia="Arial" w:hAnsi="Arial"/>
                <w:sz w:val="14"/>
                <w:szCs w:val="14"/>
                <w:color w:val="auto"/>
              </w:rPr>
              <w:t>31, 2026</w:t>
            </w:r>
          </w:p>
        </w:tc>
      </w:tr>
      <w:tr>
        <w:trPr>
          <w:trHeight w:val="22"/>
        </w:trPr>
        <w:tc>
          <w:tcPr>
            <w:tcW w:w="94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r>
        <w:trPr>
          <w:trHeight w:val="210"/>
        </w:trPr>
        <w:tc>
          <w:tcPr>
            <w:tcW w:w="9420" w:type="dxa"/>
            <w:vAlign w:val="bottom"/>
            <w:shd w:val="clear" w:color="auto" w:fill="D4F1F5"/>
          </w:tcPr>
          <w:p>
            <w:pPr>
              <w:ind w:left="20"/>
              <w:spacing w:after="0"/>
              <w:rPr>
                <w:sz w:val="20"/>
                <w:szCs w:val="20"/>
                <w:color w:val="auto"/>
              </w:rPr>
            </w:pPr>
            <w:r>
              <w:rPr>
                <w:rFonts w:ascii="Arial" w:cs="Arial" w:eastAsia="Arial" w:hAnsi="Arial"/>
                <w:sz w:val="16"/>
                <w:szCs w:val="16"/>
                <w:color w:val="auto"/>
              </w:rPr>
              <w:t>Balance at January 1</w:t>
            </w:r>
          </w:p>
        </w:tc>
        <w:tc>
          <w:tcPr>
            <w:tcW w:w="360" w:type="dxa"/>
            <w:vAlign w:val="bottom"/>
            <w:shd w:val="clear" w:color="auto" w:fill="D4F1F5"/>
          </w:tcPr>
          <w:p>
            <w:pPr>
              <w:ind w:left="20"/>
              <w:spacing w:after="0"/>
              <w:rPr>
                <w:sz w:val="20"/>
                <w:szCs w:val="20"/>
                <w:color w:val="auto"/>
              </w:rPr>
            </w:pPr>
            <w:r>
              <w:rPr>
                <w:rFonts w:ascii="Arial" w:cs="Arial" w:eastAsia="Arial" w:hAnsi="Arial"/>
                <w:sz w:val="16"/>
                <w:szCs w:val="16"/>
                <w:color w:val="auto"/>
              </w:rPr>
              <w:t>$</w:t>
            </w:r>
          </w:p>
        </w:tc>
        <w:tc>
          <w:tcPr>
            <w:tcW w:w="1460" w:type="dxa"/>
            <w:vAlign w:val="bottom"/>
            <w:shd w:val="clear" w:color="auto" w:fill="D4F1F5"/>
          </w:tcPr>
          <w:p>
            <w:pPr>
              <w:jc w:val="right"/>
              <w:spacing w:after="0"/>
              <w:rPr>
                <w:sz w:val="20"/>
                <w:szCs w:val="20"/>
                <w:color w:val="auto"/>
              </w:rPr>
            </w:pPr>
            <w:r>
              <w:rPr>
                <w:rFonts w:ascii="Arial" w:cs="Arial" w:eastAsia="Arial" w:hAnsi="Arial"/>
                <w:sz w:val="16"/>
                <w:szCs w:val="16"/>
                <w:color w:val="auto"/>
              </w:rPr>
              <w:t>(55)</w:t>
            </w:r>
          </w:p>
        </w:tc>
      </w:tr>
      <w:tr>
        <w:trPr>
          <w:trHeight w:val="216"/>
        </w:trPr>
        <w:tc>
          <w:tcPr>
            <w:tcW w:w="9420" w:type="dxa"/>
            <w:vAlign w:val="bottom"/>
            <w:tcBorders>
              <w:bottom w:val="single" w:sz="8" w:color="D4F1F5"/>
            </w:tcBorders>
          </w:tcPr>
          <w:p>
            <w:pPr>
              <w:ind w:left="220"/>
              <w:spacing w:after="0" w:line="216" w:lineRule="exact"/>
              <w:rPr>
                <w:sz w:val="20"/>
                <w:szCs w:val="20"/>
                <w:color w:val="auto"/>
              </w:rPr>
            </w:pPr>
            <w:r>
              <w:rPr>
                <w:rFonts w:ascii="Arial" w:cs="Arial" w:eastAsia="Arial" w:hAnsi="Arial"/>
                <w:sz w:val="16"/>
                <w:szCs w:val="16"/>
                <w:color w:val="auto"/>
              </w:rPr>
              <w:t>Realized and unrealized gains (losses), net</w:t>
            </w:r>
            <w:r>
              <w:rPr>
                <w:rFonts w:ascii="Arial" w:cs="Arial" w:eastAsia="Arial" w:hAnsi="Arial"/>
                <w:sz w:val="21"/>
                <w:szCs w:val="21"/>
                <w:color w:val="auto"/>
                <w:vertAlign w:val="superscript"/>
              </w:rPr>
              <w:t>(1)</w:t>
            </w:r>
          </w:p>
        </w:tc>
        <w:tc>
          <w:tcPr>
            <w:tcW w:w="36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4</w:t>
            </w:r>
          </w:p>
        </w:tc>
      </w:tr>
      <w:tr>
        <w:trPr>
          <w:trHeight w:val="230"/>
        </w:trPr>
        <w:tc>
          <w:tcPr>
            <w:tcW w:w="9420" w:type="dxa"/>
            <w:vAlign w:val="bottom"/>
            <w:tcBorders>
              <w:bottom w:val="single" w:sz="8" w:color="D4F1F5"/>
            </w:tcBorders>
            <w:shd w:val="clear" w:color="auto" w:fill="D4F1F5"/>
          </w:tcPr>
          <w:p>
            <w:pPr>
              <w:ind w:left="20"/>
              <w:spacing w:after="0" w:line="210" w:lineRule="exact"/>
              <w:rPr>
                <w:sz w:val="20"/>
                <w:szCs w:val="20"/>
                <w:color w:val="auto"/>
              </w:rPr>
            </w:pPr>
            <w:r>
              <w:rPr>
                <w:rFonts w:ascii="Arial" w:cs="Arial" w:eastAsia="Arial" w:hAnsi="Arial"/>
                <w:sz w:val="16"/>
                <w:szCs w:val="16"/>
                <w:color w:val="auto"/>
              </w:rPr>
              <w:t>Balance at March 31</w:t>
            </w:r>
            <w:r>
              <w:rPr>
                <w:rFonts w:ascii="Arial" w:cs="Arial" w:eastAsia="Arial" w:hAnsi="Arial"/>
                <w:sz w:val="21"/>
                <w:szCs w:val="21"/>
                <w:color w:val="auto"/>
                <w:vertAlign w:val="superscript"/>
              </w:rPr>
              <w:t>(2)</w:t>
            </w:r>
          </w:p>
        </w:tc>
        <w:tc>
          <w:tcPr>
            <w:tcW w:w="360" w:type="dxa"/>
            <w:vAlign w:val="bottom"/>
            <w:tcBorders>
              <w:bottom w:val="single" w:sz="8" w:color="auto"/>
            </w:tcBorders>
            <w:shd w:val="clear" w:color="auto" w:fill="D4F1F5"/>
          </w:tcPr>
          <w:p>
            <w:pPr>
              <w:ind w:left="20"/>
              <w:spacing w:after="0"/>
              <w:rPr>
                <w:sz w:val="20"/>
                <w:szCs w:val="20"/>
                <w:color w:val="auto"/>
              </w:rPr>
            </w:pPr>
            <w:r>
              <w:rPr>
                <w:rFonts w:ascii="Arial" w:cs="Arial" w:eastAsia="Arial" w:hAnsi="Arial"/>
                <w:sz w:val="16"/>
                <w:szCs w:val="16"/>
                <w:color w:val="auto"/>
              </w:rPr>
              <w:t>$</w:t>
            </w:r>
          </w:p>
        </w:tc>
        <w:tc>
          <w:tcPr>
            <w:tcW w:w="1460" w:type="dxa"/>
            <w:vAlign w:val="bottom"/>
            <w:tcBorders>
              <w:bottom w:val="single" w:sz="8" w:color="auto"/>
            </w:tcBorders>
            <w:shd w:val="clear" w:color="auto" w:fill="D4F1F5"/>
          </w:tcPr>
          <w:p>
            <w:pPr>
              <w:jc w:val="right"/>
              <w:spacing w:after="0"/>
              <w:rPr>
                <w:sz w:val="20"/>
                <w:szCs w:val="20"/>
                <w:color w:val="auto"/>
              </w:rPr>
            </w:pPr>
            <w:r>
              <w:rPr>
                <w:rFonts w:ascii="Arial" w:cs="Arial" w:eastAsia="Arial" w:hAnsi="Arial"/>
                <w:sz w:val="16"/>
                <w:szCs w:val="16"/>
                <w:color w:val="auto"/>
              </w:rPr>
              <w:t>(51)</w:t>
            </w:r>
          </w:p>
        </w:tc>
      </w:tr>
      <w:tr>
        <w:trPr>
          <w:trHeight w:val="210"/>
        </w:trPr>
        <w:tc>
          <w:tcPr>
            <w:tcW w:w="9420" w:type="dxa"/>
            <w:vAlign w:val="bottom"/>
            <w:tcBorders>
              <w:bottom w:val="single" w:sz="8" w:color="B6B6B6"/>
            </w:tcBorders>
          </w:tcPr>
          <w:p>
            <w:pPr>
              <w:ind w:left="20"/>
              <w:spacing w:after="0"/>
              <w:rPr>
                <w:sz w:val="20"/>
                <w:szCs w:val="20"/>
                <w:color w:val="auto"/>
              </w:rPr>
            </w:pPr>
            <w:r>
              <w:rPr>
                <w:rFonts w:ascii="Arial" w:cs="Arial" w:eastAsia="Arial" w:hAnsi="Arial"/>
                <w:sz w:val="16"/>
                <w:szCs w:val="16"/>
                <w:color w:val="auto"/>
              </w:rPr>
              <w:t>Change in unrealized gains (losses) relating to instruments still held at March 31</w:t>
            </w:r>
          </w:p>
        </w:tc>
        <w:tc>
          <w:tcPr>
            <w:tcW w:w="360" w:type="dxa"/>
            <w:vAlign w:val="bottom"/>
            <w:tcBorders>
              <w:bottom w:val="single" w:sz="8" w:color="ACACAC"/>
            </w:tcBorders>
          </w:tcPr>
          <w:p>
            <w:pPr>
              <w:ind w:left="20"/>
              <w:spacing w:after="0"/>
              <w:rPr>
                <w:sz w:val="20"/>
                <w:szCs w:val="20"/>
                <w:color w:val="auto"/>
              </w:rPr>
            </w:pPr>
            <w:r>
              <w:rPr>
                <w:rFonts w:ascii="Arial" w:cs="Arial" w:eastAsia="Arial" w:hAnsi="Arial"/>
                <w:sz w:val="16"/>
                <w:szCs w:val="16"/>
                <w:color w:val="auto"/>
              </w:rPr>
              <w:t>$</w:t>
            </w:r>
          </w:p>
        </w:tc>
        <w:tc>
          <w:tcPr>
            <w:tcW w:w="1460" w:type="dxa"/>
            <w:vAlign w:val="bottom"/>
            <w:tcBorders>
              <w:bottom w:val="single" w:sz="8" w:color="ACACAC"/>
            </w:tcBorders>
          </w:tcPr>
          <w:p>
            <w:pPr>
              <w:jc w:val="right"/>
              <w:ind w:right="1"/>
              <w:spacing w:after="0"/>
              <w:rPr>
                <w:sz w:val="20"/>
                <w:szCs w:val="20"/>
                <w:color w:val="auto"/>
              </w:rPr>
            </w:pPr>
            <w:r>
              <w:rPr>
                <w:rFonts w:ascii="Arial" w:cs="Arial" w:eastAsia="Arial" w:hAnsi="Arial"/>
                <w:sz w:val="16"/>
                <w:szCs w:val="16"/>
                <w:color w:val="auto"/>
              </w:rPr>
              <w:t>4</w:t>
            </w:r>
          </w:p>
        </w:tc>
      </w:tr>
    </w:tbl>
    <w:p>
      <w:pPr>
        <w:spacing w:after="0" w:line="128" w:lineRule="exact"/>
        <w:rPr>
          <w:sz w:val="20"/>
          <w:szCs w:val="20"/>
          <w:color w:val="auto"/>
        </w:rPr>
      </w:pPr>
    </w:p>
    <w:p>
      <w:pPr>
        <w:ind w:left="340" w:right="580" w:hanging="332"/>
        <w:spacing w:after="0" w:line="216" w:lineRule="auto"/>
        <w:tabs>
          <w:tab w:leader="none" w:pos="262" w:val="left"/>
        </w:tabs>
        <w:numPr>
          <w:ilvl w:val="0"/>
          <w:numId w:val="33"/>
        </w:numPr>
        <w:rPr>
          <w:rFonts w:ascii="Arial" w:cs="Arial" w:eastAsia="Arial" w:hAnsi="Arial"/>
          <w:sz w:val="21"/>
          <w:szCs w:val="21"/>
          <w:i w:val="1"/>
          <w:iCs w:val="1"/>
          <w:color w:val="auto"/>
          <w:vertAlign w:val="superscript"/>
        </w:rPr>
      </w:pPr>
      <w:r>
        <w:rPr>
          <w:rFonts w:ascii="Arial" w:cs="Arial" w:eastAsia="Arial" w:hAnsi="Arial"/>
          <w:sz w:val="14"/>
          <w:szCs w:val="14"/>
          <w:i w:val="1"/>
          <w:iCs w:val="1"/>
          <w:color w:val="auto"/>
        </w:rPr>
        <w:t>Net realized and unrealized gains and losses are recognized in Revenues: Energy-Related Businesses or Energy-Related Businesses Cost of Sales on the Sempra Condensed Consolidated Statement of Operations.</w:t>
      </w:r>
    </w:p>
    <w:p>
      <w:pPr>
        <w:spacing w:after="0" w:line="1" w:lineRule="exact"/>
        <w:rPr>
          <w:rFonts w:ascii="Arial" w:cs="Arial" w:eastAsia="Arial" w:hAnsi="Arial"/>
          <w:sz w:val="21"/>
          <w:szCs w:val="21"/>
          <w:i w:val="1"/>
          <w:iCs w:val="1"/>
          <w:color w:val="auto"/>
          <w:vertAlign w:val="superscript"/>
        </w:rPr>
      </w:pPr>
    </w:p>
    <w:p>
      <w:pPr>
        <w:ind w:left="260" w:hanging="252"/>
        <w:spacing w:after="0" w:line="201" w:lineRule="auto"/>
        <w:tabs>
          <w:tab w:leader="none" w:pos="260" w:val="left"/>
        </w:tabs>
        <w:numPr>
          <w:ilvl w:val="0"/>
          <w:numId w:val="33"/>
        </w:numPr>
        <w:rPr>
          <w:rFonts w:ascii="Arial" w:cs="Arial" w:eastAsia="Arial" w:hAnsi="Arial"/>
          <w:sz w:val="21"/>
          <w:szCs w:val="21"/>
          <w:i w:val="1"/>
          <w:iCs w:val="1"/>
          <w:color w:val="auto"/>
          <w:vertAlign w:val="superscript"/>
        </w:rPr>
      </w:pPr>
      <w:r>
        <w:rPr>
          <w:rFonts w:ascii="Arial" w:cs="Arial" w:eastAsia="Arial" w:hAnsi="Arial"/>
          <w:sz w:val="14"/>
          <w:szCs w:val="14"/>
          <w:i w:val="1"/>
          <w:iCs w:val="1"/>
          <w:color w:val="auto"/>
        </w:rPr>
        <w:t>Includes $8 in Assets Held for Sale and $59 in Liabilities Held for Sale at March 31, 2026 on Sempra’s Condensed Consolidated Balance Sheet.</w:t>
      </w:r>
    </w:p>
    <w:p>
      <w:pPr>
        <w:spacing w:after="0" w:line="138"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We estimate the fair value of our natural gas derivatives using an income approach. These instruments are classified as Level 3 within the fair value hierarchy because their valuation relies on significant unobservable inputs. Key unobservable inputs include implied forward price curves at illiquid delivery locations and location-specific forward price adjustments. When observable market data is limited or unavailable at these illiquid delivery points, we apply industry-standard valuation methodologies to develop unobservable inputs that maximize the use of observable information, including extrapolation and the use of historical market data and other relevant information.</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150495</wp:posOffset>
            </wp:positionV>
            <wp:extent cx="7157720"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right="40"/>
        <w:spacing w:after="0" w:line="297" w:lineRule="auto"/>
        <w:rPr>
          <w:sz w:val="20"/>
          <w:szCs w:val="20"/>
          <w:color w:val="auto"/>
        </w:rPr>
      </w:pPr>
      <w:r>
        <w:rPr>
          <w:rFonts w:ascii="Times New Roman" w:cs="Times New Roman" w:eastAsia="Times New Roman" w:hAnsi="Times New Roman"/>
          <w:sz w:val="18"/>
          <w:szCs w:val="18"/>
          <w:color w:val="auto"/>
        </w:rPr>
        <w:t>The following table presents information about the significant unobservable inputs used in the valuation of our Level 3 natural gas derivatives at March 31, 2026:</w:t>
      </w:r>
    </w:p>
    <w:p>
      <w:pPr>
        <w:spacing w:after="0" w:line="86"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FFFFFF"/>
        </w:rPr>
        <w:t>QUANTITATIVE INFORMATION ABOUT LEVEL 3 FAIR VALUE MEASUREMENT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-115570</wp:posOffset>
            </wp:positionV>
            <wp:extent cx="7132320" cy="30861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32320" cy="308610"/>
                    </a:xfrm>
                    <a:prstGeom prst="rect">
                      <a:avLst/>
                    </a:prstGeom>
                    <a:noFill/>
                  </pic:spPr>
                </pic:pic>
              </a:graphicData>
            </a:graphic>
          </wp:anchor>
        </w:drawing>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30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80" w:type="dxa"/>
            <w:vAlign w:val="bottom"/>
          </w:tcPr>
          <w:p>
            <w:pPr>
              <w:jc w:val="center"/>
              <w:ind w:right="245"/>
              <w:spacing w:after="0"/>
              <w:rPr>
                <w:sz w:val="20"/>
                <w:szCs w:val="20"/>
                <w:color w:val="auto"/>
              </w:rPr>
            </w:pPr>
            <w:r>
              <w:rPr>
                <w:rFonts w:ascii="Arial" w:cs="Arial" w:eastAsia="Arial" w:hAnsi="Arial"/>
                <w:sz w:val="14"/>
                <w:szCs w:val="14"/>
                <w:color w:val="auto"/>
              </w:rPr>
              <w:t>Fair value</w:t>
            </w:r>
          </w:p>
        </w:tc>
        <w:tc>
          <w:tcPr>
            <w:tcW w:w="1700" w:type="dxa"/>
            <w:vAlign w:val="bottom"/>
            <w:vMerge w:val="restart"/>
          </w:tcPr>
          <w:p>
            <w:pPr>
              <w:ind w:left="200"/>
              <w:spacing w:after="0"/>
              <w:rPr>
                <w:sz w:val="20"/>
                <w:szCs w:val="20"/>
                <w:color w:val="auto"/>
              </w:rPr>
            </w:pPr>
            <w:r>
              <w:rPr>
                <w:rFonts w:ascii="Arial" w:cs="Arial" w:eastAsia="Arial" w:hAnsi="Arial"/>
                <w:sz w:val="14"/>
                <w:szCs w:val="14"/>
                <w:color w:val="auto"/>
              </w:rPr>
              <w:t>Valuation technique</w:t>
            </w:r>
          </w:p>
        </w:tc>
        <w:tc>
          <w:tcPr>
            <w:tcW w:w="2120" w:type="dxa"/>
            <w:vAlign w:val="bottom"/>
            <w:vMerge w:val="restart"/>
          </w:tcPr>
          <w:p>
            <w:pPr>
              <w:jc w:val="center"/>
              <w:ind w:left="82"/>
              <w:spacing w:after="0"/>
              <w:rPr>
                <w:sz w:val="20"/>
                <w:szCs w:val="20"/>
                <w:color w:val="auto"/>
              </w:rPr>
            </w:pPr>
            <w:r>
              <w:rPr>
                <w:rFonts w:ascii="Arial" w:cs="Arial" w:eastAsia="Arial" w:hAnsi="Arial"/>
                <w:sz w:val="14"/>
                <w:szCs w:val="14"/>
                <w:color w:val="auto"/>
              </w:rPr>
              <w:t>Unobservable input</w:t>
            </w:r>
          </w:p>
        </w:tc>
        <w:tc>
          <w:tcPr>
            <w:tcW w:w="280" w:type="dxa"/>
            <w:vAlign w:val="bottom"/>
          </w:tcPr>
          <w:p>
            <w:pPr>
              <w:spacing w:after="0"/>
              <w:rPr>
                <w:sz w:val="16"/>
                <w:szCs w:val="16"/>
                <w:color w:val="auto"/>
              </w:rPr>
            </w:pPr>
          </w:p>
        </w:tc>
        <w:tc>
          <w:tcPr>
            <w:tcW w:w="1140" w:type="dxa"/>
            <w:vAlign w:val="bottom"/>
            <w:vMerge w:val="restart"/>
          </w:tcPr>
          <w:p>
            <w:pPr>
              <w:ind w:left="500"/>
              <w:spacing w:after="0"/>
              <w:rPr>
                <w:sz w:val="20"/>
                <w:szCs w:val="20"/>
                <w:color w:val="auto"/>
              </w:rPr>
            </w:pPr>
            <w:r>
              <w:rPr>
                <w:rFonts w:ascii="Arial" w:cs="Arial" w:eastAsia="Arial" w:hAnsi="Arial"/>
                <w:sz w:val="14"/>
                <w:szCs w:val="14"/>
                <w:color w:val="auto"/>
              </w:rPr>
              <w:t>Range</w:t>
            </w:r>
          </w:p>
        </w:tc>
        <w:tc>
          <w:tcPr>
            <w:tcW w:w="5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jc w:val="center"/>
              <w:ind w:right="85"/>
              <w:spacing w:after="0"/>
              <w:rPr>
                <w:sz w:val="20"/>
                <w:szCs w:val="20"/>
                <w:color w:val="auto"/>
              </w:rPr>
            </w:pPr>
            <w:r>
              <w:rPr>
                <w:rFonts w:ascii="Arial" w:cs="Arial" w:eastAsia="Arial" w:hAnsi="Arial"/>
                <w:sz w:val="14"/>
                <w:szCs w:val="14"/>
                <w:color w:val="auto"/>
              </w:rPr>
              <w:t>Weighted</w:t>
            </w:r>
          </w:p>
        </w:tc>
        <w:tc>
          <w:tcPr>
            <w:tcW w:w="0" w:type="dxa"/>
            <w:vAlign w:val="bottom"/>
          </w:tcPr>
          <w:p>
            <w:pPr>
              <w:spacing w:after="0"/>
              <w:rPr>
                <w:sz w:val="1"/>
                <w:szCs w:val="1"/>
                <w:color w:val="auto"/>
              </w:rPr>
            </w:pPr>
          </w:p>
        </w:tc>
      </w:tr>
      <w:tr>
        <w:trPr>
          <w:trHeight w:val="189"/>
        </w:trPr>
        <w:tc>
          <w:tcPr>
            <w:tcW w:w="30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center"/>
              <w:ind w:right="245"/>
              <w:spacing w:after="0"/>
              <w:rPr>
                <w:sz w:val="20"/>
                <w:szCs w:val="20"/>
                <w:color w:val="auto"/>
              </w:rPr>
            </w:pPr>
            <w:r>
              <w:rPr>
                <w:rFonts w:ascii="Arial" w:cs="Arial" w:eastAsia="Arial" w:hAnsi="Arial"/>
                <w:sz w:val="14"/>
                <w:szCs w:val="14"/>
                <w:color w:val="auto"/>
              </w:rPr>
              <w:t>(in millions)</w:t>
            </w:r>
          </w:p>
        </w:tc>
        <w:tc>
          <w:tcPr>
            <w:tcW w:w="1700" w:type="dxa"/>
            <w:vAlign w:val="bottom"/>
            <w:tcBorders>
              <w:bottom w:val="single" w:sz="8" w:color="auto"/>
            </w:tcBorders>
            <w:vMerge w:val="continue"/>
          </w:tcPr>
          <w:p>
            <w:pPr>
              <w:spacing w:after="0"/>
              <w:rPr>
                <w:sz w:val="16"/>
                <w:szCs w:val="16"/>
                <w:color w:val="auto"/>
              </w:rPr>
            </w:pPr>
          </w:p>
        </w:tc>
        <w:tc>
          <w:tcPr>
            <w:tcW w:w="2120" w:type="dxa"/>
            <w:vAlign w:val="bottom"/>
            <w:tcBorders>
              <w:bottom w:val="single" w:sz="8" w:color="auto"/>
            </w:tcBorders>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vMerge w:val="continue"/>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center"/>
              <w:ind w:right="85"/>
              <w:spacing w:after="0"/>
              <w:rPr>
                <w:sz w:val="20"/>
                <w:szCs w:val="20"/>
                <w:color w:val="auto"/>
              </w:rPr>
            </w:pPr>
            <w:r>
              <w:rPr>
                <w:rFonts w:ascii="Arial" w:cs="Arial" w:eastAsia="Arial" w:hAnsi="Arial"/>
                <w:sz w:val="14"/>
                <w:szCs w:val="14"/>
                <w:color w:val="auto"/>
              </w:rPr>
              <w:t>average</w:t>
            </w:r>
          </w:p>
        </w:tc>
        <w:tc>
          <w:tcPr>
            <w:tcW w:w="0" w:type="dxa"/>
            <w:vAlign w:val="bottom"/>
          </w:tcPr>
          <w:p>
            <w:pPr>
              <w:spacing w:after="0"/>
              <w:rPr>
                <w:sz w:val="1"/>
                <w:szCs w:val="1"/>
                <w:color w:val="auto"/>
              </w:rPr>
            </w:pPr>
          </w:p>
        </w:tc>
      </w:tr>
      <w:tr>
        <w:trPr>
          <w:trHeight w:val="156"/>
        </w:trPr>
        <w:tc>
          <w:tcPr>
            <w:tcW w:w="3000" w:type="dxa"/>
            <w:vAlign w:val="bottom"/>
            <w:shd w:val="clear" w:color="auto" w:fill="D4F1F5"/>
          </w:tcPr>
          <w:p>
            <w:pPr>
              <w:ind w:left="20"/>
              <w:spacing w:after="0" w:line="155" w:lineRule="exact"/>
              <w:rPr>
                <w:sz w:val="20"/>
                <w:szCs w:val="20"/>
                <w:color w:val="auto"/>
              </w:rPr>
            </w:pPr>
            <w:r>
              <w:rPr>
                <w:rFonts w:ascii="Arial" w:cs="Arial" w:eastAsia="Arial" w:hAnsi="Arial"/>
                <w:sz w:val="16"/>
                <w:szCs w:val="16"/>
                <w:color w:val="auto"/>
              </w:rPr>
              <w:t>Commodity contracts not subject to rate</w:t>
            </w:r>
          </w:p>
        </w:tc>
        <w:tc>
          <w:tcPr>
            <w:tcW w:w="240" w:type="dxa"/>
            <w:vAlign w:val="bottom"/>
            <w:vMerge w:val="restart"/>
            <w:shd w:val="clear" w:color="auto" w:fill="D4F1F5"/>
          </w:tcPr>
          <w:p>
            <w:pPr>
              <w:jc w:val="right"/>
              <w:spacing w:after="0"/>
              <w:rPr>
                <w:sz w:val="20"/>
                <w:szCs w:val="20"/>
                <w:color w:val="auto"/>
              </w:rPr>
            </w:pPr>
            <w:r>
              <w:rPr>
                <w:rFonts w:ascii="Arial" w:cs="Arial" w:eastAsia="Arial" w:hAnsi="Arial"/>
                <w:sz w:val="16"/>
                <w:szCs w:val="16"/>
                <w:color w:val="auto"/>
              </w:rPr>
              <w:t>$</w:t>
            </w:r>
          </w:p>
        </w:tc>
        <w:tc>
          <w:tcPr>
            <w:tcW w:w="1180" w:type="dxa"/>
            <w:vAlign w:val="bottom"/>
            <w:vMerge w:val="restart"/>
            <w:shd w:val="clear" w:color="auto" w:fill="D4F1F5"/>
          </w:tcPr>
          <w:p>
            <w:pPr>
              <w:jc w:val="right"/>
              <w:ind w:right="125"/>
              <w:spacing w:after="0"/>
              <w:rPr>
                <w:sz w:val="20"/>
                <w:szCs w:val="20"/>
                <w:color w:val="auto"/>
              </w:rPr>
            </w:pPr>
            <w:r>
              <w:rPr>
                <w:rFonts w:ascii="Arial" w:cs="Arial" w:eastAsia="Arial" w:hAnsi="Arial"/>
                <w:sz w:val="16"/>
                <w:szCs w:val="16"/>
                <w:color w:val="auto"/>
              </w:rPr>
              <w:t>(51)</w:t>
            </w:r>
          </w:p>
        </w:tc>
        <w:tc>
          <w:tcPr>
            <w:tcW w:w="1700" w:type="dxa"/>
            <w:vAlign w:val="bottom"/>
            <w:vMerge w:val="restart"/>
            <w:shd w:val="clear" w:color="auto" w:fill="D4F1F5"/>
          </w:tcPr>
          <w:p>
            <w:pPr>
              <w:ind w:left="200"/>
              <w:spacing w:after="0"/>
              <w:rPr>
                <w:sz w:val="20"/>
                <w:szCs w:val="20"/>
                <w:color w:val="auto"/>
              </w:rPr>
            </w:pPr>
            <w:r>
              <w:rPr>
                <w:rFonts w:ascii="Arial" w:cs="Arial" w:eastAsia="Arial" w:hAnsi="Arial"/>
                <w:sz w:val="16"/>
                <w:szCs w:val="16"/>
                <w:color w:val="auto"/>
              </w:rPr>
              <w:t>Income approach</w:t>
            </w:r>
          </w:p>
        </w:tc>
        <w:tc>
          <w:tcPr>
            <w:tcW w:w="2120" w:type="dxa"/>
            <w:vAlign w:val="bottom"/>
            <w:shd w:val="clear" w:color="auto" w:fill="D4F1F5"/>
          </w:tcPr>
          <w:p>
            <w:pPr>
              <w:jc w:val="center"/>
              <w:ind w:left="82"/>
              <w:spacing w:after="0" w:line="155" w:lineRule="exact"/>
              <w:rPr>
                <w:sz w:val="20"/>
                <w:szCs w:val="20"/>
                <w:color w:val="auto"/>
              </w:rPr>
            </w:pPr>
            <w:r>
              <w:rPr>
                <w:rFonts w:ascii="Arial" w:cs="Arial" w:eastAsia="Arial" w:hAnsi="Arial"/>
                <w:sz w:val="16"/>
                <w:szCs w:val="16"/>
                <w:color w:val="auto"/>
              </w:rPr>
              <w:t>Forward natural gas price</w:t>
            </w:r>
          </w:p>
        </w:tc>
        <w:tc>
          <w:tcPr>
            <w:tcW w:w="280" w:type="dxa"/>
            <w:vAlign w:val="bottom"/>
            <w:vMerge w:val="restart"/>
            <w:shd w:val="clear" w:color="auto" w:fill="D4F1F5"/>
          </w:tcPr>
          <w:p>
            <w:pPr>
              <w:jc w:val="right"/>
              <w:ind w:right="59"/>
              <w:spacing w:after="0"/>
              <w:rPr>
                <w:sz w:val="20"/>
                <w:szCs w:val="20"/>
                <w:color w:val="auto"/>
              </w:rPr>
            </w:pPr>
            <w:r>
              <w:rPr>
                <w:rFonts w:ascii="Arial" w:cs="Arial" w:eastAsia="Arial" w:hAnsi="Arial"/>
                <w:sz w:val="16"/>
                <w:szCs w:val="16"/>
                <w:color w:val="auto"/>
              </w:rPr>
              <w:t>$</w:t>
            </w:r>
          </w:p>
        </w:tc>
        <w:tc>
          <w:tcPr>
            <w:tcW w:w="1140" w:type="dxa"/>
            <w:vAlign w:val="bottom"/>
            <w:vMerge w:val="restart"/>
            <w:shd w:val="clear" w:color="auto" w:fill="D4F1F5"/>
          </w:tcPr>
          <w:p>
            <w:pPr>
              <w:ind w:left="160"/>
              <w:spacing w:after="0"/>
              <w:rPr>
                <w:sz w:val="20"/>
                <w:szCs w:val="20"/>
                <w:color w:val="auto"/>
              </w:rPr>
            </w:pPr>
            <w:r>
              <w:rPr>
                <w:rFonts w:ascii="Arial" w:cs="Arial" w:eastAsia="Arial" w:hAnsi="Arial"/>
                <w:sz w:val="16"/>
                <w:szCs w:val="16"/>
                <w:color w:val="auto"/>
              </w:rPr>
              <w:t>0.05  to  $</w:t>
            </w:r>
          </w:p>
        </w:tc>
        <w:tc>
          <w:tcPr>
            <w:tcW w:w="520" w:type="dxa"/>
            <w:vAlign w:val="bottom"/>
            <w:vMerge w:val="restart"/>
            <w:shd w:val="clear" w:color="auto" w:fill="D4F1F5"/>
          </w:tcPr>
          <w:p>
            <w:pPr>
              <w:jc w:val="right"/>
              <w:spacing w:after="0"/>
              <w:rPr>
                <w:sz w:val="20"/>
                <w:szCs w:val="20"/>
                <w:color w:val="auto"/>
              </w:rPr>
            </w:pPr>
            <w:r>
              <w:rPr>
                <w:rFonts w:ascii="Arial" w:cs="Arial" w:eastAsia="Arial" w:hAnsi="Arial"/>
                <w:sz w:val="16"/>
                <w:szCs w:val="16"/>
                <w:color w:val="auto"/>
              </w:rPr>
              <w:t>2.41</w:t>
            </w:r>
          </w:p>
        </w:tc>
        <w:tc>
          <w:tcPr>
            <w:tcW w:w="180" w:type="dxa"/>
            <w:vAlign w:val="bottom"/>
            <w:vMerge w:val="restart"/>
            <w:shd w:val="clear" w:color="auto" w:fill="D4F1F5"/>
          </w:tcPr>
          <w:p>
            <w:pPr>
              <w:jc w:val="right"/>
              <w:spacing w:after="0"/>
              <w:rPr>
                <w:sz w:val="20"/>
                <w:szCs w:val="20"/>
                <w:color w:val="auto"/>
              </w:rPr>
            </w:pPr>
            <w:r>
              <w:rPr>
                <w:rFonts w:ascii="Arial" w:cs="Arial" w:eastAsia="Arial" w:hAnsi="Arial"/>
                <w:sz w:val="16"/>
                <w:szCs w:val="16"/>
                <w:color w:val="auto"/>
              </w:rPr>
              <w:t>$</w:t>
            </w:r>
          </w:p>
        </w:tc>
        <w:tc>
          <w:tcPr>
            <w:tcW w:w="880" w:type="dxa"/>
            <w:vAlign w:val="bottom"/>
            <w:vMerge w:val="restart"/>
            <w:shd w:val="clear" w:color="auto" w:fill="D4F1F5"/>
          </w:tcPr>
          <w:p>
            <w:pPr>
              <w:jc w:val="right"/>
              <w:ind w:right="5"/>
              <w:spacing w:after="0"/>
              <w:rPr>
                <w:sz w:val="20"/>
                <w:szCs w:val="20"/>
                <w:color w:val="auto"/>
              </w:rPr>
            </w:pPr>
            <w:r>
              <w:rPr>
                <w:rFonts w:ascii="Arial" w:cs="Arial" w:eastAsia="Arial" w:hAnsi="Arial"/>
                <w:sz w:val="16"/>
                <w:szCs w:val="16"/>
                <w:color w:val="auto"/>
              </w:rPr>
              <w:t>1.08</w:t>
            </w:r>
          </w:p>
        </w:tc>
        <w:tc>
          <w:tcPr>
            <w:tcW w:w="0" w:type="dxa"/>
            <w:vAlign w:val="bottom"/>
          </w:tcPr>
          <w:p>
            <w:pPr>
              <w:spacing w:after="0"/>
              <w:rPr>
                <w:sz w:val="1"/>
                <w:szCs w:val="1"/>
                <w:color w:val="auto"/>
              </w:rPr>
            </w:pPr>
          </w:p>
        </w:tc>
      </w:tr>
      <w:tr>
        <w:trPr>
          <w:trHeight w:val="223"/>
        </w:trPr>
        <w:tc>
          <w:tcPr>
            <w:tcW w:w="3000" w:type="dxa"/>
            <w:vAlign w:val="bottom"/>
            <w:tcBorders>
              <w:bottom w:val="single" w:sz="8" w:color="B6B6B6"/>
            </w:tcBorders>
            <w:shd w:val="clear" w:color="auto" w:fill="D4F1F5"/>
          </w:tcPr>
          <w:p>
            <w:pPr>
              <w:ind w:left="180"/>
              <w:spacing w:after="0"/>
              <w:rPr>
                <w:sz w:val="20"/>
                <w:szCs w:val="20"/>
                <w:color w:val="auto"/>
              </w:rPr>
            </w:pPr>
            <w:r>
              <w:rPr>
                <w:rFonts w:ascii="Arial" w:cs="Arial" w:eastAsia="Arial" w:hAnsi="Arial"/>
                <w:sz w:val="16"/>
                <w:szCs w:val="16"/>
                <w:color w:val="auto"/>
              </w:rPr>
              <w:t>recovery</w:t>
            </w:r>
          </w:p>
        </w:tc>
        <w:tc>
          <w:tcPr>
            <w:tcW w:w="240" w:type="dxa"/>
            <w:vAlign w:val="bottom"/>
            <w:tcBorders>
              <w:bottom w:val="single" w:sz="8" w:color="B6B6B6"/>
            </w:tcBorders>
            <w:vMerge w:val="continue"/>
            <w:shd w:val="clear" w:color="auto" w:fill="D4F1F5"/>
          </w:tcPr>
          <w:p>
            <w:pPr>
              <w:spacing w:after="0"/>
              <w:rPr>
                <w:sz w:val="19"/>
                <w:szCs w:val="19"/>
                <w:color w:val="auto"/>
              </w:rPr>
            </w:pPr>
          </w:p>
        </w:tc>
        <w:tc>
          <w:tcPr>
            <w:tcW w:w="1180" w:type="dxa"/>
            <w:vAlign w:val="bottom"/>
            <w:tcBorders>
              <w:bottom w:val="single" w:sz="8" w:color="B6B6B6"/>
            </w:tcBorders>
            <w:vMerge w:val="continue"/>
            <w:shd w:val="clear" w:color="auto" w:fill="D4F1F5"/>
          </w:tcPr>
          <w:p>
            <w:pPr>
              <w:spacing w:after="0"/>
              <w:rPr>
                <w:sz w:val="19"/>
                <w:szCs w:val="19"/>
                <w:color w:val="auto"/>
              </w:rPr>
            </w:pPr>
          </w:p>
        </w:tc>
        <w:tc>
          <w:tcPr>
            <w:tcW w:w="1700" w:type="dxa"/>
            <w:vAlign w:val="bottom"/>
            <w:tcBorders>
              <w:bottom w:val="single" w:sz="8" w:color="B6B6B6"/>
            </w:tcBorders>
            <w:vMerge w:val="continue"/>
            <w:shd w:val="clear" w:color="auto" w:fill="D4F1F5"/>
          </w:tcPr>
          <w:p>
            <w:pPr>
              <w:spacing w:after="0"/>
              <w:rPr>
                <w:sz w:val="19"/>
                <w:szCs w:val="19"/>
                <w:color w:val="auto"/>
              </w:rPr>
            </w:pPr>
          </w:p>
        </w:tc>
        <w:tc>
          <w:tcPr>
            <w:tcW w:w="2120" w:type="dxa"/>
            <w:vAlign w:val="bottom"/>
            <w:tcBorders>
              <w:bottom w:val="single" w:sz="8" w:color="B6B6B6"/>
            </w:tcBorders>
            <w:shd w:val="clear" w:color="auto" w:fill="D4F1F5"/>
          </w:tcPr>
          <w:p>
            <w:pPr>
              <w:jc w:val="center"/>
              <w:ind w:left="82"/>
              <w:spacing w:after="0"/>
              <w:rPr>
                <w:sz w:val="20"/>
                <w:szCs w:val="20"/>
                <w:color w:val="auto"/>
              </w:rPr>
            </w:pPr>
            <w:r>
              <w:rPr>
                <w:rFonts w:ascii="Arial" w:cs="Arial" w:eastAsia="Arial" w:hAnsi="Arial"/>
                <w:sz w:val="16"/>
                <w:szCs w:val="16"/>
                <w:color w:val="auto"/>
              </w:rPr>
              <w:t>per MMBtu</w:t>
            </w:r>
          </w:p>
        </w:tc>
        <w:tc>
          <w:tcPr>
            <w:tcW w:w="280" w:type="dxa"/>
            <w:vAlign w:val="bottom"/>
            <w:tcBorders>
              <w:bottom w:val="single" w:sz="8" w:color="B6B6B6"/>
            </w:tcBorders>
            <w:vMerge w:val="continue"/>
            <w:shd w:val="clear" w:color="auto" w:fill="D4F1F5"/>
          </w:tcPr>
          <w:p>
            <w:pPr>
              <w:spacing w:after="0"/>
              <w:rPr>
                <w:sz w:val="19"/>
                <w:szCs w:val="19"/>
                <w:color w:val="auto"/>
              </w:rPr>
            </w:pPr>
          </w:p>
        </w:tc>
        <w:tc>
          <w:tcPr>
            <w:tcW w:w="1140" w:type="dxa"/>
            <w:vAlign w:val="bottom"/>
            <w:tcBorders>
              <w:bottom w:val="single" w:sz="8" w:color="B6B6B6"/>
            </w:tcBorders>
            <w:vMerge w:val="continue"/>
            <w:shd w:val="clear" w:color="auto" w:fill="D4F1F5"/>
          </w:tcPr>
          <w:p>
            <w:pPr>
              <w:spacing w:after="0"/>
              <w:rPr>
                <w:sz w:val="19"/>
                <w:szCs w:val="19"/>
                <w:color w:val="auto"/>
              </w:rPr>
            </w:pPr>
          </w:p>
        </w:tc>
        <w:tc>
          <w:tcPr>
            <w:tcW w:w="520" w:type="dxa"/>
            <w:vAlign w:val="bottom"/>
            <w:tcBorders>
              <w:bottom w:val="single" w:sz="8" w:color="B6B6B6"/>
            </w:tcBorders>
            <w:vMerge w:val="continue"/>
            <w:shd w:val="clear" w:color="auto" w:fill="D4F1F5"/>
          </w:tcPr>
          <w:p>
            <w:pPr>
              <w:spacing w:after="0"/>
              <w:rPr>
                <w:sz w:val="19"/>
                <w:szCs w:val="19"/>
                <w:color w:val="auto"/>
              </w:rPr>
            </w:pPr>
          </w:p>
        </w:tc>
        <w:tc>
          <w:tcPr>
            <w:tcW w:w="180" w:type="dxa"/>
            <w:vAlign w:val="bottom"/>
            <w:tcBorders>
              <w:bottom w:val="single" w:sz="8" w:color="B6B6B6"/>
            </w:tcBorders>
            <w:vMerge w:val="continue"/>
            <w:shd w:val="clear" w:color="auto" w:fill="D4F1F5"/>
          </w:tcPr>
          <w:p>
            <w:pPr>
              <w:spacing w:after="0"/>
              <w:rPr>
                <w:sz w:val="19"/>
                <w:szCs w:val="19"/>
                <w:color w:val="auto"/>
              </w:rPr>
            </w:pPr>
          </w:p>
        </w:tc>
        <w:tc>
          <w:tcPr>
            <w:tcW w:w="880" w:type="dxa"/>
            <w:vAlign w:val="bottom"/>
            <w:tcBorders>
              <w:bottom w:val="single" w:sz="8" w:color="B6B6B6"/>
            </w:tcBorders>
            <w:vMerge w:val="continue"/>
            <w:shd w:val="clear" w:color="auto" w:fill="D4F1F5"/>
          </w:tcPr>
          <w:p>
            <w:pPr>
              <w:spacing w:after="0"/>
              <w:rPr>
                <w:sz w:val="19"/>
                <w:szCs w:val="19"/>
                <w:color w:val="auto"/>
              </w:rPr>
            </w:pPr>
          </w:p>
        </w:tc>
        <w:tc>
          <w:tcPr>
            <w:tcW w:w="0" w:type="dxa"/>
            <w:vAlign w:val="bottom"/>
          </w:tcPr>
          <w:p>
            <w:pPr>
              <w:spacing w:after="0"/>
              <w:rPr>
                <w:sz w:val="1"/>
                <w:szCs w:val="1"/>
                <w:color w:val="auto"/>
              </w:rPr>
            </w:pPr>
          </w:p>
        </w:tc>
      </w:tr>
    </w:tbl>
    <w:p>
      <w:pPr>
        <w:spacing w:after="0" w:line="238" w:lineRule="exact"/>
        <w:rPr>
          <w:sz w:val="20"/>
          <w:szCs w:val="20"/>
          <w:color w:val="auto"/>
        </w:rPr>
      </w:pPr>
    </w:p>
    <w:p>
      <w:pPr>
        <w:ind w:right="280"/>
        <w:spacing w:after="0" w:line="274" w:lineRule="auto"/>
        <w:rPr>
          <w:sz w:val="20"/>
          <w:szCs w:val="20"/>
          <w:color w:val="auto"/>
        </w:rPr>
      </w:pPr>
      <w:r>
        <w:rPr>
          <w:rFonts w:ascii="Times New Roman" w:cs="Times New Roman" w:eastAsia="Times New Roman" w:hAnsi="Times New Roman"/>
          <w:sz w:val="18"/>
          <w:szCs w:val="18"/>
          <w:color w:val="auto"/>
        </w:rPr>
        <w:t>The valuation of our natural gas derivatives is sensitive to changes in forward pricing and location-specific price adjustments. Generally, significant increases or decreases in forward pricing, in isolation, would decrease or increase, respectively, the fair value of the natural gas derivatives. We evaluate valuation inputs and assumptions at least quarterly and update inputs as necessary to reflect changes.</w:t>
      </w: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150495</wp:posOffset>
            </wp:positionV>
            <wp:extent cx="7157720"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Fair Value of Financial Instruments</w:t>
      </w:r>
    </w:p>
    <w:p>
      <w:pPr>
        <w:spacing w:after="0" w:line="49"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The fair values of certain of our financial instruments (cash, current and noncurrent accounts receivable, amounts due to/from unconsolidated affiliates with original maturities of less than 90 days, dividends and accounts payable due in one year or less, short-term debt and customer deposits) approximate their carrying amounts because of the short-term nature of these instruments. Investments in life insurance contracts that we hold in support of our Supplemental Executive Retirement Plan, Cash Balance Restoration Plan and Employee and Director Savings Plan are carried at cash surrender values, which represent the amount of cash that could be realized under the contracts. The following table provides the carrying amounts and fair values of certain other financial instruments that are not recorded at fair value on the Condensed Consolidated Balance Sheets.</w:t>
      </w:r>
    </w:p>
    <w:p>
      <w:pPr>
        <w:spacing w:after="0" w:line="126"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FFFFFF"/>
        </w:rPr>
        <w:t>FAIR VALUE OF FINANCIAL INSTRUMENTS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-115570</wp:posOffset>
            </wp:positionV>
            <wp:extent cx="7132320" cy="26543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32320" cy="265430"/>
                    </a:xfrm>
                    <a:prstGeom prst="rect">
                      <a:avLst/>
                    </a:prstGeom>
                    <a:noFill/>
                  </pic:spPr>
                </pic:pic>
              </a:graphicData>
            </a:graphic>
          </wp:anchor>
        </w:drawing>
      </w:r>
    </w:p>
    <w:p>
      <w:pPr>
        <w:spacing w:after="0" w:line="19" w:lineRule="exact"/>
        <w:rPr>
          <w:sz w:val="20"/>
          <w:szCs w:val="20"/>
          <w:color w:val="auto"/>
        </w:rPr>
      </w:pPr>
    </w:p>
    <w:p>
      <w:pPr>
        <w:ind w:left="20"/>
        <w:spacing w:after="0"/>
        <w:rPr>
          <w:sz w:val="20"/>
          <w:szCs w:val="20"/>
          <w:color w:val="auto"/>
        </w:rPr>
      </w:pPr>
      <w:r>
        <w:rPr>
          <w:rFonts w:ascii="Arial" w:cs="Arial" w:eastAsia="Arial" w:hAnsi="Arial"/>
          <w:sz w:val="14"/>
          <w:szCs w:val="14"/>
          <w:i w:val="1"/>
          <w:iCs w:val="1"/>
          <w:color w:val="FFFFFF"/>
        </w:rPr>
        <w:t>(Dollars in millions)</w:t>
      </w:r>
    </w:p>
    <w:p>
      <w:pPr>
        <w:spacing w:after="0" w:line="53"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5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jc w:val="right"/>
              <w:ind w:right="200"/>
              <w:spacing w:after="0"/>
              <w:rPr>
                <w:sz w:val="20"/>
                <w:szCs w:val="20"/>
                <w:color w:val="auto"/>
              </w:rPr>
            </w:pPr>
            <w:r>
              <w:rPr>
                <w:rFonts w:ascii="Arial" w:cs="Arial" w:eastAsia="Arial" w:hAnsi="Arial"/>
                <w:sz w:val="14"/>
                <w:szCs w:val="14"/>
                <w:color w:val="auto"/>
              </w:rPr>
              <w:t>Carrying</w:t>
            </w:r>
          </w:p>
        </w:tc>
        <w:tc>
          <w:tcPr>
            <w:tcW w:w="3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Fair value</w:t>
            </w:r>
          </w:p>
        </w:tc>
        <w:tc>
          <w:tcPr>
            <w:tcW w:w="86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r>
      <w:tr>
        <w:trPr>
          <w:trHeight w:val="206"/>
        </w:trPr>
        <w:tc>
          <w:tcPr>
            <w:tcW w:w="52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240"/>
              <w:spacing w:after="0"/>
              <w:rPr>
                <w:sz w:val="20"/>
                <w:szCs w:val="20"/>
                <w:color w:val="auto"/>
              </w:rPr>
            </w:pPr>
            <w:r>
              <w:rPr>
                <w:rFonts w:ascii="Arial" w:cs="Arial" w:eastAsia="Arial" w:hAnsi="Arial"/>
                <w:sz w:val="14"/>
                <w:szCs w:val="14"/>
                <w:color w:val="auto"/>
              </w:rPr>
              <w:t>amount</w:t>
            </w:r>
          </w:p>
        </w:tc>
        <w:tc>
          <w:tcPr>
            <w:tcW w:w="3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ind w:left="100"/>
              <w:spacing w:after="0"/>
              <w:rPr>
                <w:sz w:val="20"/>
                <w:szCs w:val="20"/>
                <w:color w:val="auto"/>
              </w:rPr>
            </w:pPr>
            <w:r>
              <w:rPr>
                <w:rFonts w:ascii="Arial" w:cs="Arial" w:eastAsia="Arial" w:hAnsi="Arial"/>
                <w:sz w:val="14"/>
                <w:szCs w:val="14"/>
                <w:color w:val="auto"/>
              </w:rPr>
              <w:t>Level 1</w:t>
            </w:r>
          </w:p>
        </w:tc>
        <w:tc>
          <w:tcPr>
            <w:tcW w:w="3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center"/>
              <w:ind w:right="220"/>
              <w:spacing w:after="0"/>
              <w:rPr>
                <w:sz w:val="20"/>
                <w:szCs w:val="20"/>
                <w:color w:val="auto"/>
              </w:rPr>
            </w:pPr>
            <w:r>
              <w:rPr>
                <w:rFonts w:ascii="Arial" w:cs="Arial" w:eastAsia="Arial" w:hAnsi="Arial"/>
                <w:sz w:val="14"/>
                <w:szCs w:val="14"/>
                <w:color w:val="auto"/>
              </w:rPr>
              <w:t>Level 2</w:t>
            </w:r>
          </w:p>
        </w:tc>
        <w:tc>
          <w:tcPr>
            <w:tcW w:w="30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280"/>
              <w:spacing w:after="0"/>
              <w:rPr>
                <w:sz w:val="20"/>
                <w:szCs w:val="20"/>
                <w:color w:val="auto"/>
              </w:rPr>
            </w:pPr>
            <w:r>
              <w:rPr>
                <w:rFonts w:ascii="Arial" w:cs="Arial" w:eastAsia="Arial" w:hAnsi="Arial"/>
                <w:sz w:val="14"/>
                <w:szCs w:val="14"/>
                <w:color w:val="auto"/>
              </w:rPr>
              <w:t>Level 3</w:t>
            </w:r>
          </w:p>
        </w:tc>
        <w:tc>
          <w:tcPr>
            <w:tcW w:w="3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320"/>
              <w:spacing w:after="0"/>
              <w:rPr>
                <w:sz w:val="20"/>
                <w:szCs w:val="20"/>
                <w:color w:val="auto"/>
              </w:rPr>
            </w:pPr>
            <w:r>
              <w:rPr>
                <w:rFonts w:ascii="Arial" w:cs="Arial" w:eastAsia="Arial" w:hAnsi="Arial"/>
                <w:sz w:val="14"/>
                <w:szCs w:val="14"/>
                <w:color w:val="auto"/>
              </w:rPr>
              <w:t>Total</w:t>
            </w:r>
          </w:p>
        </w:tc>
      </w:tr>
      <w:tr>
        <w:trPr>
          <w:trHeight w:val="209"/>
        </w:trPr>
        <w:tc>
          <w:tcPr>
            <w:tcW w:w="52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color w:val="auto"/>
              </w:rPr>
              <w:t>March 31, 2026</w:t>
            </w:r>
          </w:p>
        </w:tc>
        <w:tc>
          <w:tcPr>
            <w:tcW w:w="3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r>
      <w:tr>
        <w:trPr>
          <w:trHeight w:val="214"/>
        </w:trPr>
        <w:tc>
          <w:tcPr>
            <w:tcW w:w="5200" w:type="dxa"/>
            <w:vAlign w:val="bottom"/>
            <w:shd w:val="clear" w:color="auto" w:fill="D4F1F5"/>
          </w:tcPr>
          <w:p>
            <w:pPr>
              <w:ind w:left="20"/>
              <w:spacing w:after="0"/>
              <w:rPr>
                <w:sz w:val="20"/>
                <w:szCs w:val="20"/>
                <w:color w:val="auto"/>
              </w:rPr>
            </w:pPr>
            <w:r>
              <w:rPr>
                <w:rFonts w:ascii="Arial" w:cs="Arial" w:eastAsia="Arial" w:hAnsi="Arial"/>
                <w:sz w:val="16"/>
                <w:szCs w:val="16"/>
                <w:b w:val="1"/>
                <w:bCs w:val="1"/>
                <w:color w:val="auto"/>
              </w:rPr>
              <w:t>Sempra:</w:t>
            </w:r>
          </w:p>
        </w:tc>
        <w:tc>
          <w:tcPr>
            <w:tcW w:w="200" w:type="dxa"/>
            <w:vAlign w:val="bottom"/>
            <w:shd w:val="clear" w:color="auto" w:fill="D4F1F5"/>
          </w:tcPr>
          <w:p>
            <w:pPr>
              <w:spacing w:after="0"/>
              <w:rPr>
                <w:sz w:val="18"/>
                <w:szCs w:val="18"/>
                <w:color w:val="auto"/>
              </w:rPr>
            </w:pPr>
          </w:p>
        </w:tc>
        <w:tc>
          <w:tcPr>
            <w:tcW w:w="920" w:type="dxa"/>
            <w:vAlign w:val="bottom"/>
            <w:shd w:val="clear" w:color="auto" w:fill="D4F1F5"/>
          </w:tcPr>
          <w:p>
            <w:pPr>
              <w:spacing w:after="0"/>
              <w:rPr>
                <w:sz w:val="18"/>
                <w:szCs w:val="18"/>
                <w:color w:val="auto"/>
              </w:rPr>
            </w:pPr>
          </w:p>
        </w:tc>
        <w:tc>
          <w:tcPr>
            <w:tcW w:w="340" w:type="dxa"/>
            <w:vAlign w:val="bottom"/>
            <w:shd w:val="clear" w:color="auto" w:fill="D4F1F5"/>
          </w:tcPr>
          <w:p>
            <w:pPr>
              <w:spacing w:after="0"/>
              <w:rPr>
                <w:sz w:val="18"/>
                <w:szCs w:val="18"/>
                <w:color w:val="auto"/>
              </w:rPr>
            </w:pPr>
          </w:p>
        </w:tc>
        <w:tc>
          <w:tcPr>
            <w:tcW w:w="880" w:type="dxa"/>
            <w:vAlign w:val="bottom"/>
            <w:shd w:val="clear" w:color="auto" w:fill="D4F1F5"/>
          </w:tcPr>
          <w:p>
            <w:pPr>
              <w:spacing w:after="0"/>
              <w:rPr>
                <w:sz w:val="18"/>
                <w:szCs w:val="18"/>
                <w:color w:val="auto"/>
              </w:rPr>
            </w:pPr>
          </w:p>
        </w:tc>
        <w:tc>
          <w:tcPr>
            <w:tcW w:w="340" w:type="dxa"/>
            <w:vAlign w:val="bottom"/>
            <w:shd w:val="clear" w:color="auto" w:fill="D4F1F5"/>
          </w:tcPr>
          <w:p>
            <w:pPr>
              <w:spacing w:after="0"/>
              <w:rPr>
                <w:sz w:val="18"/>
                <w:szCs w:val="18"/>
                <w:color w:val="auto"/>
              </w:rPr>
            </w:pPr>
          </w:p>
        </w:tc>
        <w:tc>
          <w:tcPr>
            <w:tcW w:w="1000" w:type="dxa"/>
            <w:vAlign w:val="bottom"/>
            <w:shd w:val="clear" w:color="auto" w:fill="D4F1F5"/>
          </w:tcPr>
          <w:p>
            <w:pPr>
              <w:spacing w:after="0"/>
              <w:rPr>
                <w:sz w:val="18"/>
                <w:szCs w:val="18"/>
                <w:color w:val="auto"/>
              </w:rPr>
            </w:pPr>
          </w:p>
        </w:tc>
        <w:tc>
          <w:tcPr>
            <w:tcW w:w="300" w:type="dxa"/>
            <w:vAlign w:val="bottom"/>
            <w:shd w:val="clear" w:color="auto" w:fill="D4F1F5"/>
          </w:tcPr>
          <w:p>
            <w:pPr>
              <w:spacing w:after="0"/>
              <w:rPr>
                <w:sz w:val="18"/>
                <w:szCs w:val="18"/>
                <w:color w:val="auto"/>
              </w:rPr>
            </w:pPr>
          </w:p>
        </w:tc>
        <w:tc>
          <w:tcPr>
            <w:tcW w:w="860" w:type="dxa"/>
            <w:vAlign w:val="bottom"/>
            <w:shd w:val="clear" w:color="auto" w:fill="D4F1F5"/>
          </w:tcPr>
          <w:p>
            <w:pPr>
              <w:spacing w:after="0"/>
              <w:rPr>
                <w:sz w:val="18"/>
                <w:szCs w:val="18"/>
                <w:color w:val="auto"/>
              </w:rPr>
            </w:pPr>
          </w:p>
        </w:tc>
        <w:tc>
          <w:tcPr>
            <w:tcW w:w="340" w:type="dxa"/>
            <w:vAlign w:val="bottom"/>
            <w:shd w:val="clear" w:color="auto" w:fill="D4F1F5"/>
          </w:tcPr>
          <w:p>
            <w:pPr>
              <w:spacing w:after="0"/>
              <w:rPr>
                <w:sz w:val="18"/>
                <w:szCs w:val="18"/>
                <w:color w:val="auto"/>
              </w:rPr>
            </w:pPr>
          </w:p>
        </w:tc>
        <w:tc>
          <w:tcPr>
            <w:tcW w:w="860" w:type="dxa"/>
            <w:vAlign w:val="bottom"/>
            <w:shd w:val="clear" w:color="auto" w:fill="D4F1F5"/>
          </w:tcPr>
          <w:p>
            <w:pPr>
              <w:spacing w:after="0"/>
              <w:rPr>
                <w:sz w:val="18"/>
                <w:szCs w:val="18"/>
                <w:color w:val="auto"/>
              </w:rPr>
            </w:pPr>
          </w:p>
        </w:tc>
      </w:tr>
      <w:tr>
        <w:trPr>
          <w:trHeight w:val="216"/>
        </w:trPr>
        <w:tc>
          <w:tcPr>
            <w:tcW w:w="5200" w:type="dxa"/>
            <w:vAlign w:val="bottom"/>
          </w:tcPr>
          <w:p>
            <w:pPr>
              <w:ind w:left="100"/>
              <w:spacing w:after="0" w:line="216" w:lineRule="exact"/>
              <w:rPr>
                <w:sz w:val="20"/>
                <w:szCs w:val="20"/>
                <w:color w:val="auto"/>
              </w:rPr>
            </w:pPr>
            <w:r>
              <w:rPr>
                <w:rFonts w:ascii="Arial" w:cs="Arial" w:eastAsia="Arial" w:hAnsi="Arial"/>
                <w:sz w:val="16"/>
                <w:szCs w:val="16"/>
                <w:color w:val="auto"/>
              </w:rPr>
              <w:t>Long-term note receivable</w:t>
            </w:r>
            <w:r>
              <w:rPr>
                <w:rFonts w:ascii="Arial" w:cs="Arial" w:eastAsia="Arial" w:hAnsi="Arial"/>
                <w:sz w:val="21"/>
                <w:szCs w:val="21"/>
                <w:color w:val="auto"/>
                <w:vertAlign w:val="superscript"/>
              </w:rPr>
              <w:t>(1)</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374</w:t>
            </w:r>
          </w:p>
        </w:tc>
        <w:tc>
          <w:tcPr>
            <w:tcW w:w="3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880" w:type="dxa"/>
            <w:vAlign w:val="bottom"/>
          </w:tcPr>
          <w:p>
            <w:pPr>
              <w:ind w:left="660"/>
              <w:spacing w:after="0"/>
              <w:rPr>
                <w:sz w:val="20"/>
                <w:szCs w:val="20"/>
                <w:color w:val="auto"/>
              </w:rPr>
            </w:pPr>
            <w:r>
              <w:rPr>
                <w:rFonts w:ascii="Arial" w:cs="Arial" w:eastAsia="Arial" w:hAnsi="Arial"/>
                <w:sz w:val="16"/>
                <w:szCs w:val="16"/>
                <w:color w:val="auto"/>
              </w:rPr>
              <w:t>—</w:t>
            </w:r>
          </w:p>
        </w:tc>
        <w:tc>
          <w:tcPr>
            <w:tcW w:w="34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80"/>
              <w:spacing w:after="0"/>
              <w:rPr>
                <w:sz w:val="20"/>
                <w:szCs w:val="20"/>
                <w:color w:val="auto"/>
              </w:rPr>
            </w:pPr>
            <w:r>
              <w:rPr>
                <w:rFonts w:ascii="Arial" w:cs="Arial" w:eastAsia="Arial" w:hAnsi="Arial"/>
                <w:sz w:val="16"/>
                <w:szCs w:val="16"/>
                <w:color w:val="auto"/>
              </w:rPr>
              <w:t>—</w:t>
            </w: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370</w:t>
            </w:r>
          </w:p>
        </w:tc>
        <w:tc>
          <w:tcPr>
            <w:tcW w:w="3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370</w:t>
            </w:r>
          </w:p>
        </w:tc>
      </w:tr>
      <w:tr>
        <w:trPr>
          <w:trHeight w:val="216"/>
        </w:trPr>
        <w:tc>
          <w:tcPr>
            <w:tcW w:w="5200" w:type="dxa"/>
            <w:vAlign w:val="bottom"/>
            <w:shd w:val="clear" w:color="auto" w:fill="D4F1F5"/>
          </w:tcPr>
          <w:p>
            <w:pPr>
              <w:ind w:left="100"/>
              <w:spacing w:after="0"/>
              <w:rPr>
                <w:sz w:val="20"/>
                <w:szCs w:val="20"/>
                <w:color w:val="auto"/>
              </w:rPr>
            </w:pPr>
            <w:r>
              <w:rPr>
                <w:rFonts w:ascii="Arial" w:cs="Arial" w:eastAsia="Arial" w:hAnsi="Arial"/>
                <w:sz w:val="16"/>
                <w:szCs w:val="16"/>
                <w:color w:val="auto"/>
              </w:rPr>
              <w:t>Long-term amounts due to unconsolidated affiliates held for sale</w:t>
            </w:r>
          </w:p>
        </w:tc>
        <w:tc>
          <w:tcPr>
            <w:tcW w:w="200" w:type="dxa"/>
            <w:vAlign w:val="bottom"/>
            <w:shd w:val="clear" w:color="auto" w:fill="D4F1F5"/>
          </w:tcPr>
          <w:p>
            <w:pPr>
              <w:spacing w:after="0"/>
              <w:rPr>
                <w:sz w:val="18"/>
                <w:szCs w:val="18"/>
                <w:color w:val="auto"/>
              </w:rPr>
            </w:pPr>
          </w:p>
        </w:tc>
        <w:tc>
          <w:tcPr>
            <w:tcW w:w="920" w:type="dxa"/>
            <w:vAlign w:val="bottom"/>
            <w:shd w:val="clear" w:color="auto" w:fill="D4F1F5"/>
          </w:tcPr>
          <w:p>
            <w:pPr>
              <w:jc w:val="right"/>
              <w:spacing w:after="0"/>
              <w:rPr>
                <w:sz w:val="20"/>
                <w:szCs w:val="20"/>
                <w:color w:val="auto"/>
              </w:rPr>
            </w:pPr>
            <w:r>
              <w:rPr>
                <w:rFonts w:ascii="Arial" w:cs="Arial" w:eastAsia="Arial" w:hAnsi="Arial"/>
                <w:sz w:val="16"/>
                <w:szCs w:val="16"/>
                <w:color w:val="auto"/>
              </w:rPr>
              <w:t>485</w:t>
            </w:r>
          </w:p>
        </w:tc>
        <w:tc>
          <w:tcPr>
            <w:tcW w:w="340" w:type="dxa"/>
            <w:vAlign w:val="bottom"/>
            <w:shd w:val="clear" w:color="auto" w:fill="D4F1F5"/>
          </w:tcPr>
          <w:p>
            <w:pPr>
              <w:spacing w:after="0"/>
              <w:rPr>
                <w:sz w:val="18"/>
                <w:szCs w:val="18"/>
                <w:color w:val="auto"/>
              </w:rPr>
            </w:pPr>
          </w:p>
        </w:tc>
        <w:tc>
          <w:tcPr>
            <w:tcW w:w="880" w:type="dxa"/>
            <w:vAlign w:val="bottom"/>
            <w:shd w:val="clear" w:color="auto" w:fill="D4F1F5"/>
          </w:tcPr>
          <w:p>
            <w:pPr>
              <w:ind w:left="660"/>
              <w:spacing w:after="0"/>
              <w:rPr>
                <w:sz w:val="20"/>
                <w:szCs w:val="20"/>
                <w:color w:val="auto"/>
              </w:rPr>
            </w:pPr>
            <w:r>
              <w:rPr>
                <w:rFonts w:ascii="Arial" w:cs="Arial" w:eastAsia="Arial" w:hAnsi="Arial"/>
                <w:sz w:val="16"/>
                <w:szCs w:val="16"/>
                <w:color w:val="auto"/>
              </w:rPr>
              <w:t>—</w:t>
            </w:r>
          </w:p>
        </w:tc>
        <w:tc>
          <w:tcPr>
            <w:tcW w:w="340" w:type="dxa"/>
            <w:vAlign w:val="bottom"/>
            <w:shd w:val="clear" w:color="auto" w:fill="D4F1F5"/>
          </w:tcPr>
          <w:p>
            <w:pPr>
              <w:spacing w:after="0"/>
              <w:rPr>
                <w:sz w:val="18"/>
                <w:szCs w:val="18"/>
                <w:color w:val="auto"/>
              </w:rPr>
            </w:pPr>
          </w:p>
        </w:tc>
        <w:tc>
          <w:tcPr>
            <w:tcW w:w="1000" w:type="dxa"/>
            <w:vAlign w:val="bottom"/>
            <w:shd w:val="clear" w:color="auto" w:fill="D4F1F5"/>
          </w:tcPr>
          <w:p>
            <w:pPr>
              <w:jc w:val="right"/>
              <w:ind w:right="80"/>
              <w:spacing w:after="0"/>
              <w:rPr>
                <w:sz w:val="20"/>
                <w:szCs w:val="20"/>
                <w:color w:val="auto"/>
              </w:rPr>
            </w:pPr>
            <w:r>
              <w:rPr>
                <w:rFonts w:ascii="Arial" w:cs="Arial" w:eastAsia="Arial" w:hAnsi="Arial"/>
                <w:sz w:val="16"/>
                <w:szCs w:val="16"/>
                <w:color w:val="auto"/>
              </w:rPr>
              <w:t>469</w:t>
            </w:r>
          </w:p>
        </w:tc>
        <w:tc>
          <w:tcPr>
            <w:tcW w:w="300" w:type="dxa"/>
            <w:vAlign w:val="bottom"/>
            <w:shd w:val="clear" w:color="auto" w:fill="D4F1F5"/>
          </w:tcPr>
          <w:p>
            <w:pPr>
              <w:spacing w:after="0"/>
              <w:rPr>
                <w:sz w:val="18"/>
                <w:szCs w:val="18"/>
                <w:color w:val="auto"/>
              </w:rPr>
            </w:pPr>
          </w:p>
        </w:tc>
        <w:tc>
          <w:tcPr>
            <w:tcW w:w="860" w:type="dxa"/>
            <w:vAlign w:val="bottom"/>
            <w:shd w:val="clear" w:color="auto" w:fill="D4F1F5"/>
          </w:tcPr>
          <w:p>
            <w:pPr>
              <w:jc w:val="right"/>
              <w:ind w:right="20"/>
              <w:spacing w:after="0"/>
              <w:rPr>
                <w:sz w:val="20"/>
                <w:szCs w:val="20"/>
                <w:color w:val="auto"/>
              </w:rPr>
            </w:pPr>
            <w:r>
              <w:rPr>
                <w:rFonts w:ascii="Arial" w:cs="Arial" w:eastAsia="Arial" w:hAnsi="Arial"/>
                <w:sz w:val="16"/>
                <w:szCs w:val="16"/>
                <w:color w:val="auto"/>
              </w:rPr>
              <w:t>—</w:t>
            </w:r>
          </w:p>
        </w:tc>
        <w:tc>
          <w:tcPr>
            <w:tcW w:w="340" w:type="dxa"/>
            <w:vAlign w:val="bottom"/>
            <w:shd w:val="clear" w:color="auto" w:fill="D4F1F5"/>
          </w:tcPr>
          <w:p>
            <w:pPr>
              <w:spacing w:after="0"/>
              <w:rPr>
                <w:sz w:val="18"/>
                <w:szCs w:val="18"/>
                <w:color w:val="auto"/>
              </w:rPr>
            </w:pPr>
          </w:p>
        </w:tc>
        <w:tc>
          <w:tcPr>
            <w:tcW w:w="860" w:type="dxa"/>
            <w:vAlign w:val="bottom"/>
            <w:shd w:val="clear" w:color="auto" w:fill="D4F1F5"/>
          </w:tcPr>
          <w:p>
            <w:pPr>
              <w:jc w:val="right"/>
              <w:spacing w:after="0"/>
              <w:rPr>
                <w:sz w:val="20"/>
                <w:szCs w:val="20"/>
                <w:color w:val="auto"/>
              </w:rPr>
            </w:pPr>
            <w:r>
              <w:rPr>
                <w:rFonts w:ascii="Arial" w:cs="Arial" w:eastAsia="Arial" w:hAnsi="Arial"/>
                <w:sz w:val="16"/>
                <w:szCs w:val="16"/>
                <w:color w:val="auto"/>
              </w:rPr>
              <w:t>469</w:t>
            </w:r>
          </w:p>
        </w:tc>
      </w:tr>
      <w:tr>
        <w:trPr>
          <w:trHeight w:val="216"/>
        </w:trPr>
        <w:tc>
          <w:tcPr>
            <w:tcW w:w="5200" w:type="dxa"/>
            <w:vAlign w:val="bottom"/>
          </w:tcPr>
          <w:p>
            <w:pPr>
              <w:ind w:left="100"/>
              <w:spacing w:after="0" w:line="216" w:lineRule="exact"/>
              <w:rPr>
                <w:sz w:val="20"/>
                <w:szCs w:val="20"/>
                <w:color w:val="auto"/>
              </w:rPr>
            </w:pPr>
            <w:r>
              <w:rPr>
                <w:rFonts w:ascii="Arial" w:cs="Arial" w:eastAsia="Arial" w:hAnsi="Arial"/>
                <w:sz w:val="16"/>
                <w:szCs w:val="16"/>
                <w:color w:val="auto"/>
              </w:rPr>
              <w:t>Long-term debt held for sale</w:t>
            </w:r>
            <w:r>
              <w:rPr>
                <w:rFonts w:ascii="Arial" w:cs="Arial" w:eastAsia="Arial" w:hAnsi="Arial"/>
                <w:sz w:val="21"/>
                <w:szCs w:val="21"/>
                <w:color w:val="auto"/>
                <w:vertAlign w:val="superscript"/>
              </w:rPr>
              <w:t>(2)</w:t>
            </w: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8,641</w:t>
            </w:r>
          </w:p>
        </w:tc>
        <w:tc>
          <w:tcPr>
            <w:tcW w:w="340" w:type="dxa"/>
            <w:vAlign w:val="bottom"/>
          </w:tcPr>
          <w:p>
            <w:pPr>
              <w:spacing w:after="0"/>
              <w:rPr>
                <w:sz w:val="18"/>
                <w:szCs w:val="18"/>
                <w:color w:val="auto"/>
              </w:rPr>
            </w:pPr>
          </w:p>
        </w:tc>
        <w:tc>
          <w:tcPr>
            <w:tcW w:w="880" w:type="dxa"/>
            <w:vAlign w:val="bottom"/>
          </w:tcPr>
          <w:p>
            <w:pPr>
              <w:ind w:left="66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1000" w:type="dxa"/>
            <w:vAlign w:val="bottom"/>
          </w:tcPr>
          <w:p>
            <w:pPr>
              <w:jc w:val="right"/>
              <w:ind w:right="80"/>
              <w:spacing w:after="0"/>
              <w:rPr>
                <w:sz w:val="20"/>
                <w:szCs w:val="20"/>
                <w:color w:val="auto"/>
              </w:rPr>
            </w:pPr>
            <w:r>
              <w:rPr>
                <w:rFonts w:ascii="Arial" w:cs="Arial" w:eastAsia="Arial" w:hAnsi="Arial"/>
                <w:sz w:val="16"/>
                <w:szCs w:val="16"/>
                <w:color w:val="auto"/>
              </w:rPr>
              <w:t>8,259</w:t>
            </w:r>
          </w:p>
        </w:tc>
        <w:tc>
          <w:tcPr>
            <w:tcW w:w="300" w:type="dxa"/>
            <w:vAlign w:val="bottom"/>
          </w:tcPr>
          <w:p>
            <w:pPr>
              <w:spacing w:after="0"/>
              <w:rPr>
                <w:sz w:val="18"/>
                <w:szCs w:val="18"/>
                <w:color w:val="auto"/>
              </w:rPr>
            </w:pP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8,259</w:t>
            </w:r>
          </w:p>
        </w:tc>
      </w:tr>
      <w:tr>
        <w:trPr>
          <w:trHeight w:val="223"/>
        </w:trPr>
        <w:tc>
          <w:tcPr>
            <w:tcW w:w="5200" w:type="dxa"/>
            <w:vAlign w:val="bottom"/>
            <w:tcBorders>
              <w:bottom w:val="single" w:sz="8" w:color="ACACAC"/>
            </w:tcBorders>
            <w:shd w:val="clear" w:color="auto" w:fill="D4F1F5"/>
          </w:tcPr>
          <w:p>
            <w:pPr>
              <w:ind w:left="100"/>
              <w:spacing w:after="0" w:line="216" w:lineRule="exact"/>
              <w:rPr>
                <w:sz w:val="20"/>
                <w:szCs w:val="20"/>
                <w:color w:val="auto"/>
              </w:rPr>
            </w:pPr>
            <w:r>
              <w:rPr>
                <w:rFonts w:ascii="Arial" w:cs="Arial" w:eastAsia="Arial" w:hAnsi="Arial"/>
                <w:sz w:val="16"/>
                <w:szCs w:val="16"/>
                <w:color w:val="auto"/>
              </w:rPr>
              <w:t>Long-term debt</w:t>
            </w:r>
            <w:r>
              <w:rPr>
                <w:rFonts w:ascii="Arial" w:cs="Arial" w:eastAsia="Arial" w:hAnsi="Arial"/>
                <w:sz w:val="21"/>
                <w:szCs w:val="21"/>
                <w:color w:val="auto"/>
                <w:vertAlign w:val="superscript"/>
              </w:rPr>
              <w:t>(3)</w:t>
            </w:r>
          </w:p>
        </w:tc>
        <w:tc>
          <w:tcPr>
            <w:tcW w:w="200" w:type="dxa"/>
            <w:vAlign w:val="bottom"/>
            <w:tcBorders>
              <w:bottom w:val="single" w:sz="8" w:color="ACACAC"/>
            </w:tcBorders>
            <w:shd w:val="clear" w:color="auto" w:fill="D4F1F5"/>
          </w:tcPr>
          <w:p>
            <w:pPr>
              <w:spacing w:after="0"/>
              <w:rPr>
                <w:sz w:val="19"/>
                <w:szCs w:val="19"/>
                <w:color w:val="auto"/>
              </w:rPr>
            </w:pPr>
          </w:p>
        </w:tc>
        <w:tc>
          <w:tcPr>
            <w:tcW w:w="920" w:type="dxa"/>
            <w:vAlign w:val="bottom"/>
            <w:tcBorders>
              <w:bottom w:val="single" w:sz="8" w:color="ACACAC"/>
            </w:tcBorders>
            <w:shd w:val="clear" w:color="auto" w:fill="D4F1F5"/>
          </w:tcPr>
          <w:p>
            <w:pPr>
              <w:jc w:val="right"/>
              <w:spacing w:after="0"/>
              <w:rPr>
                <w:sz w:val="20"/>
                <w:szCs w:val="20"/>
                <w:color w:val="auto"/>
              </w:rPr>
            </w:pPr>
            <w:r>
              <w:rPr>
                <w:rFonts w:ascii="Arial" w:cs="Arial" w:eastAsia="Arial" w:hAnsi="Arial"/>
                <w:sz w:val="16"/>
                <w:szCs w:val="16"/>
                <w:color w:val="auto"/>
              </w:rPr>
              <w:t>31,767</w:t>
            </w:r>
          </w:p>
        </w:tc>
        <w:tc>
          <w:tcPr>
            <w:tcW w:w="340" w:type="dxa"/>
            <w:vAlign w:val="bottom"/>
            <w:tcBorders>
              <w:bottom w:val="single" w:sz="8" w:color="ACACAC"/>
            </w:tcBorders>
            <w:shd w:val="clear" w:color="auto" w:fill="D4F1F5"/>
          </w:tcPr>
          <w:p>
            <w:pPr>
              <w:spacing w:after="0"/>
              <w:rPr>
                <w:sz w:val="19"/>
                <w:szCs w:val="19"/>
                <w:color w:val="auto"/>
              </w:rPr>
            </w:pPr>
          </w:p>
        </w:tc>
        <w:tc>
          <w:tcPr>
            <w:tcW w:w="880" w:type="dxa"/>
            <w:vAlign w:val="bottom"/>
            <w:tcBorders>
              <w:bottom w:val="single" w:sz="8" w:color="ACACAC"/>
            </w:tcBorders>
            <w:shd w:val="clear" w:color="auto" w:fill="D4F1F5"/>
          </w:tcPr>
          <w:p>
            <w:pPr>
              <w:ind w:left="660"/>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ACACAC"/>
            </w:tcBorders>
            <w:shd w:val="clear" w:color="auto" w:fill="D4F1F5"/>
          </w:tcPr>
          <w:p>
            <w:pPr>
              <w:spacing w:after="0"/>
              <w:rPr>
                <w:sz w:val="19"/>
                <w:szCs w:val="19"/>
                <w:color w:val="auto"/>
              </w:rPr>
            </w:pPr>
          </w:p>
        </w:tc>
        <w:tc>
          <w:tcPr>
            <w:tcW w:w="1000" w:type="dxa"/>
            <w:vAlign w:val="bottom"/>
            <w:tcBorders>
              <w:bottom w:val="single" w:sz="8" w:color="ACACAC"/>
            </w:tcBorders>
            <w:shd w:val="clear" w:color="auto" w:fill="D4F1F5"/>
          </w:tcPr>
          <w:p>
            <w:pPr>
              <w:jc w:val="right"/>
              <w:ind w:right="80"/>
              <w:spacing w:after="0"/>
              <w:rPr>
                <w:sz w:val="20"/>
                <w:szCs w:val="20"/>
                <w:color w:val="auto"/>
              </w:rPr>
            </w:pPr>
            <w:r>
              <w:rPr>
                <w:rFonts w:ascii="Arial" w:cs="Arial" w:eastAsia="Arial" w:hAnsi="Arial"/>
                <w:sz w:val="16"/>
                <w:szCs w:val="16"/>
                <w:color w:val="auto"/>
              </w:rPr>
              <w:t>29,661</w:t>
            </w:r>
          </w:p>
        </w:tc>
        <w:tc>
          <w:tcPr>
            <w:tcW w:w="300" w:type="dxa"/>
            <w:vAlign w:val="bottom"/>
            <w:tcBorders>
              <w:bottom w:val="single" w:sz="8" w:color="ACACAC"/>
            </w:tcBorders>
            <w:shd w:val="clear" w:color="auto" w:fill="D4F1F5"/>
          </w:tcPr>
          <w:p>
            <w:pPr>
              <w:spacing w:after="0"/>
              <w:rPr>
                <w:sz w:val="19"/>
                <w:szCs w:val="19"/>
                <w:color w:val="auto"/>
              </w:rPr>
            </w:pPr>
          </w:p>
        </w:tc>
        <w:tc>
          <w:tcPr>
            <w:tcW w:w="860" w:type="dxa"/>
            <w:vAlign w:val="bottom"/>
            <w:tcBorders>
              <w:bottom w:val="single" w:sz="8" w:color="ACACAC"/>
            </w:tcBorders>
            <w:shd w:val="clear" w:color="auto" w:fill="D4F1F5"/>
          </w:tcPr>
          <w:p>
            <w:pPr>
              <w:jc w:val="right"/>
              <w:ind w:right="20"/>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ACACAC"/>
            </w:tcBorders>
            <w:shd w:val="clear" w:color="auto" w:fill="D4F1F5"/>
          </w:tcPr>
          <w:p>
            <w:pPr>
              <w:spacing w:after="0"/>
              <w:rPr>
                <w:sz w:val="19"/>
                <w:szCs w:val="19"/>
                <w:color w:val="auto"/>
              </w:rPr>
            </w:pPr>
          </w:p>
        </w:tc>
        <w:tc>
          <w:tcPr>
            <w:tcW w:w="860" w:type="dxa"/>
            <w:vAlign w:val="bottom"/>
            <w:tcBorders>
              <w:bottom w:val="single" w:sz="8" w:color="ACACAC"/>
            </w:tcBorders>
            <w:shd w:val="clear" w:color="auto" w:fill="D4F1F5"/>
          </w:tcPr>
          <w:p>
            <w:pPr>
              <w:jc w:val="right"/>
              <w:spacing w:after="0"/>
              <w:rPr>
                <w:sz w:val="20"/>
                <w:szCs w:val="20"/>
                <w:color w:val="auto"/>
              </w:rPr>
            </w:pPr>
            <w:r>
              <w:rPr>
                <w:rFonts w:ascii="Arial" w:cs="Arial" w:eastAsia="Arial" w:hAnsi="Arial"/>
                <w:sz w:val="16"/>
                <w:szCs w:val="16"/>
                <w:color w:val="auto"/>
              </w:rPr>
              <w:t>29,661</w:t>
            </w:r>
          </w:p>
        </w:tc>
      </w:tr>
      <w:tr>
        <w:trPr>
          <w:trHeight w:val="216"/>
        </w:trPr>
        <w:tc>
          <w:tcPr>
            <w:tcW w:w="5200" w:type="dxa"/>
            <w:vAlign w:val="bottom"/>
          </w:tcPr>
          <w:p>
            <w:pPr>
              <w:ind w:left="20"/>
              <w:spacing w:after="0"/>
              <w:rPr>
                <w:sz w:val="20"/>
                <w:szCs w:val="20"/>
                <w:color w:val="auto"/>
              </w:rPr>
            </w:pPr>
            <w:r>
              <w:rPr>
                <w:rFonts w:ascii="Arial" w:cs="Arial" w:eastAsia="Arial" w:hAnsi="Arial"/>
                <w:sz w:val="16"/>
                <w:szCs w:val="16"/>
                <w:b w:val="1"/>
                <w:bCs w:val="1"/>
                <w:color w:val="auto"/>
              </w:rPr>
              <w:t>SDG&amp;E:</w:t>
            </w: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23"/>
        </w:trPr>
        <w:tc>
          <w:tcPr>
            <w:tcW w:w="5200" w:type="dxa"/>
            <w:vAlign w:val="bottom"/>
            <w:tcBorders>
              <w:bottom w:val="single" w:sz="8" w:color="ACACAC"/>
            </w:tcBorders>
            <w:shd w:val="clear" w:color="auto" w:fill="D4F1F5"/>
          </w:tcPr>
          <w:p>
            <w:pPr>
              <w:ind w:left="100"/>
              <w:spacing w:after="0" w:line="216" w:lineRule="exact"/>
              <w:rPr>
                <w:sz w:val="20"/>
                <w:szCs w:val="20"/>
                <w:color w:val="auto"/>
              </w:rPr>
            </w:pPr>
            <w:r>
              <w:rPr>
                <w:rFonts w:ascii="Arial" w:cs="Arial" w:eastAsia="Arial" w:hAnsi="Arial"/>
                <w:sz w:val="16"/>
                <w:szCs w:val="16"/>
                <w:color w:val="auto"/>
              </w:rPr>
              <w:t>Long-term debt</w:t>
            </w:r>
            <w:r>
              <w:rPr>
                <w:rFonts w:ascii="Arial" w:cs="Arial" w:eastAsia="Arial" w:hAnsi="Arial"/>
                <w:sz w:val="21"/>
                <w:szCs w:val="21"/>
                <w:color w:val="auto"/>
                <w:vertAlign w:val="superscript"/>
              </w:rPr>
              <w:t>(4)</w:t>
            </w:r>
          </w:p>
        </w:tc>
        <w:tc>
          <w:tcPr>
            <w:tcW w:w="200" w:type="dxa"/>
            <w:vAlign w:val="bottom"/>
            <w:tcBorders>
              <w:bottom w:val="single" w:sz="8" w:color="ACACAC"/>
            </w:tcBorders>
            <w:shd w:val="clear" w:color="auto" w:fill="D4F1F5"/>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CACAC"/>
            </w:tcBorders>
            <w:shd w:val="clear" w:color="auto" w:fill="D4F1F5"/>
          </w:tcPr>
          <w:p>
            <w:pPr>
              <w:jc w:val="right"/>
              <w:spacing w:after="0"/>
              <w:rPr>
                <w:sz w:val="20"/>
                <w:szCs w:val="20"/>
                <w:color w:val="auto"/>
              </w:rPr>
            </w:pPr>
            <w:r>
              <w:rPr>
                <w:rFonts w:ascii="Arial" w:cs="Arial" w:eastAsia="Arial" w:hAnsi="Arial"/>
                <w:sz w:val="16"/>
                <w:szCs w:val="16"/>
                <w:color w:val="auto"/>
              </w:rPr>
              <w:t>10,900</w:t>
            </w:r>
          </w:p>
        </w:tc>
        <w:tc>
          <w:tcPr>
            <w:tcW w:w="340" w:type="dxa"/>
            <w:vAlign w:val="bottom"/>
            <w:tcBorders>
              <w:bottom w:val="single" w:sz="8" w:color="ACACAC"/>
            </w:tcBorders>
            <w:shd w:val="clear" w:color="auto" w:fill="D4F1F5"/>
          </w:tcPr>
          <w:p>
            <w:pPr>
              <w:jc w:val="right"/>
              <w:ind w:right="3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CACAC"/>
            </w:tcBorders>
            <w:shd w:val="clear" w:color="auto" w:fill="D4F1F5"/>
          </w:tcPr>
          <w:p>
            <w:pPr>
              <w:ind w:left="660"/>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ACACAC"/>
            </w:tcBorders>
            <w:shd w:val="clear" w:color="auto" w:fill="D4F1F5"/>
          </w:tcPr>
          <w:p>
            <w:pPr>
              <w:jc w:val="right"/>
              <w:ind w:right="21"/>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CACAC"/>
            </w:tcBorders>
            <w:shd w:val="clear" w:color="auto" w:fill="D4F1F5"/>
          </w:tcPr>
          <w:p>
            <w:pPr>
              <w:jc w:val="right"/>
              <w:ind w:right="80"/>
              <w:spacing w:after="0"/>
              <w:rPr>
                <w:sz w:val="20"/>
                <w:szCs w:val="20"/>
                <w:color w:val="auto"/>
              </w:rPr>
            </w:pPr>
            <w:r>
              <w:rPr>
                <w:rFonts w:ascii="Arial" w:cs="Arial" w:eastAsia="Arial" w:hAnsi="Arial"/>
                <w:sz w:val="16"/>
                <w:szCs w:val="16"/>
                <w:color w:val="auto"/>
              </w:rPr>
              <w:t>9,753</w:t>
            </w:r>
          </w:p>
        </w:tc>
        <w:tc>
          <w:tcPr>
            <w:tcW w:w="300" w:type="dxa"/>
            <w:vAlign w:val="bottom"/>
            <w:tcBorders>
              <w:bottom w:val="single" w:sz="8" w:color="ACACAC"/>
            </w:tcBorders>
            <w:shd w:val="clear" w:color="auto" w:fill="D4F1F5"/>
          </w:tcPr>
          <w:p>
            <w:pPr>
              <w:jc w:val="right"/>
              <w:ind w:right="9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CACAC"/>
            </w:tcBorders>
            <w:shd w:val="clear" w:color="auto" w:fill="D4F1F5"/>
          </w:tcPr>
          <w:p>
            <w:pPr>
              <w:jc w:val="right"/>
              <w:ind w:right="20"/>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ACACAC"/>
            </w:tcBorders>
            <w:shd w:val="clear" w:color="auto" w:fill="D4F1F5"/>
          </w:tcPr>
          <w:p>
            <w:pPr>
              <w:jc w:val="right"/>
              <w:ind w:right="7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CACAC"/>
            </w:tcBorders>
            <w:shd w:val="clear" w:color="auto" w:fill="D4F1F5"/>
          </w:tcPr>
          <w:p>
            <w:pPr>
              <w:jc w:val="right"/>
              <w:spacing w:after="0"/>
              <w:rPr>
                <w:sz w:val="20"/>
                <w:szCs w:val="20"/>
                <w:color w:val="auto"/>
              </w:rPr>
            </w:pPr>
            <w:r>
              <w:rPr>
                <w:rFonts w:ascii="Arial" w:cs="Arial" w:eastAsia="Arial" w:hAnsi="Arial"/>
                <w:sz w:val="16"/>
                <w:szCs w:val="16"/>
                <w:color w:val="auto"/>
              </w:rPr>
              <w:t>9,753</w:t>
            </w:r>
          </w:p>
        </w:tc>
      </w:tr>
      <w:tr>
        <w:trPr>
          <w:trHeight w:val="216"/>
        </w:trPr>
        <w:tc>
          <w:tcPr>
            <w:tcW w:w="5200" w:type="dxa"/>
            <w:vAlign w:val="bottom"/>
          </w:tcPr>
          <w:p>
            <w:pPr>
              <w:ind w:left="20"/>
              <w:spacing w:after="0"/>
              <w:rPr>
                <w:sz w:val="20"/>
                <w:szCs w:val="20"/>
                <w:color w:val="auto"/>
              </w:rPr>
            </w:pPr>
            <w:r>
              <w:rPr>
                <w:rFonts w:ascii="Arial" w:cs="Arial" w:eastAsia="Arial" w:hAnsi="Arial"/>
                <w:sz w:val="16"/>
                <w:szCs w:val="16"/>
                <w:b w:val="1"/>
                <w:bCs w:val="1"/>
                <w:color w:val="auto"/>
              </w:rPr>
              <w:t>SoCalGas:</w:t>
            </w: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23"/>
        </w:trPr>
        <w:tc>
          <w:tcPr>
            <w:tcW w:w="5200" w:type="dxa"/>
            <w:vAlign w:val="bottom"/>
            <w:tcBorders>
              <w:bottom w:val="single" w:sz="8" w:color="ACACAC"/>
            </w:tcBorders>
            <w:shd w:val="clear" w:color="auto" w:fill="D4F1F5"/>
          </w:tcPr>
          <w:p>
            <w:pPr>
              <w:ind w:left="100"/>
              <w:spacing w:after="0" w:line="216" w:lineRule="exact"/>
              <w:rPr>
                <w:sz w:val="20"/>
                <w:szCs w:val="20"/>
                <w:color w:val="auto"/>
              </w:rPr>
            </w:pPr>
            <w:r>
              <w:rPr>
                <w:rFonts w:ascii="Arial" w:cs="Arial" w:eastAsia="Arial" w:hAnsi="Arial"/>
                <w:sz w:val="16"/>
                <w:szCs w:val="16"/>
                <w:color w:val="auto"/>
              </w:rPr>
              <w:t>Long-term debt</w:t>
            </w:r>
            <w:r>
              <w:rPr>
                <w:rFonts w:ascii="Arial" w:cs="Arial" w:eastAsia="Arial" w:hAnsi="Arial"/>
                <w:sz w:val="21"/>
                <w:szCs w:val="21"/>
                <w:color w:val="auto"/>
                <w:vertAlign w:val="superscript"/>
              </w:rPr>
              <w:t>(5)</w:t>
            </w:r>
          </w:p>
        </w:tc>
        <w:tc>
          <w:tcPr>
            <w:tcW w:w="200" w:type="dxa"/>
            <w:vAlign w:val="bottom"/>
            <w:tcBorders>
              <w:bottom w:val="single" w:sz="8" w:color="ACACAC"/>
            </w:tcBorders>
            <w:shd w:val="clear" w:color="auto" w:fill="D4F1F5"/>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CACAC"/>
            </w:tcBorders>
            <w:shd w:val="clear" w:color="auto" w:fill="D4F1F5"/>
          </w:tcPr>
          <w:p>
            <w:pPr>
              <w:jc w:val="right"/>
              <w:spacing w:after="0"/>
              <w:rPr>
                <w:sz w:val="20"/>
                <w:szCs w:val="20"/>
                <w:color w:val="auto"/>
              </w:rPr>
            </w:pPr>
            <w:r>
              <w:rPr>
                <w:rFonts w:ascii="Arial" w:cs="Arial" w:eastAsia="Arial" w:hAnsi="Arial"/>
                <w:sz w:val="16"/>
                <w:szCs w:val="16"/>
                <w:color w:val="auto"/>
              </w:rPr>
              <w:t>8,109</w:t>
            </w:r>
          </w:p>
        </w:tc>
        <w:tc>
          <w:tcPr>
            <w:tcW w:w="340" w:type="dxa"/>
            <w:vAlign w:val="bottom"/>
            <w:tcBorders>
              <w:bottom w:val="single" w:sz="8" w:color="ACACAC"/>
            </w:tcBorders>
            <w:shd w:val="clear" w:color="auto" w:fill="D4F1F5"/>
          </w:tcPr>
          <w:p>
            <w:pPr>
              <w:jc w:val="right"/>
              <w:ind w:right="3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CACAC"/>
            </w:tcBorders>
            <w:shd w:val="clear" w:color="auto" w:fill="D4F1F5"/>
          </w:tcPr>
          <w:p>
            <w:pPr>
              <w:ind w:left="660"/>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ACACAC"/>
            </w:tcBorders>
            <w:shd w:val="clear" w:color="auto" w:fill="D4F1F5"/>
          </w:tcPr>
          <w:p>
            <w:pPr>
              <w:jc w:val="right"/>
              <w:ind w:right="21"/>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CACAC"/>
            </w:tcBorders>
            <w:shd w:val="clear" w:color="auto" w:fill="D4F1F5"/>
          </w:tcPr>
          <w:p>
            <w:pPr>
              <w:jc w:val="right"/>
              <w:ind w:right="80"/>
              <w:spacing w:after="0"/>
              <w:rPr>
                <w:sz w:val="20"/>
                <w:szCs w:val="20"/>
                <w:color w:val="auto"/>
              </w:rPr>
            </w:pPr>
            <w:r>
              <w:rPr>
                <w:rFonts w:ascii="Arial" w:cs="Arial" w:eastAsia="Arial" w:hAnsi="Arial"/>
                <w:sz w:val="16"/>
                <w:szCs w:val="16"/>
                <w:color w:val="auto"/>
              </w:rPr>
              <w:t>7,677</w:t>
            </w:r>
          </w:p>
        </w:tc>
        <w:tc>
          <w:tcPr>
            <w:tcW w:w="300" w:type="dxa"/>
            <w:vAlign w:val="bottom"/>
            <w:tcBorders>
              <w:bottom w:val="single" w:sz="8" w:color="ACACAC"/>
            </w:tcBorders>
            <w:shd w:val="clear" w:color="auto" w:fill="D4F1F5"/>
          </w:tcPr>
          <w:p>
            <w:pPr>
              <w:jc w:val="right"/>
              <w:ind w:right="9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CACAC"/>
            </w:tcBorders>
            <w:shd w:val="clear" w:color="auto" w:fill="D4F1F5"/>
          </w:tcPr>
          <w:p>
            <w:pPr>
              <w:jc w:val="right"/>
              <w:ind w:right="20"/>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ACACAC"/>
            </w:tcBorders>
            <w:shd w:val="clear" w:color="auto" w:fill="D4F1F5"/>
          </w:tcPr>
          <w:p>
            <w:pPr>
              <w:jc w:val="right"/>
              <w:ind w:right="7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CACAC"/>
            </w:tcBorders>
            <w:shd w:val="clear" w:color="auto" w:fill="D4F1F5"/>
          </w:tcPr>
          <w:p>
            <w:pPr>
              <w:jc w:val="right"/>
              <w:spacing w:after="0"/>
              <w:rPr>
                <w:sz w:val="20"/>
                <w:szCs w:val="20"/>
                <w:color w:val="auto"/>
              </w:rPr>
            </w:pPr>
            <w:r>
              <w:rPr>
                <w:rFonts w:ascii="Arial" w:cs="Arial" w:eastAsia="Arial" w:hAnsi="Arial"/>
                <w:sz w:val="16"/>
                <w:szCs w:val="16"/>
                <w:color w:val="auto"/>
              </w:rPr>
              <w:t>7,677</w:t>
            </w:r>
          </w:p>
        </w:tc>
      </w:tr>
      <w:tr>
        <w:trPr>
          <w:trHeight w:val="361"/>
        </w:trPr>
        <w:tc>
          <w:tcPr>
            <w:tcW w:w="52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color w:val="auto"/>
              </w:rPr>
              <w:t>December 31, 2025</w:t>
            </w:r>
          </w:p>
        </w:tc>
        <w:tc>
          <w:tcPr>
            <w:tcW w:w="3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r>
      <w:tr>
        <w:trPr>
          <w:trHeight w:val="213"/>
        </w:trPr>
        <w:tc>
          <w:tcPr>
            <w:tcW w:w="5200" w:type="dxa"/>
            <w:vAlign w:val="bottom"/>
            <w:shd w:val="clear" w:color="auto" w:fill="D4F1F5"/>
          </w:tcPr>
          <w:p>
            <w:pPr>
              <w:ind w:left="20"/>
              <w:spacing w:after="0"/>
              <w:rPr>
                <w:sz w:val="20"/>
                <w:szCs w:val="20"/>
                <w:color w:val="auto"/>
              </w:rPr>
            </w:pPr>
            <w:r>
              <w:rPr>
                <w:rFonts w:ascii="Arial" w:cs="Arial" w:eastAsia="Arial" w:hAnsi="Arial"/>
                <w:sz w:val="16"/>
                <w:szCs w:val="16"/>
                <w:b w:val="1"/>
                <w:bCs w:val="1"/>
                <w:color w:val="auto"/>
              </w:rPr>
              <w:t>Sempra:</w:t>
            </w:r>
          </w:p>
        </w:tc>
        <w:tc>
          <w:tcPr>
            <w:tcW w:w="200" w:type="dxa"/>
            <w:vAlign w:val="bottom"/>
            <w:shd w:val="clear" w:color="auto" w:fill="D4F1F5"/>
          </w:tcPr>
          <w:p>
            <w:pPr>
              <w:spacing w:after="0"/>
              <w:rPr>
                <w:sz w:val="18"/>
                <w:szCs w:val="18"/>
                <w:color w:val="auto"/>
              </w:rPr>
            </w:pPr>
          </w:p>
        </w:tc>
        <w:tc>
          <w:tcPr>
            <w:tcW w:w="920" w:type="dxa"/>
            <w:vAlign w:val="bottom"/>
            <w:shd w:val="clear" w:color="auto" w:fill="D4F1F5"/>
          </w:tcPr>
          <w:p>
            <w:pPr>
              <w:spacing w:after="0"/>
              <w:rPr>
                <w:sz w:val="18"/>
                <w:szCs w:val="18"/>
                <w:color w:val="auto"/>
              </w:rPr>
            </w:pPr>
          </w:p>
        </w:tc>
        <w:tc>
          <w:tcPr>
            <w:tcW w:w="340" w:type="dxa"/>
            <w:vAlign w:val="bottom"/>
            <w:shd w:val="clear" w:color="auto" w:fill="D4F1F5"/>
          </w:tcPr>
          <w:p>
            <w:pPr>
              <w:spacing w:after="0"/>
              <w:rPr>
                <w:sz w:val="18"/>
                <w:szCs w:val="18"/>
                <w:color w:val="auto"/>
              </w:rPr>
            </w:pPr>
          </w:p>
        </w:tc>
        <w:tc>
          <w:tcPr>
            <w:tcW w:w="880" w:type="dxa"/>
            <w:vAlign w:val="bottom"/>
            <w:shd w:val="clear" w:color="auto" w:fill="D4F1F5"/>
          </w:tcPr>
          <w:p>
            <w:pPr>
              <w:spacing w:after="0"/>
              <w:rPr>
                <w:sz w:val="18"/>
                <w:szCs w:val="18"/>
                <w:color w:val="auto"/>
              </w:rPr>
            </w:pPr>
          </w:p>
        </w:tc>
        <w:tc>
          <w:tcPr>
            <w:tcW w:w="340" w:type="dxa"/>
            <w:vAlign w:val="bottom"/>
            <w:shd w:val="clear" w:color="auto" w:fill="D4F1F5"/>
          </w:tcPr>
          <w:p>
            <w:pPr>
              <w:spacing w:after="0"/>
              <w:rPr>
                <w:sz w:val="18"/>
                <w:szCs w:val="18"/>
                <w:color w:val="auto"/>
              </w:rPr>
            </w:pPr>
          </w:p>
        </w:tc>
        <w:tc>
          <w:tcPr>
            <w:tcW w:w="1000" w:type="dxa"/>
            <w:vAlign w:val="bottom"/>
            <w:shd w:val="clear" w:color="auto" w:fill="D4F1F5"/>
          </w:tcPr>
          <w:p>
            <w:pPr>
              <w:spacing w:after="0"/>
              <w:rPr>
                <w:sz w:val="18"/>
                <w:szCs w:val="18"/>
                <w:color w:val="auto"/>
              </w:rPr>
            </w:pPr>
          </w:p>
        </w:tc>
        <w:tc>
          <w:tcPr>
            <w:tcW w:w="300" w:type="dxa"/>
            <w:vAlign w:val="bottom"/>
            <w:shd w:val="clear" w:color="auto" w:fill="D4F1F5"/>
          </w:tcPr>
          <w:p>
            <w:pPr>
              <w:spacing w:after="0"/>
              <w:rPr>
                <w:sz w:val="18"/>
                <w:szCs w:val="18"/>
                <w:color w:val="auto"/>
              </w:rPr>
            </w:pPr>
          </w:p>
        </w:tc>
        <w:tc>
          <w:tcPr>
            <w:tcW w:w="860" w:type="dxa"/>
            <w:vAlign w:val="bottom"/>
            <w:shd w:val="clear" w:color="auto" w:fill="D4F1F5"/>
          </w:tcPr>
          <w:p>
            <w:pPr>
              <w:spacing w:after="0"/>
              <w:rPr>
                <w:sz w:val="18"/>
                <w:szCs w:val="18"/>
                <w:color w:val="auto"/>
              </w:rPr>
            </w:pPr>
          </w:p>
        </w:tc>
        <w:tc>
          <w:tcPr>
            <w:tcW w:w="340" w:type="dxa"/>
            <w:vAlign w:val="bottom"/>
            <w:shd w:val="clear" w:color="auto" w:fill="D4F1F5"/>
          </w:tcPr>
          <w:p>
            <w:pPr>
              <w:spacing w:after="0"/>
              <w:rPr>
                <w:sz w:val="18"/>
                <w:szCs w:val="18"/>
                <w:color w:val="auto"/>
              </w:rPr>
            </w:pPr>
          </w:p>
        </w:tc>
        <w:tc>
          <w:tcPr>
            <w:tcW w:w="860" w:type="dxa"/>
            <w:vAlign w:val="bottom"/>
            <w:shd w:val="clear" w:color="auto" w:fill="D4F1F5"/>
          </w:tcPr>
          <w:p>
            <w:pPr>
              <w:spacing w:after="0"/>
              <w:rPr>
                <w:sz w:val="18"/>
                <w:szCs w:val="18"/>
                <w:color w:val="auto"/>
              </w:rPr>
            </w:pPr>
          </w:p>
        </w:tc>
      </w:tr>
      <w:tr>
        <w:trPr>
          <w:trHeight w:val="216"/>
        </w:trPr>
        <w:tc>
          <w:tcPr>
            <w:tcW w:w="5200" w:type="dxa"/>
            <w:vAlign w:val="bottom"/>
          </w:tcPr>
          <w:p>
            <w:pPr>
              <w:ind w:left="100"/>
              <w:spacing w:after="0" w:line="216" w:lineRule="exact"/>
              <w:rPr>
                <w:sz w:val="20"/>
                <w:szCs w:val="20"/>
                <w:color w:val="auto"/>
              </w:rPr>
            </w:pPr>
            <w:r>
              <w:rPr>
                <w:rFonts w:ascii="Arial" w:cs="Arial" w:eastAsia="Arial" w:hAnsi="Arial"/>
                <w:sz w:val="16"/>
                <w:szCs w:val="16"/>
                <w:color w:val="auto"/>
              </w:rPr>
              <w:t>Long-term note receivable</w:t>
            </w:r>
            <w:r>
              <w:rPr>
                <w:rFonts w:ascii="Arial" w:cs="Arial" w:eastAsia="Arial" w:hAnsi="Arial"/>
                <w:sz w:val="21"/>
                <w:szCs w:val="21"/>
                <w:color w:val="auto"/>
                <w:vertAlign w:val="superscript"/>
              </w:rPr>
              <w:t>(1)</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369</w:t>
            </w:r>
          </w:p>
        </w:tc>
        <w:tc>
          <w:tcPr>
            <w:tcW w:w="3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880" w:type="dxa"/>
            <w:vAlign w:val="bottom"/>
          </w:tcPr>
          <w:p>
            <w:pPr>
              <w:ind w:left="660"/>
              <w:spacing w:after="0"/>
              <w:rPr>
                <w:sz w:val="20"/>
                <w:szCs w:val="20"/>
                <w:color w:val="auto"/>
              </w:rPr>
            </w:pPr>
            <w:r>
              <w:rPr>
                <w:rFonts w:ascii="Arial" w:cs="Arial" w:eastAsia="Arial" w:hAnsi="Arial"/>
                <w:sz w:val="16"/>
                <w:szCs w:val="16"/>
                <w:color w:val="auto"/>
              </w:rPr>
              <w:t>—</w:t>
            </w:r>
          </w:p>
        </w:tc>
        <w:tc>
          <w:tcPr>
            <w:tcW w:w="34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80"/>
              <w:spacing w:after="0"/>
              <w:rPr>
                <w:sz w:val="20"/>
                <w:szCs w:val="20"/>
                <w:color w:val="auto"/>
              </w:rPr>
            </w:pPr>
            <w:r>
              <w:rPr>
                <w:rFonts w:ascii="Arial" w:cs="Arial" w:eastAsia="Arial" w:hAnsi="Arial"/>
                <w:sz w:val="16"/>
                <w:szCs w:val="16"/>
                <w:color w:val="auto"/>
              </w:rPr>
              <w:t>—</w:t>
            </w: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366</w:t>
            </w:r>
          </w:p>
        </w:tc>
        <w:tc>
          <w:tcPr>
            <w:tcW w:w="3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366</w:t>
            </w:r>
          </w:p>
        </w:tc>
      </w:tr>
      <w:tr>
        <w:trPr>
          <w:trHeight w:val="216"/>
        </w:trPr>
        <w:tc>
          <w:tcPr>
            <w:tcW w:w="5200" w:type="dxa"/>
            <w:vAlign w:val="bottom"/>
            <w:shd w:val="clear" w:color="auto" w:fill="D4F1F5"/>
          </w:tcPr>
          <w:p>
            <w:pPr>
              <w:ind w:left="100"/>
              <w:spacing w:after="0"/>
              <w:rPr>
                <w:sz w:val="20"/>
                <w:szCs w:val="20"/>
                <w:color w:val="auto"/>
              </w:rPr>
            </w:pPr>
            <w:r>
              <w:rPr>
                <w:rFonts w:ascii="Arial" w:cs="Arial" w:eastAsia="Arial" w:hAnsi="Arial"/>
                <w:sz w:val="16"/>
                <w:szCs w:val="16"/>
                <w:color w:val="auto"/>
              </w:rPr>
              <w:t>Long-term amounts due to unconsolidated affiliates held for sale</w:t>
            </w:r>
          </w:p>
        </w:tc>
        <w:tc>
          <w:tcPr>
            <w:tcW w:w="200" w:type="dxa"/>
            <w:vAlign w:val="bottom"/>
            <w:shd w:val="clear" w:color="auto" w:fill="D4F1F5"/>
          </w:tcPr>
          <w:p>
            <w:pPr>
              <w:spacing w:after="0"/>
              <w:rPr>
                <w:sz w:val="18"/>
                <w:szCs w:val="18"/>
                <w:color w:val="auto"/>
              </w:rPr>
            </w:pPr>
          </w:p>
        </w:tc>
        <w:tc>
          <w:tcPr>
            <w:tcW w:w="920" w:type="dxa"/>
            <w:vAlign w:val="bottom"/>
            <w:shd w:val="clear" w:color="auto" w:fill="D4F1F5"/>
          </w:tcPr>
          <w:p>
            <w:pPr>
              <w:jc w:val="right"/>
              <w:spacing w:after="0"/>
              <w:rPr>
                <w:sz w:val="20"/>
                <w:szCs w:val="20"/>
                <w:color w:val="auto"/>
              </w:rPr>
            </w:pPr>
            <w:r>
              <w:rPr>
                <w:rFonts w:ascii="Arial" w:cs="Arial" w:eastAsia="Arial" w:hAnsi="Arial"/>
                <w:sz w:val="16"/>
                <w:szCs w:val="16"/>
                <w:color w:val="auto"/>
              </w:rPr>
              <w:t>477</w:t>
            </w:r>
          </w:p>
        </w:tc>
        <w:tc>
          <w:tcPr>
            <w:tcW w:w="340" w:type="dxa"/>
            <w:vAlign w:val="bottom"/>
            <w:shd w:val="clear" w:color="auto" w:fill="D4F1F5"/>
          </w:tcPr>
          <w:p>
            <w:pPr>
              <w:spacing w:after="0"/>
              <w:rPr>
                <w:sz w:val="18"/>
                <w:szCs w:val="18"/>
                <w:color w:val="auto"/>
              </w:rPr>
            </w:pPr>
          </w:p>
        </w:tc>
        <w:tc>
          <w:tcPr>
            <w:tcW w:w="880" w:type="dxa"/>
            <w:vAlign w:val="bottom"/>
            <w:shd w:val="clear" w:color="auto" w:fill="D4F1F5"/>
          </w:tcPr>
          <w:p>
            <w:pPr>
              <w:ind w:left="660"/>
              <w:spacing w:after="0"/>
              <w:rPr>
                <w:sz w:val="20"/>
                <w:szCs w:val="20"/>
                <w:color w:val="auto"/>
              </w:rPr>
            </w:pPr>
            <w:r>
              <w:rPr>
                <w:rFonts w:ascii="Arial" w:cs="Arial" w:eastAsia="Arial" w:hAnsi="Arial"/>
                <w:sz w:val="16"/>
                <w:szCs w:val="16"/>
                <w:color w:val="auto"/>
              </w:rPr>
              <w:t>—</w:t>
            </w:r>
          </w:p>
        </w:tc>
        <w:tc>
          <w:tcPr>
            <w:tcW w:w="340" w:type="dxa"/>
            <w:vAlign w:val="bottom"/>
            <w:shd w:val="clear" w:color="auto" w:fill="D4F1F5"/>
          </w:tcPr>
          <w:p>
            <w:pPr>
              <w:spacing w:after="0"/>
              <w:rPr>
                <w:sz w:val="18"/>
                <w:szCs w:val="18"/>
                <w:color w:val="auto"/>
              </w:rPr>
            </w:pPr>
          </w:p>
        </w:tc>
        <w:tc>
          <w:tcPr>
            <w:tcW w:w="1000" w:type="dxa"/>
            <w:vAlign w:val="bottom"/>
            <w:shd w:val="clear" w:color="auto" w:fill="D4F1F5"/>
          </w:tcPr>
          <w:p>
            <w:pPr>
              <w:jc w:val="right"/>
              <w:ind w:right="80"/>
              <w:spacing w:after="0"/>
              <w:rPr>
                <w:sz w:val="20"/>
                <w:szCs w:val="20"/>
                <w:color w:val="auto"/>
              </w:rPr>
            </w:pPr>
            <w:r>
              <w:rPr>
                <w:rFonts w:ascii="Arial" w:cs="Arial" w:eastAsia="Arial" w:hAnsi="Arial"/>
                <w:sz w:val="16"/>
                <w:szCs w:val="16"/>
                <w:color w:val="auto"/>
              </w:rPr>
              <w:t>463</w:t>
            </w:r>
          </w:p>
        </w:tc>
        <w:tc>
          <w:tcPr>
            <w:tcW w:w="300" w:type="dxa"/>
            <w:vAlign w:val="bottom"/>
            <w:shd w:val="clear" w:color="auto" w:fill="D4F1F5"/>
          </w:tcPr>
          <w:p>
            <w:pPr>
              <w:spacing w:after="0"/>
              <w:rPr>
                <w:sz w:val="18"/>
                <w:szCs w:val="18"/>
                <w:color w:val="auto"/>
              </w:rPr>
            </w:pPr>
          </w:p>
        </w:tc>
        <w:tc>
          <w:tcPr>
            <w:tcW w:w="860" w:type="dxa"/>
            <w:vAlign w:val="bottom"/>
            <w:shd w:val="clear" w:color="auto" w:fill="D4F1F5"/>
          </w:tcPr>
          <w:p>
            <w:pPr>
              <w:jc w:val="right"/>
              <w:ind w:right="20"/>
              <w:spacing w:after="0"/>
              <w:rPr>
                <w:sz w:val="20"/>
                <w:szCs w:val="20"/>
                <w:color w:val="auto"/>
              </w:rPr>
            </w:pPr>
            <w:r>
              <w:rPr>
                <w:rFonts w:ascii="Arial" w:cs="Arial" w:eastAsia="Arial" w:hAnsi="Arial"/>
                <w:sz w:val="16"/>
                <w:szCs w:val="16"/>
                <w:color w:val="auto"/>
              </w:rPr>
              <w:t>—</w:t>
            </w:r>
          </w:p>
        </w:tc>
        <w:tc>
          <w:tcPr>
            <w:tcW w:w="340" w:type="dxa"/>
            <w:vAlign w:val="bottom"/>
            <w:shd w:val="clear" w:color="auto" w:fill="D4F1F5"/>
          </w:tcPr>
          <w:p>
            <w:pPr>
              <w:spacing w:after="0"/>
              <w:rPr>
                <w:sz w:val="18"/>
                <w:szCs w:val="18"/>
                <w:color w:val="auto"/>
              </w:rPr>
            </w:pPr>
          </w:p>
        </w:tc>
        <w:tc>
          <w:tcPr>
            <w:tcW w:w="860" w:type="dxa"/>
            <w:vAlign w:val="bottom"/>
            <w:shd w:val="clear" w:color="auto" w:fill="D4F1F5"/>
          </w:tcPr>
          <w:p>
            <w:pPr>
              <w:jc w:val="right"/>
              <w:spacing w:after="0"/>
              <w:rPr>
                <w:sz w:val="20"/>
                <w:szCs w:val="20"/>
                <w:color w:val="auto"/>
              </w:rPr>
            </w:pPr>
            <w:r>
              <w:rPr>
                <w:rFonts w:ascii="Arial" w:cs="Arial" w:eastAsia="Arial" w:hAnsi="Arial"/>
                <w:sz w:val="16"/>
                <w:szCs w:val="16"/>
                <w:color w:val="auto"/>
              </w:rPr>
              <w:t>463</w:t>
            </w:r>
          </w:p>
        </w:tc>
      </w:tr>
      <w:tr>
        <w:trPr>
          <w:trHeight w:val="216"/>
        </w:trPr>
        <w:tc>
          <w:tcPr>
            <w:tcW w:w="5200" w:type="dxa"/>
            <w:vAlign w:val="bottom"/>
          </w:tcPr>
          <w:p>
            <w:pPr>
              <w:ind w:left="100"/>
              <w:spacing w:after="0" w:line="216" w:lineRule="exact"/>
              <w:rPr>
                <w:sz w:val="20"/>
                <w:szCs w:val="20"/>
                <w:color w:val="auto"/>
              </w:rPr>
            </w:pPr>
            <w:r>
              <w:rPr>
                <w:rFonts w:ascii="Arial" w:cs="Arial" w:eastAsia="Arial" w:hAnsi="Arial"/>
                <w:sz w:val="16"/>
                <w:szCs w:val="16"/>
                <w:color w:val="auto"/>
              </w:rPr>
              <w:t>Long-term debt held for sale</w:t>
            </w:r>
            <w:r>
              <w:rPr>
                <w:rFonts w:ascii="Arial" w:cs="Arial" w:eastAsia="Arial" w:hAnsi="Arial"/>
                <w:sz w:val="21"/>
                <w:szCs w:val="21"/>
                <w:color w:val="auto"/>
                <w:vertAlign w:val="superscript"/>
              </w:rPr>
              <w:t>(2)</w:t>
            </w: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7,925</w:t>
            </w:r>
          </w:p>
        </w:tc>
        <w:tc>
          <w:tcPr>
            <w:tcW w:w="340" w:type="dxa"/>
            <w:vAlign w:val="bottom"/>
          </w:tcPr>
          <w:p>
            <w:pPr>
              <w:spacing w:after="0"/>
              <w:rPr>
                <w:sz w:val="18"/>
                <w:szCs w:val="18"/>
                <w:color w:val="auto"/>
              </w:rPr>
            </w:pPr>
          </w:p>
        </w:tc>
        <w:tc>
          <w:tcPr>
            <w:tcW w:w="880" w:type="dxa"/>
            <w:vAlign w:val="bottom"/>
          </w:tcPr>
          <w:p>
            <w:pPr>
              <w:ind w:left="66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1000" w:type="dxa"/>
            <w:vAlign w:val="bottom"/>
          </w:tcPr>
          <w:p>
            <w:pPr>
              <w:jc w:val="right"/>
              <w:ind w:right="80"/>
              <w:spacing w:after="0"/>
              <w:rPr>
                <w:sz w:val="20"/>
                <w:szCs w:val="20"/>
                <w:color w:val="auto"/>
              </w:rPr>
            </w:pPr>
            <w:r>
              <w:rPr>
                <w:rFonts w:ascii="Arial" w:cs="Arial" w:eastAsia="Arial" w:hAnsi="Arial"/>
                <w:sz w:val="16"/>
                <w:szCs w:val="16"/>
                <w:color w:val="auto"/>
              </w:rPr>
              <w:t>7,611</w:t>
            </w:r>
          </w:p>
        </w:tc>
        <w:tc>
          <w:tcPr>
            <w:tcW w:w="300" w:type="dxa"/>
            <w:vAlign w:val="bottom"/>
          </w:tcPr>
          <w:p>
            <w:pPr>
              <w:spacing w:after="0"/>
              <w:rPr>
                <w:sz w:val="18"/>
                <w:szCs w:val="18"/>
                <w:color w:val="auto"/>
              </w:rPr>
            </w:pP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7,611</w:t>
            </w:r>
          </w:p>
        </w:tc>
      </w:tr>
      <w:tr>
        <w:trPr>
          <w:trHeight w:val="223"/>
        </w:trPr>
        <w:tc>
          <w:tcPr>
            <w:tcW w:w="5200" w:type="dxa"/>
            <w:vAlign w:val="bottom"/>
            <w:tcBorders>
              <w:bottom w:val="single" w:sz="8" w:color="ACACAC"/>
            </w:tcBorders>
            <w:shd w:val="clear" w:color="auto" w:fill="D4F1F5"/>
          </w:tcPr>
          <w:p>
            <w:pPr>
              <w:ind w:left="100"/>
              <w:spacing w:after="0" w:line="216" w:lineRule="exact"/>
              <w:rPr>
                <w:sz w:val="20"/>
                <w:szCs w:val="20"/>
                <w:color w:val="auto"/>
              </w:rPr>
            </w:pPr>
            <w:r>
              <w:rPr>
                <w:rFonts w:ascii="Arial" w:cs="Arial" w:eastAsia="Arial" w:hAnsi="Arial"/>
                <w:sz w:val="16"/>
                <w:szCs w:val="16"/>
                <w:color w:val="auto"/>
              </w:rPr>
              <w:t>Long-term debt</w:t>
            </w:r>
            <w:r>
              <w:rPr>
                <w:rFonts w:ascii="Arial" w:cs="Arial" w:eastAsia="Arial" w:hAnsi="Arial"/>
                <w:sz w:val="21"/>
                <w:szCs w:val="21"/>
                <w:color w:val="auto"/>
                <w:vertAlign w:val="superscript"/>
              </w:rPr>
              <w:t>(3)</w:t>
            </w:r>
          </w:p>
        </w:tc>
        <w:tc>
          <w:tcPr>
            <w:tcW w:w="200" w:type="dxa"/>
            <w:vAlign w:val="bottom"/>
            <w:tcBorders>
              <w:bottom w:val="single" w:sz="8" w:color="ACACAC"/>
            </w:tcBorders>
            <w:shd w:val="clear" w:color="auto" w:fill="D4F1F5"/>
          </w:tcPr>
          <w:p>
            <w:pPr>
              <w:spacing w:after="0"/>
              <w:rPr>
                <w:sz w:val="19"/>
                <w:szCs w:val="19"/>
                <w:color w:val="auto"/>
              </w:rPr>
            </w:pPr>
          </w:p>
        </w:tc>
        <w:tc>
          <w:tcPr>
            <w:tcW w:w="920" w:type="dxa"/>
            <w:vAlign w:val="bottom"/>
            <w:tcBorders>
              <w:bottom w:val="single" w:sz="8" w:color="ACACAC"/>
            </w:tcBorders>
            <w:shd w:val="clear" w:color="auto" w:fill="D4F1F5"/>
          </w:tcPr>
          <w:p>
            <w:pPr>
              <w:jc w:val="right"/>
              <w:spacing w:after="0"/>
              <w:rPr>
                <w:sz w:val="20"/>
                <w:szCs w:val="20"/>
                <w:color w:val="auto"/>
              </w:rPr>
            </w:pPr>
            <w:r>
              <w:rPr>
                <w:rFonts w:ascii="Arial" w:cs="Arial" w:eastAsia="Arial" w:hAnsi="Arial"/>
                <w:sz w:val="16"/>
                <w:szCs w:val="16"/>
                <w:color w:val="auto"/>
              </w:rPr>
              <w:t>29,867</w:t>
            </w:r>
          </w:p>
        </w:tc>
        <w:tc>
          <w:tcPr>
            <w:tcW w:w="340" w:type="dxa"/>
            <w:vAlign w:val="bottom"/>
            <w:tcBorders>
              <w:bottom w:val="single" w:sz="8" w:color="ACACAC"/>
            </w:tcBorders>
            <w:shd w:val="clear" w:color="auto" w:fill="D4F1F5"/>
          </w:tcPr>
          <w:p>
            <w:pPr>
              <w:spacing w:after="0"/>
              <w:rPr>
                <w:sz w:val="19"/>
                <w:szCs w:val="19"/>
                <w:color w:val="auto"/>
              </w:rPr>
            </w:pPr>
          </w:p>
        </w:tc>
        <w:tc>
          <w:tcPr>
            <w:tcW w:w="880" w:type="dxa"/>
            <w:vAlign w:val="bottom"/>
            <w:tcBorders>
              <w:bottom w:val="single" w:sz="8" w:color="ACACAC"/>
            </w:tcBorders>
            <w:shd w:val="clear" w:color="auto" w:fill="D4F1F5"/>
          </w:tcPr>
          <w:p>
            <w:pPr>
              <w:ind w:left="660"/>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ACACAC"/>
            </w:tcBorders>
            <w:shd w:val="clear" w:color="auto" w:fill="D4F1F5"/>
          </w:tcPr>
          <w:p>
            <w:pPr>
              <w:spacing w:after="0"/>
              <w:rPr>
                <w:sz w:val="19"/>
                <w:szCs w:val="19"/>
                <w:color w:val="auto"/>
              </w:rPr>
            </w:pPr>
          </w:p>
        </w:tc>
        <w:tc>
          <w:tcPr>
            <w:tcW w:w="1000" w:type="dxa"/>
            <w:vAlign w:val="bottom"/>
            <w:tcBorders>
              <w:bottom w:val="single" w:sz="8" w:color="ACACAC"/>
            </w:tcBorders>
            <w:shd w:val="clear" w:color="auto" w:fill="D4F1F5"/>
          </w:tcPr>
          <w:p>
            <w:pPr>
              <w:jc w:val="right"/>
              <w:ind w:right="80"/>
              <w:spacing w:after="0"/>
              <w:rPr>
                <w:sz w:val="20"/>
                <w:szCs w:val="20"/>
                <w:color w:val="auto"/>
              </w:rPr>
            </w:pPr>
            <w:r>
              <w:rPr>
                <w:rFonts w:ascii="Arial" w:cs="Arial" w:eastAsia="Arial" w:hAnsi="Arial"/>
                <w:sz w:val="16"/>
                <w:szCs w:val="16"/>
                <w:color w:val="auto"/>
              </w:rPr>
              <w:t>28,282</w:t>
            </w:r>
          </w:p>
        </w:tc>
        <w:tc>
          <w:tcPr>
            <w:tcW w:w="300" w:type="dxa"/>
            <w:vAlign w:val="bottom"/>
            <w:tcBorders>
              <w:bottom w:val="single" w:sz="8" w:color="ACACAC"/>
            </w:tcBorders>
            <w:shd w:val="clear" w:color="auto" w:fill="D4F1F5"/>
          </w:tcPr>
          <w:p>
            <w:pPr>
              <w:spacing w:after="0"/>
              <w:rPr>
                <w:sz w:val="19"/>
                <w:szCs w:val="19"/>
                <w:color w:val="auto"/>
              </w:rPr>
            </w:pPr>
          </w:p>
        </w:tc>
        <w:tc>
          <w:tcPr>
            <w:tcW w:w="860" w:type="dxa"/>
            <w:vAlign w:val="bottom"/>
            <w:tcBorders>
              <w:bottom w:val="single" w:sz="8" w:color="ACACAC"/>
            </w:tcBorders>
            <w:shd w:val="clear" w:color="auto" w:fill="D4F1F5"/>
          </w:tcPr>
          <w:p>
            <w:pPr>
              <w:jc w:val="right"/>
              <w:ind w:right="20"/>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ACACAC"/>
            </w:tcBorders>
            <w:shd w:val="clear" w:color="auto" w:fill="D4F1F5"/>
          </w:tcPr>
          <w:p>
            <w:pPr>
              <w:spacing w:after="0"/>
              <w:rPr>
                <w:sz w:val="19"/>
                <w:szCs w:val="19"/>
                <w:color w:val="auto"/>
              </w:rPr>
            </w:pPr>
          </w:p>
        </w:tc>
        <w:tc>
          <w:tcPr>
            <w:tcW w:w="860" w:type="dxa"/>
            <w:vAlign w:val="bottom"/>
            <w:tcBorders>
              <w:bottom w:val="single" w:sz="8" w:color="ACACAC"/>
            </w:tcBorders>
            <w:shd w:val="clear" w:color="auto" w:fill="D4F1F5"/>
          </w:tcPr>
          <w:p>
            <w:pPr>
              <w:jc w:val="right"/>
              <w:spacing w:after="0"/>
              <w:rPr>
                <w:sz w:val="20"/>
                <w:szCs w:val="20"/>
                <w:color w:val="auto"/>
              </w:rPr>
            </w:pPr>
            <w:r>
              <w:rPr>
                <w:rFonts w:ascii="Arial" w:cs="Arial" w:eastAsia="Arial" w:hAnsi="Arial"/>
                <w:sz w:val="16"/>
                <w:szCs w:val="16"/>
                <w:color w:val="auto"/>
              </w:rPr>
              <w:t>28,282</w:t>
            </w:r>
          </w:p>
        </w:tc>
      </w:tr>
      <w:tr>
        <w:trPr>
          <w:trHeight w:val="216"/>
        </w:trPr>
        <w:tc>
          <w:tcPr>
            <w:tcW w:w="5200" w:type="dxa"/>
            <w:vAlign w:val="bottom"/>
          </w:tcPr>
          <w:p>
            <w:pPr>
              <w:ind w:left="20"/>
              <w:spacing w:after="0"/>
              <w:rPr>
                <w:sz w:val="20"/>
                <w:szCs w:val="20"/>
                <w:color w:val="auto"/>
              </w:rPr>
            </w:pPr>
            <w:r>
              <w:rPr>
                <w:rFonts w:ascii="Arial" w:cs="Arial" w:eastAsia="Arial" w:hAnsi="Arial"/>
                <w:sz w:val="16"/>
                <w:szCs w:val="16"/>
                <w:b w:val="1"/>
                <w:bCs w:val="1"/>
                <w:color w:val="auto"/>
              </w:rPr>
              <w:t>SDG&amp;E:</w:t>
            </w: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23"/>
        </w:trPr>
        <w:tc>
          <w:tcPr>
            <w:tcW w:w="5200" w:type="dxa"/>
            <w:vAlign w:val="bottom"/>
            <w:tcBorders>
              <w:bottom w:val="single" w:sz="8" w:color="ACACAC"/>
            </w:tcBorders>
            <w:shd w:val="clear" w:color="auto" w:fill="D4F1F5"/>
          </w:tcPr>
          <w:p>
            <w:pPr>
              <w:ind w:left="100"/>
              <w:spacing w:after="0" w:line="216" w:lineRule="exact"/>
              <w:rPr>
                <w:sz w:val="20"/>
                <w:szCs w:val="20"/>
                <w:color w:val="auto"/>
              </w:rPr>
            </w:pPr>
            <w:r>
              <w:rPr>
                <w:rFonts w:ascii="Arial" w:cs="Arial" w:eastAsia="Arial" w:hAnsi="Arial"/>
                <w:sz w:val="16"/>
                <w:szCs w:val="16"/>
                <w:color w:val="auto"/>
              </w:rPr>
              <w:t>Long-term debt</w:t>
            </w:r>
            <w:r>
              <w:rPr>
                <w:rFonts w:ascii="Arial" w:cs="Arial" w:eastAsia="Arial" w:hAnsi="Arial"/>
                <w:sz w:val="21"/>
                <w:szCs w:val="21"/>
                <w:color w:val="auto"/>
                <w:vertAlign w:val="superscript"/>
              </w:rPr>
              <w:t>(4)</w:t>
            </w:r>
          </w:p>
        </w:tc>
        <w:tc>
          <w:tcPr>
            <w:tcW w:w="200" w:type="dxa"/>
            <w:vAlign w:val="bottom"/>
            <w:tcBorders>
              <w:bottom w:val="single" w:sz="8" w:color="ACACAC"/>
            </w:tcBorders>
            <w:shd w:val="clear" w:color="auto" w:fill="D4F1F5"/>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CACAC"/>
            </w:tcBorders>
            <w:shd w:val="clear" w:color="auto" w:fill="D4F1F5"/>
          </w:tcPr>
          <w:p>
            <w:pPr>
              <w:jc w:val="right"/>
              <w:spacing w:after="0"/>
              <w:rPr>
                <w:sz w:val="20"/>
                <w:szCs w:val="20"/>
                <w:color w:val="auto"/>
              </w:rPr>
            </w:pPr>
            <w:r>
              <w:rPr>
                <w:rFonts w:ascii="Arial" w:cs="Arial" w:eastAsia="Arial" w:hAnsi="Arial"/>
                <w:sz w:val="16"/>
                <w:szCs w:val="16"/>
                <w:color w:val="auto"/>
              </w:rPr>
              <w:t>9,800</w:t>
            </w:r>
          </w:p>
        </w:tc>
        <w:tc>
          <w:tcPr>
            <w:tcW w:w="340" w:type="dxa"/>
            <w:vAlign w:val="bottom"/>
            <w:tcBorders>
              <w:bottom w:val="single" w:sz="8" w:color="ACACAC"/>
            </w:tcBorders>
            <w:shd w:val="clear" w:color="auto" w:fill="D4F1F5"/>
          </w:tcPr>
          <w:p>
            <w:pPr>
              <w:jc w:val="right"/>
              <w:ind w:right="3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CACAC"/>
            </w:tcBorders>
            <w:shd w:val="clear" w:color="auto" w:fill="D4F1F5"/>
          </w:tcPr>
          <w:p>
            <w:pPr>
              <w:ind w:left="660"/>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ACACAC"/>
            </w:tcBorders>
            <w:shd w:val="clear" w:color="auto" w:fill="D4F1F5"/>
          </w:tcPr>
          <w:p>
            <w:pPr>
              <w:jc w:val="right"/>
              <w:ind w:right="21"/>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CACAC"/>
            </w:tcBorders>
            <w:shd w:val="clear" w:color="auto" w:fill="D4F1F5"/>
          </w:tcPr>
          <w:p>
            <w:pPr>
              <w:jc w:val="right"/>
              <w:ind w:right="80"/>
              <w:spacing w:after="0"/>
              <w:rPr>
                <w:sz w:val="20"/>
                <w:szCs w:val="20"/>
                <w:color w:val="auto"/>
              </w:rPr>
            </w:pPr>
            <w:r>
              <w:rPr>
                <w:rFonts w:ascii="Arial" w:cs="Arial" w:eastAsia="Arial" w:hAnsi="Arial"/>
                <w:sz w:val="16"/>
                <w:szCs w:val="16"/>
                <w:color w:val="auto"/>
              </w:rPr>
              <w:t>8,810</w:t>
            </w:r>
          </w:p>
        </w:tc>
        <w:tc>
          <w:tcPr>
            <w:tcW w:w="300" w:type="dxa"/>
            <w:vAlign w:val="bottom"/>
            <w:tcBorders>
              <w:bottom w:val="single" w:sz="8" w:color="ACACAC"/>
            </w:tcBorders>
            <w:shd w:val="clear" w:color="auto" w:fill="D4F1F5"/>
          </w:tcPr>
          <w:p>
            <w:pPr>
              <w:jc w:val="right"/>
              <w:ind w:right="9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CACAC"/>
            </w:tcBorders>
            <w:shd w:val="clear" w:color="auto" w:fill="D4F1F5"/>
          </w:tcPr>
          <w:p>
            <w:pPr>
              <w:jc w:val="right"/>
              <w:ind w:right="20"/>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ACACAC"/>
            </w:tcBorders>
            <w:shd w:val="clear" w:color="auto" w:fill="D4F1F5"/>
          </w:tcPr>
          <w:p>
            <w:pPr>
              <w:jc w:val="right"/>
              <w:ind w:right="7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CACAC"/>
            </w:tcBorders>
            <w:shd w:val="clear" w:color="auto" w:fill="D4F1F5"/>
          </w:tcPr>
          <w:p>
            <w:pPr>
              <w:jc w:val="right"/>
              <w:spacing w:after="0"/>
              <w:rPr>
                <w:sz w:val="20"/>
                <w:szCs w:val="20"/>
                <w:color w:val="auto"/>
              </w:rPr>
            </w:pPr>
            <w:r>
              <w:rPr>
                <w:rFonts w:ascii="Arial" w:cs="Arial" w:eastAsia="Arial" w:hAnsi="Arial"/>
                <w:sz w:val="16"/>
                <w:szCs w:val="16"/>
                <w:color w:val="auto"/>
              </w:rPr>
              <w:t>8,810</w:t>
            </w:r>
          </w:p>
        </w:tc>
      </w:tr>
      <w:tr>
        <w:trPr>
          <w:trHeight w:val="216"/>
        </w:trPr>
        <w:tc>
          <w:tcPr>
            <w:tcW w:w="5200" w:type="dxa"/>
            <w:vAlign w:val="bottom"/>
          </w:tcPr>
          <w:p>
            <w:pPr>
              <w:ind w:left="20"/>
              <w:spacing w:after="0"/>
              <w:rPr>
                <w:sz w:val="20"/>
                <w:szCs w:val="20"/>
                <w:color w:val="auto"/>
              </w:rPr>
            </w:pPr>
            <w:r>
              <w:rPr>
                <w:rFonts w:ascii="Arial" w:cs="Arial" w:eastAsia="Arial" w:hAnsi="Arial"/>
                <w:sz w:val="16"/>
                <w:szCs w:val="16"/>
                <w:b w:val="1"/>
                <w:bCs w:val="1"/>
                <w:color w:val="auto"/>
              </w:rPr>
              <w:t>SoCalGas:</w:t>
            </w: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23"/>
        </w:trPr>
        <w:tc>
          <w:tcPr>
            <w:tcW w:w="5200" w:type="dxa"/>
            <w:vAlign w:val="bottom"/>
            <w:tcBorders>
              <w:bottom w:val="single" w:sz="8" w:color="ACACAC"/>
            </w:tcBorders>
            <w:shd w:val="clear" w:color="auto" w:fill="D4F1F5"/>
          </w:tcPr>
          <w:p>
            <w:pPr>
              <w:ind w:left="100"/>
              <w:spacing w:after="0" w:line="216" w:lineRule="exact"/>
              <w:rPr>
                <w:sz w:val="20"/>
                <w:szCs w:val="20"/>
                <w:color w:val="auto"/>
              </w:rPr>
            </w:pPr>
            <w:r>
              <w:rPr>
                <w:rFonts w:ascii="Arial" w:cs="Arial" w:eastAsia="Arial" w:hAnsi="Arial"/>
                <w:sz w:val="16"/>
                <w:szCs w:val="16"/>
                <w:color w:val="auto"/>
              </w:rPr>
              <w:t>Long-term debt</w:t>
            </w:r>
            <w:r>
              <w:rPr>
                <w:rFonts w:ascii="Arial" w:cs="Arial" w:eastAsia="Arial" w:hAnsi="Arial"/>
                <w:sz w:val="21"/>
                <w:szCs w:val="21"/>
                <w:color w:val="auto"/>
                <w:vertAlign w:val="superscript"/>
              </w:rPr>
              <w:t>(5)</w:t>
            </w:r>
          </w:p>
        </w:tc>
        <w:tc>
          <w:tcPr>
            <w:tcW w:w="200" w:type="dxa"/>
            <w:vAlign w:val="bottom"/>
            <w:tcBorders>
              <w:bottom w:val="single" w:sz="8" w:color="ACACAC"/>
            </w:tcBorders>
            <w:shd w:val="clear" w:color="auto" w:fill="D4F1F5"/>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CACAC"/>
            </w:tcBorders>
            <w:shd w:val="clear" w:color="auto" w:fill="D4F1F5"/>
          </w:tcPr>
          <w:p>
            <w:pPr>
              <w:jc w:val="right"/>
              <w:spacing w:after="0"/>
              <w:rPr>
                <w:sz w:val="20"/>
                <w:szCs w:val="20"/>
                <w:color w:val="auto"/>
              </w:rPr>
            </w:pPr>
            <w:r>
              <w:rPr>
                <w:rFonts w:ascii="Arial" w:cs="Arial" w:eastAsia="Arial" w:hAnsi="Arial"/>
                <w:sz w:val="16"/>
                <w:szCs w:val="16"/>
                <w:color w:val="auto"/>
              </w:rPr>
              <w:t>8,109</w:t>
            </w:r>
          </w:p>
        </w:tc>
        <w:tc>
          <w:tcPr>
            <w:tcW w:w="340" w:type="dxa"/>
            <w:vAlign w:val="bottom"/>
            <w:tcBorders>
              <w:bottom w:val="single" w:sz="8" w:color="ACACAC"/>
            </w:tcBorders>
            <w:shd w:val="clear" w:color="auto" w:fill="D4F1F5"/>
          </w:tcPr>
          <w:p>
            <w:pPr>
              <w:jc w:val="right"/>
              <w:ind w:right="3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CACAC"/>
            </w:tcBorders>
            <w:shd w:val="clear" w:color="auto" w:fill="D4F1F5"/>
          </w:tcPr>
          <w:p>
            <w:pPr>
              <w:ind w:left="660"/>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ACACAC"/>
            </w:tcBorders>
            <w:shd w:val="clear" w:color="auto" w:fill="D4F1F5"/>
          </w:tcPr>
          <w:p>
            <w:pPr>
              <w:jc w:val="right"/>
              <w:ind w:right="21"/>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CACAC"/>
            </w:tcBorders>
            <w:shd w:val="clear" w:color="auto" w:fill="D4F1F5"/>
          </w:tcPr>
          <w:p>
            <w:pPr>
              <w:jc w:val="right"/>
              <w:ind w:right="80"/>
              <w:spacing w:after="0"/>
              <w:rPr>
                <w:sz w:val="20"/>
                <w:szCs w:val="20"/>
                <w:color w:val="auto"/>
              </w:rPr>
            </w:pPr>
            <w:r>
              <w:rPr>
                <w:rFonts w:ascii="Arial" w:cs="Arial" w:eastAsia="Arial" w:hAnsi="Arial"/>
                <w:sz w:val="16"/>
                <w:szCs w:val="16"/>
                <w:color w:val="auto"/>
              </w:rPr>
              <w:t>7,818</w:t>
            </w:r>
          </w:p>
        </w:tc>
        <w:tc>
          <w:tcPr>
            <w:tcW w:w="300" w:type="dxa"/>
            <w:vAlign w:val="bottom"/>
            <w:tcBorders>
              <w:bottom w:val="single" w:sz="8" w:color="ACACAC"/>
            </w:tcBorders>
            <w:shd w:val="clear" w:color="auto" w:fill="D4F1F5"/>
          </w:tcPr>
          <w:p>
            <w:pPr>
              <w:jc w:val="right"/>
              <w:ind w:right="9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CACAC"/>
            </w:tcBorders>
            <w:shd w:val="clear" w:color="auto" w:fill="D4F1F5"/>
          </w:tcPr>
          <w:p>
            <w:pPr>
              <w:jc w:val="right"/>
              <w:ind w:right="20"/>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ACACAC"/>
            </w:tcBorders>
            <w:shd w:val="clear" w:color="auto" w:fill="D4F1F5"/>
          </w:tcPr>
          <w:p>
            <w:pPr>
              <w:jc w:val="right"/>
              <w:ind w:right="7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CACAC"/>
            </w:tcBorders>
            <w:shd w:val="clear" w:color="auto" w:fill="D4F1F5"/>
          </w:tcPr>
          <w:p>
            <w:pPr>
              <w:jc w:val="right"/>
              <w:spacing w:after="0"/>
              <w:rPr>
                <w:sz w:val="20"/>
                <w:szCs w:val="20"/>
                <w:color w:val="auto"/>
              </w:rPr>
            </w:pPr>
            <w:r>
              <w:rPr>
                <w:rFonts w:ascii="Arial" w:cs="Arial" w:eastAsia="Arial" w:hAnsi="Arial"/>
                <w:sz w:val="16"/>
                <w:szCs w:val="16"/>
                <w:color w:val="auto"/>
              </w:rPr>
              <w:t>7,818</w:t>
            </w:r>
          </w:p>
        </w:tc>
      </w:tr>
    </w:tbl>
    <w:p>
      <w:pPr>
        <w:spacing w:after="0" w:line="114" w:lineRule="exact"/>
        <w:rPr>
          <w:sz w:val="20"/>
          <w:szCs w:val="20"/>
          <w:color w:val="auto"/>
        </w:rPr>
      </w:pPr>
    </w:p>
    <w:p>
      <w:pPr>
        <w:ind w:left="340" w:right="360" w:hanging="332"/>
        <w:spacing w:after="0" w:line="216" w:lineRule="auto"/>
        <w:tabs>
          <w:tab w:leader="none" w:pos="262" w:val="left"/>
        </w:tabs>
        <w:numPr>
          <w:ilvl w:val="0"/>
          <w:numId w:val="34"/>
        </w:numPr>
        <w:rPr>
          <w:rFonts w:ascii="Arial" w:cs="Arial" w:eastAsia="Arial" w:hAnsi="Arial"/>
          <w:sz w:val="21"/>
          <w:szCs w:val="21"/>
          <w:i w:val="1"/>
          <w:iCs w:val="1"/>
          <w:color w:val="auto"/>
          <w:vertAlign w:val="superscript"/>
        </w:rPr>
      </w:pPr>
      <w:r>
        <w:rPr>
          <w:rFonts w:ascii="Arial" w:cs="Arial" w:eastAsia="Arial" w:hAnsi="Arial"/>
          <w:sz w:val="14"/>
          <w:szCs w:val="14"/>
          <w:i w:val="1"/>
          <w:iCs w:val="1"/>
          <w:color w:val="auto"/>
        </w:rPr>
        <w:t>Before allowances for credit losses of $4 at both March 31, 2026 and December 31, 2025. Excludes unamortized transaction costs of $2 and $3 at March 31, 2026 and December 31, 2025, respectively.</w:t>
      </w:r>
    </w:p>
    <w:p>
      <w:pPr>
        <w:spacing w:after="0" w:line="15" w:lineRule="exact"/>
        <w:rPr>
          <w:rFonts w:ascii="Arial" w:cs="Arial" w:eastAsia="Arial" w:hAnsi="Arial"/>
          <w:sz w:val="21"/>
          <w:szCs w:val="21"/>
          <w:i w:val="1"/>
          <w:iCs w:val="1"/>
          <w:color w:val="auto"/>
          <w:vertAlign w:val="superscript"/>
        </w:rPr>
      </w:pPr>
    </w:p>
    <w:p>
      <w:pPr>
        <w:ind w:left="340" w:right="240" w:hanging="332"/>
        <w:spacing w:after="0" w:line="216" w:lineRule="auto"/>
        <w:tabs>
          <w:tab w:leader="none" w:pos="262" w:val="left"/>
        </w:tabs>
        <w:numPr>
          <w:ilvl w:val="0"/>
          <w:numId w:val="34"/>
        </w:numPr>
        <w:rPr>
          <w:rFonts w:ascii="Arial" w:cs="Arial" w:eastAsia="Arial" w:hAnsi="Arial"/>
          <w:sz w:val="21"/>
          <w:szCs w:val="21"/>
          <w:i w:val="1"/>
          <w:iCs w:val="1"/>
          <w:color w:val="auto"/>
          <w:vertAlign w:val="superscript"/>
        </w:rPr>
      </w:pPr>
      <w:r>
        <w:rPr>
          <w:rFonts w:ascii="Arial" w:cs="Arial" w:eastAsia="Arial" w:hAnsi="Arial"/>
          <w:sz w:val="14"/>
          <w:szCs w:val="14"/>
          <w:i w:val="1"/>
          <w:iCs w:val="1"/>
          <w:color w:val="auto"/>
        </w:rPr>
        <w:t>After the effects of interest rate swaps. Before reductions of unamortized discount and debt issuance costs of $138 and $132 at March 31, 2026 and December 31, 2025, respectively.</w:t>
      </w:r>
    </w:p>
    <w:p>
      <w:pPr>
        <w:spacing w:after="0" w:line="29" w:lineRule="exact"/>
        <w:rPr>
          <w:rFonts w:ascii="Arial" w:cs="Arial" w:eastAsia="Arial" w:hAnsi="Arial"/>
          <w:sz w:val="21"/>
          <w:szCs w:val="21"/>
          <w:i w:val="1"/>
          <w:iCs w:val="1"/>
          <w:color w:val="auto"/>
          <w:vertAlign w:val="superscript"/>
        </w:rPr>
      </w:pPr>
    </w:p>
    <w:p>
      <w:pPr>
        <w:ind w:left="340" w:right="80" w:hanging="332"/>
        <w:spacing w:after="0" w:line="216" w:lineRule="auto"/>
        <w:tabs>
          <w:tab w:leader="none" w:pos="262" w:val="left"/>
        </w:tabs>
        <w:numPr>
          <w:ilvl w:val="0"/>
          <w:numId w:val="34"/>
        </w:numPr>
        <w:rPr>
          <w:rFonts w:ascii="Arial" w:cs="Arial" w:eastAsia="Arial" w:hAnsi="Arial"/>
          <w:sz w:val="21"/>
          <w:szCs w:val="21"/>
          <w:i w:val="1"/>
          <w:iCs w:val="1"/>
          <w:color w:val="auto"/>
          <w:vertAlign w:val="superscript"/>
        </w:rPr>
      </w:pPr>
      <w:r>
        <w:rPr>
          <w:rFonts w:ascii="Arial" w:cs="Arial" w:eastAsia="Arial" w:hAnsi="Arial"/>
          <w:sz w:val="14"/>
          <w:szCs w:val="14"/>
          <w:i w:val="1"/>
          <w:iCs w:val="1"/>
          <w:color w:val="auto"/>
        </w:rPr>
        <w:t>Before reductions of unamortized discount and debt issuance costs of $321 and $305 at March 31, 2026 and December 31, 2025, respectively, and excluding finance lease obligations of $1,279 and $1,293 at March 31, 2026 and December 31, 2025, respectively.</w:t>
      </w:r>
    </w:p>
    <w:p>
      <w:pPr>
        <w:spacing w:after="0" w:line="15" w:lineRule="exact"/>
        <w:rPr>
          <w:rFonts w:ascii="Arial" w:cs="Arial" w:eastAsia="Arial" w:hAnsi="Arial"/>
          <w:sz w:val="21"/>
          <w:szCs w:val="21"/>
          <w:i w:val="1"/>
          <w:iCs w:val="1"/>
          <w:color w:val="auto"/>
          <w:vertAlign w:val="superscript"/>
        </w:rPr>
      </w:pPr>
    </w:p>
    <w:p>
      <w:pPr>
        <w:ind w:left="340" w:right="180" w:hanging="332"/>
        <w:spacing w:after="0" w:line="216" w:lineRule="auto"/>
        <w:tabs>
          <w:tab w:leader="none" w:pos="262" w:val="left"/>
        </w:tabs>
        <w:numPr>
          <w:ilvl w:val="0"/>
          <w:numId w:val="34"/>
        </w:numPr>
        <w:rPr>
          <w:rFonts w:ascii="Arial" w:cs="Arial" w:eastAsia="Arial" w:hAnsi="Arial"/>
          <w:sz w:val="21"/>
          <w:szCs w:val="21"/>
          <w:i w:val="1"/>
          <w:iCs w:val="1"/>
          <w:color w:val="auto"/>
          <w:vertAlign w:val="superscript"/>
        </w:rPr>
      </w:pPr>
      <w:r>
        <w:rPr>
          <w:rFonts w:ascii="Arial" w:cs="Arial" w:eastAsia="Arial" w:hAnsi="Arial"/>
          <w:sz w:val="14"/>
          <w:szCs w:val="14"/>
          <w:i w:val="1"/>
          <w:iCs w:val="1"/>
          <w:color w:val="auto"/>
        </w:rPr>
        <w:t>Before reductions of unamortized discount and debt issuance costs of $110 and $97 at March 31, 2026 and December 31, 2025, respectively, and excluding finance lease obligations of $1,168 and $1,176 at March 31, 2026 and December 31, 2025, respectively.</w:t>
      </w:r>
    </w:p>
    <w:p>
      <w:pPr>
        <w:spacing w:after="0" w:line="15" w:lineRule="exact"/>
        <w:rPr>
          <w:rFonts w:ascii="Arial" w:cs="Arial" w:eastAsia="Arial" w:hAnsi="Arial"/>
          <w:sz w:val="21"/>
          <w:szCs w:val="21"/>
          <w:i w:val="1"/>
          <w:iCs w:val="1"/>
          <w:color w:val="auto"/>
          <w:vertAlign w:val="superscript"/>
        </w:rPr>
      </w:pPr>
    </w:p>
    <w:p>
      <w:pPr>
        <w:ind w:left="340" w:right="240" w:hanging="332"/>
        <w:spacing w:after="0" w:line="216" w:lineRule="auto"/>
        <w:tabs>
          <w:tab w:leader="none" w:pos="262" w:val="left"/>
        </w:tabs>
        <w:numPr>
          <w:ilvl w:val="0"/>
          <w:numId w:val="34"/>
        </w:numPr>
        <w:rPr>
          <w:rFonts w:ascii="Arial" w:cs="Arial" w:eastAsia="Arial" w:hAnsi="Arial"/>
          <w:sz w:val="21"/>
          <w:szCs w:val="21"/>
          <w:i w:val="1"/>
          <w:iCs w:val="1"/>
          <w:color w:val="auto"/>
          <w:vertAlign w:val="superscript"/>
        </w:rPr>
      </w:pPr>
      <w:r>
        <w:rPr>
          <w:rFonts w:ascii="Arial" w:cs="Arial" w:eastAsia="Arial" w:hAnsi="Arial"/>
          <w:sz w:val="14"/>
          <w:szCs w:val="14"/>
          <w:i w:val="1"/>
          <w:iCs w:val="1"/>
          <w:color w:val="auto"/>
        </w:rPr>
        <w:t>Before reductions of unamortized discount and debt issuance costs of $76 and $78 at March 31, 2026 and December 31, 2025, respectively, and excluding finance lease obligations of $111 and $117 at March 31, 2026 and December 31, 2025, respectively.</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provide the fair values for the securities held in the NDT related to SONGS in Note 12.</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643255</wp:posOffset>
            </wp:positionV>
            <wp:extent cx="7115175"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20"/>
          <w:szCs w:val="20"/>
          <w:color w:val="auto"/>
        </w:rPr>
        <w:t>NOTE 10. SEMPRA – CONTINGENTLY REDEEMABLE NONCONTROLLING INTEREST</w:t>
      </w:r>
    </w:p>
    <w:p>
      <w:pPr>
        <w:spacing w:after="0" w:line="3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SEMPRA INFRASTRUCTURE</w:t>
      </w:r>
    </w:p>
    <w:p>
      <w:pPr>
        <w:spacing w:after="0" w:line="118"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In September 2025, PA2 JVCo issued 49.9% of its equity interests to Blackstone, which we discuss in Note 12 of the Notes to Consolidated Financial Statements in the Annual Report. We present Blackstone’s equity interest as a CRNCI, which appears between liabilities and equity in the mezzanine section of Sempra’s Condensed Consolidated Balance Sheets. We initially recorded the CRNCI at the amount for which Blackstone has a claim on the underlying net assets in liquidation at book value. At March 31, 2026, the CRNCI is not currently redeemable, nor is it probable that it will become redeemable because the forecasted completion of the PA LNG Phase 2 project is highly unlikely to occur beyond the contractually specified date in which Blackstone’s ownership interest becomes redeemable; therefore, we did not accrete the CRNCI to its redemption value.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Allocation of Interests</w:t>
      </w:r>
    </w:p>
    <w:p>
      <w:pPr>
        <w:spacing w:after="0" w:line="49" w:lineRule="exact"/>
        <w:rPr>
          <w:sz w:val="20"/>
          <w:szCs w:val="20"/>
          <w:color w:val="auto"/>
        </w:rPr>
      </w:pPr>
    </w:p>
    <w:p>
      <w:pPr>
        <w:jc w:val="both"/>
        <w:ind w:right="40"/>
        <w:spacing w:after="0" w:line="274" w:lineRule="auto"/>
        <w:rPr>
          <w:sz w:val="20"/>
          <w:szCs w:val="20"/>
          <w:color w:val="auto"/>
        </w:rPr>
      </w:pPr>
      <w:r>
        <w:rPr>
          <w:rFonts w:ascii="Times New Roman" w:cs="Times New Roman" w:eastAsia="Times New Roman" w:hAnsi="Times New Roman"/>
          <w:sz w:val="18"/>
          <w:szCs w:val="18"/>
          <w:color w:val="auto"/>
        </w:rPr>
        <w:t>Because ownership interests in SI Partners, its subsidiaries and their projects differ by percentage and consolidation level, claims on changes in net assets must be allocated among the respective owners. To effect the allocation of interests, in the three months ended March 31, 2026, we recorded an increase in CRNCI of $42 million, a decrease in NCI of $48 million and an increase in Sempra’s shareholders’ equity of $6 million.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238760</wp:posOffset>
            </wp:positionV>
            <wp:extent cx="7115175"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20"/>
          <w:szCs w:val="20"/>
          <w:color w:val="auto"/>
        </w:rPr>
        <w:t>NOTE 11. SEMPRA – EQUITY AND EARNINGS PER COMMON SHARE</w:t>
      </w:r>
    </w:p>
    <w:p>
      <w:pPr>
        <w:spacing w:after="0" w:line="3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 OFFERINGS</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ATM Program</w:t>
      </w:r>
    </w:p>
    <w:p>
      <w:pPr>
        <w:spacing w:after="0" w:line="49" w:lineRule="exact"/>
        <w:rPr>
          <w:sz w:val="20"/>
          <w:szCs w:val="20"/>
          <w:color w:val="auto"/>
        </w:rPr>
      </w:pPr>
    </w:p>
    <w:p>
      <w:pPr>
        <w:ind w:right="160"/>
        <w:spacing w:after="0" w:line="271" w:lineRule="auto"/>
        <w:rPr>
          <w:sz w:val="20"/>
          <w:szCs w:val="20"/>
          <w:color w:val="auto"/>
        </w:rPr>
      </w:pPr>
      <w:r>
        <w:rPr>
          <w:rFonts w:ascii="Times New Roman" w:cs="Times New Roman" w:eastAsia="Times New Roman" w:hAnsi="Times New Roman"/>
          <w:sz w:val="18"/>
          <w:szCs w:val="18"/>
          <w:color w:val="auto"/>
        </w:rPr>
        <w:t>In November 2024, we established an ATM program providing for the offer and sale of shares of Sempra common stock having an aggregate gross sales price of up to $3.0 billion through agents acting as our sales agents or as forward sellers or directly to the agents as principals. The shares may be offered and sold in amounts and at times to be determined by us from time to time. The agents will be entitled to a commission that will not exceed 1.0% of the gross sales price of all shares sold through it as agent pursuant to the Sales Agreement.</w:t>
      </w:r>
    </w:p>
    <w:p>
      <w:pPr>
        <w:spacing w:after="0" w:line="78" w:lineRule="exact"/>
        <w:rPr>
          <w:sz w:val="20"/>
          <w:szCs w:val="20"/>
          <w:color w:val="auto"/>
        </w:rPr>
      </w:pPr>
    </w:p>
    <w:p>
      <w:pPr>
        <w:spacing w:after="0" w:line="264" w:lineRule="auto"/>
        <w:rPr>
          <w:sz w:val="20"/>
          <w:szCs w:val="20"/>
          <w:color w:val="auto"/>
        </w:rPr>
      </w:pPr>
      <w:r>
        <w:rPr>
          <w:rFonts w:ascii="Times New Roman" w:cs="Times New Roman" w:eastAsia="Times New Roman" w:hAnsi="Times New Roman"/>
          <w:sz w:val="18"/>
          <w:szCs w:val="18"/>
          <w:color w:val="auto"/>
        </w:rPr>
        <w:t>Under the ATM program, we may enter into separate forward sale agreements with affiliates of the agents as forward purchasers. We expect to fully physically settle each forward sale agreement. However, we will generally have the right, subject to certain exceptions, to elect to cash settle or net share settle all or any portion of our obligations under any such forward sale agreement. With respect to forward sale agreements with any forward purchaser, we expect that such forward purchaser (or its affiliate) will attempt to borrow from third parties and sell, through the relevant agent acting as sales agent for such forward purchaser, shares of our common stock to hedge such forward purchaser’s exposure under such forward sale agreement. We will not receive any proceeds from any sale of shares borrowed by a forward purchaser (or its affiliate) and sold through a forward seller. The forward seller will receive a commission, in the form of a reduction to the initial forward price under the related forward sale agreement, at a mutually agreed rate that will not exceed (subject to certain exceptions) 1.0% of the volume-weighted average of the gross sales price per share of all of the borrowed shares of Sempra common stock sold through such forward seller.</w:t>
      </w:r>
    </w:p>
    <w:p>
      <w:pPr>
        <w:spacing w:after="0" w:line="84"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We intend to use a substantial portion of the net proceeds we receive from the issuance and sale by us of any shares of our common stock to or through the agents and any net proceeds we receive through the settlement of any forward sale agreements with the forward purchasers for working capital and other general corporate purposes, including to partly finance our long-term capital plan and to repay outstanding commercial paper and potentially other indebtedness. At March 31, 2026, approximately $2.6 billion of common stock remained available for sale under the ATM program, which reflects the forward sale agreements that we describe below.</w:t>
      </w:r>
    </w:p>
    <w:p>
      <w:pPr>
        <w:spacing w:after="0" w:line="200" w:lineRule="exact"/>
        <w:rPr>
          <w:sz w:val="20"/>
          <w:szCs w:val="20"/>
          <w:color w:val="auto"/>
        </w:rPr>
      </w:pPr>
    </w:p>
    <w:p>
      <w:pPr>
        <w:spacing w:after="0" w:line="35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150495</wp:posOffset>
            </wp:positionV>
            <wp:extent cx="7157720" cy="425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Forward Sale Agreements</w:t>
      </w:r>
    </w:p>
    <w:p>
      <w:pPr>
        <w:spacing w:after="0" w:line="49"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We have entered into two forward sale agreements for the sale of shares of Sempra common stock under the ATM program that remain subject to future settlement. The shares offered pursuant to the forward sale agreements were borrowed by the applicable forward purchaser and therefore were not newly issued shares. We did not initially receive any proceeds from the sale of shares pursuant to the forward sale agreements. These forward sale agreements may be settled on one or more dates specified by us occurring no later than the final settlement date under the applicable agreement. Although we may settle the forward sale agreements entirely by the physical delivery of shares of our common stock in exchange for cash proceeds, we may, subject to certain conditions, elect cash settlement or net share settlement for all or a portion of our obligations under the forward sale agreements. The forward sale agreements are also subject to acceleration by the applicable forward purchaser upon the occurrence of certain events. The principal terms of these forward sale agreements at March 31, 2026 are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6926580" cy="3003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6926580" cy="300355"/>
                    </a:xfrm>
                    <a:prstGeom prst="rect">
                      <a:avLst/>
                    </a:prstGeom>
                    <a:noFill/>
                  </pic:spPr>
                </pic:pic>
              </a:graphicData>
            </a:graphic>
          </wp:anchor>
        </w:drawing>
      </w:r>
    </w:p>
    <w:p>
      <w:pPr>
        <w:spacing w:after="0" w:line="106"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FFFFFF"/>
        </w:rPr>
        <w:t>FORWARD SALE AGREEMENTS UNDER THE ATM PROGRAM THAT REMAIN SUBJECT TO FUTURE SETTLEMENT</w:t>
      </w:r>
    </w:p>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4160" w:type="dxa"/>
            <w:vAlign w:val="bottom"/>
            <w:gridSpan w:val="3"/>
          </w:tcPr>
          <w:p>
            <w:pPr>
              <w:ind w:left="20"/>
              <w:spacing w:after="0"/>
              <w:rPr>
                <w:sz w:val="20"/>
                <w:szCs w:val="20"/>
                <w:color w:val="auto"/>
              </w:rPr>
            </w:pPr>
            <w:r>
              <w:rPr>
                <w:rFonts w:ascii="Arial" w:cs="Arial" w:eastAsia="Arial" w:hAnsi="Arial"/>
                <w:sz w:val="14"/>
                <w:szCs w:val="14"/>
                <w:i w:val="1"/>
                <w:iCs w:val="1"/>
                <w:color w:val="FFFFFF"/>
              </w:rPr>
              <w:t>(Dollars in millions, except per share amounts)</w:t>
            </w:r>
          </w:p>
        </w:tc>
        <w:tc>
          <w:tcPr>
            <w:tcW w:w="13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4"/>
        </w:trPr>
        <w:tc>
          <w:tcPr>
            <w:tcW w:w="1600" w:type="dxa"/>
            <w:vAlign w:val="bottom"/>
          </w:tcPr>
          <w:p>
            <w:pPr>
              <w:spacing w:after="0"/>
              <w:rPr>
                <w:sz w:val="15"/>
                <w:szCs w:val="15"/>
                <w:color w:val="auto"/>
              </w:rPr>
            </w:pPr>
          </w:p>
        </w:tc>
        <w:tc>
          <w:tcPr>
            <w:tcW w:w="1320" w:type="dxa"/>
            <w:vAlign w:val="bottom"/>
          </w:tcPr>
          <w:p>
            <w:pPr>
              <w:jc w:val="center"/>
              <w:spacing w:after="0"/>
              <w:rPr>
                <w:sz w:val="20"/>
                <w:szCs w:val="20"/>
                <w:color w:val="auto"/>
              </w:rPr>
            </w:pPr>
            <w:r>
              <w:rPr>
                <w:rFonts w:ascii="Arial" w:cs="Arial" w:eastAsia="Arial" w:hAnsi="Arial"/>
                <w:sz w:val="14"/>
                <w:szCs w:val="14"/>
                <w:color w:val="auto"/>
              </w:rPr>
              <w:t>Number of shares</w:t>
            </w:r>
          </w:p>
        </w:tc>
        <w:tc>
          <w:tcPr>
            <w:tcW w:w="1240" w:type="dxa"/>
            <w:vAlign w:val="bottom"/>
          </w:tcPr>
          <w:p>
            <w:pPr>
              <w:jc w:val="center"/>
              <w:spacing w:after="0"/>
              <w:rPr>
                <w:sz w:val="20"/>
                <w:szCs w:val="20"/>
                <w:color w:val="auto"/>
              </w:rPr>
            </w:pPr>
            <w:r>
              <w:rPr>
                <w:rFonts w:ascii="Arial" w:cs="Arial" w:eastAsia="Arial" w:hAnsi="Arial"/>
                <w:sz w:val="14"/>
                <w:szCs w:val="14"/>
                <w:color w:val="auto"/>
              </w:rPr>
              <w:t>Number of shares</w:t>
            </w:r>
          </w:p>
        </w:tc>
        <w:tc>
          <w:tcPr>
            <w:tcW w:w="1360" w:type="dxa"/>
            <w:vAlign w:val="bottom"/>
            <w:vMerge w:val="restart"/>
          </w:tcPr>
          <w:p>
            <w:pPr>
              <w:jc w:val="center"/>
              <w:spacing w:after="0"/>
              <w:rPr>
                <w:sz w:val="20"/>
                <w:szCs w:val="20"/>
                <w:color w:val="auto"/>
              </w:rPr>
            </w:pPr>
            <w:r>
              <w:rPr>
                <w:rFonts w:ascii="Arial" w:cs="Arial" w:eastAsia="Arial" w:hAnsi="Arial"/>
                <w:sz w:val="14"/>
                <w:szCs w:val="14"/>
                <w:color w:val="auto"/>
              </w:rPr>
              <w:t>Initial forward price</w:t>
            </w:r>
          </w:p>
        </w:tc>
        <w:tc>
          <w:tcPr>
            <w:tcW w:w="1080" w:type="dxa"/>
            <w:vAlign w:val="bottom"/>
            <w:vMerge w:val="restart"/>
          </w:tcPr>
          <w:p>
            <w:pPr>
              <w:jc w:val="center"/>
              <w:spacing w:after="0"/>
              <w:rPr>
                <w:sz w:val="20"/>
                <w:szCs w:val="20"/>
                <w:color w:val="auto"/>
              </w:rPr>
            </w:pPr>
            <w:r>
              <w:rPr>
                <w:rFonts w:ascii="Arial" w:cs="Arial" w:eastAsia="Arial" w:hAnsi="Arial"/>
                <w:sz w:val="14"/>
                <w:szCs w:val="14"/>
                <w:color w:val="auto"/>
              </w:rPr>
              <w:t>Expected net</w:t>
            </w:r>
          </w:p>
        </w:tc>
        <w:tc>
          <w:tcPr>
            <w:tcW w:w="1440" w:type="dxa"/>
            <w:vAlign w:val="bottom"/>
          </w:tcPr>
          <w:p>
            <w:pPr>
              <w:spacing w:after="0"/>
              <w:rPr>
                <w:sz w:val="15"/>
                <w:szCs w:val="15"/>
                <w:color w:val="auto"/>
              </w:rPr>
            </w:pPr>
          </w:p>
        </w:tc>
        <w:tc>
          <w:tcPr>
            <w:tcW w:w="1160" w:type="dxa"/>
            <w:vAlign w:val="bottom"/>
            <w:vMerge w:val="restart"/>
          </w:tcPr>
          <w:p>
            <w:pPr>
              <w:jc w:val="center"/>
              <w:ind w:right="8"/>
              <w:spacing w:after="0"/>
              <w:rPr>
                <w:sz w:val="20"/>
                <w:szCs w:val="20"/>
                <w:color w:val="auto"/>
              </w:rPr>
            </w:pPr>
            <w:r>
              <w:rPr>
                <w:rFonts w:ascii="Arial" w:cs="Arial" w:eastAsia="Arial" w:hAnsi="Arial"/>
                <w:sz w:val="14"/>
                <w:szCs w:val="14"/>
                <w:color w:val="auto"/>
              </w:rPr>
              <w:t>Sales</w:t>
            </w:r>
          </w:p>
        </w:tc>
        <w:tc>
          <w:tcPr>
            <w:tcW w:w="1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4"/>
        </w:trPr>
        <w:tc>
          <w:tcPr>
            <w:tcW w:w="1600" w:type="dxa"/>
            <w:vAlign w:val="bottom"/>
            <w:vMerge w:val="restart"/>
          </w:tcPr>
          <w:p>
            <w:pPr>
              <w:jc w:val="center"/>
              <w:ind w:left="8"/>
              <w:spacing w:after="0"/>
              <w:rPr>
                <w:sz w:val="20"/>
                <w:szCs w:val="20"/>
                <w:color w:val="auto"/>
              </w:rPr>
            </w:pPr>
            <w:r>
              <w:rPr>
                <w:rFonts w:ascii="Arial" w:cs="Arial" w:eastAsia="Arial" w:hAnsi="Arial"/>
                <w:sz w:val="14"/>
                <w:szCs w:val="14"/>
                <w:color w:val="auto"/>
              </w:rPr>
              <w:t>Date of agreement</w:t>
            </w:r>
          </w:p>
        </w:tc>
        <w:tc>
          <w:tcPr>
            <w:tcW w:w="1320" w:type="dxa"/>
            <w:vAlign w:val="bottom"/>
          </w:tcPr>
          <w:p>
            <w:pPr>
              <w:jc w:val="center"/>
              <w:spacing w:after="0" w:line="145" w:lineRule="exact"/>
              <w:rPr>
                <w:sz w:val="20"/>
                <w:szCs w:val="20"/>
                <w:color w:val="auto"/>
              </w:rPr>
            </w:pPr>
            <w:r>
              <w:rPr>
                <w:rFonts w:ascii="Arial" w:cs="Arial" w:eastAsia="Arial" w:hAnsi="Arial"/>
                <w:sz w:val="14"/>
                <w:szCs w:val="14"/>
                <w:color w:val="auto"/>
              </w:rPr>
              <w:t>subject to</w:t>
            </w:r>
          </w:p>
        </w:tc>
        <w:tc>
          <w:tcPr>
            <w:tcW w:w="1240" w:type="dxa"/>
            <w:vAlign w:val="bottom"/>
          </w:tcPr>
          <w:p>
            <w:pPr>
              <w:jc w:val="center"/>
              <w:spacing w:after="0" w:line="145" w:lineRule="exact"/>
              <w:rPr>
                <w:sz w:val="20"/>
                <w:szCs w:val="20"/>
                <w:color w:val="auto"/>
              </w:rPr>
            </w:pPr>
            <w:r>
              <w:rPr>
                <w:rFonts w:ascii="Arial" w:cs="Arial" w:eastAsia="Arial" w:hAnsi="Arial"/>
                <w:sz w:val="14"/>
                <w:szCs w:val="14"/>
                <w:color w:val="auto"/>
              </w:rPr>
              <w:t>that remain to be</w:t>
            </w:r>
          </w:p>
        </w:tc>
        <w:tc>
          <w:tcPr>
            <w:tcW w:w="1360" w:type="dxa"/>
            <w:vAlign w:val="bottom"/>
            <w:vMerge w:val="continue"/>
          </w:tcPr>
          <w:p>
            <w:pPr>
              <w:spacing w:after="0"/>
              <w:rPr>
                <w:sz w:val="12"/>
                <w:szCs w:val="12"/>
                <w:color w:val="auto"/>
              </w:rPr>
            </w:pPr>
          </w:p>
        </w:tc>
        <w:tc>
          <w:tcPr>
            <w:tcW w:w="1080" w:type="dxa"/>
            <w:vAlign w:val="bottom"/>
            <w:vMerge w:val="continue"/>
          </w:tcPr>
          <w:p>
            <w:pPr>
              <w:spacing w:after="0"/>
              <w:rPr>
                <w:sz w:val="12"/>
                <w:szCs w:val="12"/>
                <w:color w:val="auto"/>
              </w:rPr>
            </w:pPr>
          </w:p>
        </w:tc>
        <w:tc>
          <w:tcPr>
            <w:tcW w:w="1440" w:type="dxa"/>
            <w:vAlign w:val="bottom"/>
            <w:vMerge w:val="restart"/>
          </w:tcPr>
          <w:p>
            <w:pPr>
              <w:jc w:val="center"/>
              <w:spacing w:after="0"/>
              <w:rPr>
                <w:sz w:val="20"/>
                <w:szCs w:val="20"/>
                <w:color w:val="auto"/>
              </w:rPr>
            </w:pPr>
            <w:r>
              <w:rPr>
                <w:rFonts w:ascii="Arial" w:cs="Arial" w:eastAsia="Arial" w:hAnsi="Arial"/>
                <w:sz w:val="14"/>
                <w:szCs w:val="14"/>
                <w:color w:val="auto"/>
              </w:rPr>
              <w:t>Forward purchaser</w:t>
            </w:r>
          </w:p>
        </w:tc>
        <w:tc>
          <w:tcPr>
            <w:tcW w:w="1160" w:type="dxa"/>
            <w:vAlign w:val="bottom"/>
            <w:vMerge w:val="continue"/>
          </w:tcPr>
          <w:p>
            <w:pPr>
              <w:spacing w:after="0"/>
              <w:rPr>
                <w:sz w:val="12"/>
                <w:szCs w:val="12"/>
                <w:color w:val="auto"/>
              </w:rPr>
            </w:pPr>
          </w:p>
        </w:tc>
        <w:tc>
          <w:tcPr>
            <w:tcW w:w="1720" w:type="dxa"/>
            <w:vAlign w:val="bottom"/>
            <w:vMerge w:val="restart"/>
          </w:tcPr>
          <w:p>
            <w:pPr>
              <w:jc w:val="center"/>
              <w:spacing w:after="0"/>
              <w:rPr>
                <w:sz w:val="20"/>
                <w:szCs w:val="20"/>
                <w:color w:val="auto"/>
              </w:rPr>
            </w:pPr>
            <w:r>
              <w:rPr>
                <w:rFonts w:ascii="Arial" w:cs="Arial" w:eastAsia="Arial" w:hAnsi="Arial"/>
                <w:sz w:val="14"/>
                <w:szCs w:val="14"/>
                <w:color w:val="auto"/>
              </w:rPr>
              <w:t>Final settlement date</w:t>
            </w:r>
          </w:p>
        </w:tc>
        <w:tc>
          <w:tcPr>
            <w:tcW w:w="0" w:type="dxa"/>
            <w:vAlign w:val="bottom"/>
          </w:tcPr>
          <w:p>
            <w:pPr>
              <w:spacing w:after="0"/>
              <w:rPr>
                <w:sz w:val="1"/>
                <w:szCs w:val="1"/>
                <w:color w:val="auto"/>
              </w:rPr>
            </w:pPr>
          </w:p>
        </w:tc>
      </w:tr>
      <w:tr>
        <w:trPr>
          <w:trHeight w:val="189"/>
        </w:trPr>
        <w:tc>
          <w:tcPr>
            <w:tcW w:w="1600" w:type="dxa"/>
            <w:vAlign w:val="bottom"/>
            <w:tcBorders>
              <w:bottom w:val="single" w:sz="8" w:color="auto"/>
            </w:tcBorders>
            <w:vMerge w:val="continue"/>
          </w:tcPr>
          <w:p>
            <w:pPr>
              <w:spacing w:after="0"/>
              <w:rPr>
                <w:sz w:val="16"/>
                <w:szCs w:val="16"/>
                <w:color w:val="auto"/>
              </w:rPr>
            </w:pPr>
          </w:p>
        </w:tc>
        <w:tc>
          <w:tcPr>
            <w:tcW w:w="1320" w:type="dxa"/>
            <w:vAlign w:val="bottom"/>
            <w:tcBorders>
              <w:bottom w:val="single" w:sz="8" w:color="auto"/>
            </w:tcBorders>
          </w:tcPr>
          <w:p>
            <w:pPr>
              <w:jc w:val="center"/>
              <w:ind w:left="8"/>
              <w:spacing w:after="0"/>
              <w:rPr>
                <w:sz w:val="20"/>
                <w:szCs w:val="20"/>
                <w:color w:val="auto"/>
              </w:rPr>
            </w:pPr>
            <w:r>
              <w:rPr>
                <w:rFonts w:ascii="Arial" w:cs="Arial" w:eastAsia="Arial" w:hAnsi="Arial"/>
                <w:sz w:val="14"/>
                <w:szCs w:val="14"/>
                <w:color w:val="auto"/>
              </w:rPr>
              <w:t>agreement</w:t>
            </w: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settled</w:t>
            </w: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per share</w:t>
            </w:r>
          </w:p>
        </w:tc>
        <w:tc>
          <w:tcPr>
            <w:tcW w:w="1080" w:type="dxa"/>
            <w:vAlign w:val="bottom"/>
            <w:tcBorders>
              <w:bottom w:val="single" w:sz="8" w:color="auto"/>
            </w:tcBorders>
          </w:tcPr>
          <w:p>
            <w:pPr>
              <w:jc w:val="center"/>
              <w:spacing w:after="0" w:line="189" w:lineRule="exact"/>
              <w:rPr>
                <w:sz w:val="20"/>
                <w:szCs w:val="20"/>
                <w:color w:val="auto"/>
              </w:rPr>
            </w:pPr>
            <w:r>
              <w:rPr>
                <w:rFonts w:ascii="Arial" w:cs="Arial" w:eastAsia="Arial" w:hAnsi="Arial"/>
                <w:sz w:val="14"/>
                <w:szCs w:val="14"/>
                <w:color w:val="auto"/>
                <w:w w:val="99"/>
              </w:rPr>
              <w:t>proceeds</w:t>
            </w:r>
            <w:r>
              <w:rPr>
                <w:rFonts w:ascii="Arial" w:cs="Arial" w:eastAsia="Arial" w:hAnsi="Arial"/>
                <w:sz w:val="18"/>
                <w:szCs w:val="18"/>
                <w:color w:val="auto"/>
                <w:w w:val="99"/>
                <w:vertAlign w:val="superscript"/>
              </w:rPr>
              <w:t>(1)</w:t>
            </w:r>
          </w:p>
        </w:tc>
        <w:tc>
          <w:tcPr>
            <w:tcW w:w="1440" w:type="dxa"/>
            <w:vAlign w:val="bottom"/>
            <w:tcBorders>
              <w:bottom w:val="single" w:sz="8" w:color="auto"/>
            </w:tcBorders>
            <w:vMerge w:val="continue"/>
          </w:tcPr>
          <w:p>
            <w:pPr>
              <w:spacing w:after="0"/>
              <w:rPr>
                <w:sz w:val="16"/>
                <w:szCs w:val="16"/>
                <w:color w:val="auto"/>
              </w:rPr>
            </w:pPr>
          </w:p>
        </w:tc>
        <w:tc>
          <w:tcPr>
            <w:tcW w:w="1160" w:type="dxa"/>
            <w:vAlign w:val="bottom"/>
            <w:tcBorders>
              <w:bottom w:val="single" w:sz="8" w:color="auto"/>
            </w:tcBorders>
          </w:tcPr>
          <w:p>
            <w:pPr>
              <w:jc w:val="center"/>
              <w:ind w:right="28"/>
              <w:spacing w:after="0"/>
              <w:rPr>
                <w:sz w:val="20"/>
                <w:szCs w:val="20"/>
                <w:color w:val="auto"/>
              </w:rPr>
            </w:pPr>
            <w:r>
              <w:rPr>
                <w:rFonts w:ascii="Arial" w:cs="Arial" w:eastAsia="Arial" w:hAnsi="Arial"/>
                <w:sz w:val="14"/>
                <w:szCs w:val="14"/>
                <w:color w:val="auto"/>
              </w:rPr>
              <w:t>commissions</w:t>
            </w:r>
          </w:p>
        </w:tc>
        <w:tc>
          <w:tcPr>
            <w:tcW w:w="17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6"/>
        </w:trPr>
        <w:tc>
          <w:tcPr>
            <w:tcW w:w="1600" w:type="dxa"/>
            <w:vAlign w:val="bottom"/>
            <w:vMerge w:val="restart"/>
            <w:shd w:val="clear" w:color="auto" w:fill="D4F1F5"/>
          </w:tcPr>
          <w:p>
            <w:pPr>
              <w:jc w:val="center"/>
              <w:ind w:left="8"/>
              <w:spacing w:after="0"/>
              <w:rPr>
                <w:sz w:val="20"/>
                <w:szCs w:val="20"/>
                <w:color w:val="auto"/>
              </w:rPr>
            </w:pPr>
            <w:r>
              <w:rPr>
                <w:rFonts w:ascii="Arial" w:cs="Arial" w:eastAsia="Arial" w:hAnsi="Arial"/>
                <w:sz w:val="14"/>
                <w:szCs w:val="14"/>
                <w:color w:val="auto"/>
              </w:rPr>
              <w:t>November 18, 2024</w:t>
            </w:r>
          </w:p>
        </w:tc>
        <w:tc>
          <w:tcPr>
            <w:tcW w:w="1320" w:type="dxa"/>
            <w:vAlign w:val="bottom"/>
            <w:vMerge w:val="restart"/>
            <w:shd w:val="clear" w:color="auto" w:fill="D4F1F5"/>
          </w:tcPr>
          <w:p>
            <w:pPr>
              <w:jc w:val="center"/>
              <w:ind w:left="8"/>
              <w:spacing w:after="0"/>
              <w:rPr>
                <w:sz w:val="20"/>
                <w:szCs w:val="20"/>
                <w:color w:val="auto"/>
              </w:rPr>
            </w:pPr>
            <w:r>
              <w:rPr>
                <w:rFonts w:ascii="Arial" w:cs="Arial" w:eastAsia="Arial" w:hAnsi="Arial"/>
                <w:sz w:val="14"/>
                <w:szCs w:val="14"/>
                <w:color w:val="auto"/>
              </w:rPr>
              <w:t>2,909,274</w:t>
            </w:r>
          </w:p>
        </w:tc>
        <w:tc>
          <w:tcPr>
            <w:tcW w:w="1240" w:type="dxa"/>
            <w:vAlign w:val="bottom"/>
            <w:vMerge w:val="restart"/>
            <w:shd w:val="clear" w:color="auto" w:fill="D4F1F5"/>
          </w:tcPr>
          <w:p>
            <w:pPr>
              <w:jc w:val="center"/>
              <w:spacing w:after="0"/>
              <w:rPr>
                <w:sz w:val="20"/>
                <w:szCs w:val="20"/>
                <w:color w:val="auto"/>
              </w:rPr>
            </w:pPr>
            <w:r>
              <w:rPr>
                <w:rFonts w:ascii="Arial" w:cs="Arial" w:eastAsia="Arial" w:hAnsi="Arial"/>
                <w:sz w:val="14"/>
                <w:szCs w:val="14"/>
                <w:color w:val="auto"/>
              </w:rPr>
              <w:t>2,909,274</w:t>
            </w:r>
          </w:p>
        </w:tc>
        <w:tc>
          <w:tcPr>
            <w:tcW w:w="1360" w:type="dxa"/>
            <w:vAlign w:val="bottom"/>
            <w:vMerge w:val="restart"/>
            <w:shd w:val="clear" w:color="auto" w:fill="D4F1F5"/>
          </w:tcPr>
          <w:p>
            <w:pPr>
              <w:jc w:val="center"/>
              <w:ind w:right="8"/>
              <w:spacing w:after="0"/>
              <w:rPr>
                <w:sz w:val="20"/>
                <w:szCs w:val="20"/>
                <w:color w:val="auto"/>
              </w:rPr>
            </w:pPr>
            <w:r>
              <w:rPr>
                <w:rFonts w:ascii="Arial" w:cs="Arial" w:eastAsia="Arial" w:hAnsi="Arial"/>
                <w:sz w:val="14"/>
                <w:szCs w:val="14"/>
                <w:color w:val="auto"/>
              </w:rPr>
              <w:t>$92.1546</w:t>
            </w:r>
          </w:p>
        </w:tc>
        <w:tc>
          <w:tcPr>
            <w:tcW w:w="1080" w:type="dxa"/>
            <w:vAlign w:val="bottom"/>
            <w:vMerge w:val="restart"/>
            <w:shd w:val="clear" w:color="auto" w:fill="D4F1F5"/>
          </w:tcPr>
          <w:p>
            <w:pPr>
              <w:jc w:val="center"/>
              <w:spacing w:after="0"/>
              <w:rPr>
                <w:sz w:val="20"/>
                <w:szCs w:val="20"/>
                <w:color w:val="auto"/>
              </w:rPr>
            </w:pPr>
            <w:r>
              <w:rPr>
                <w:rFonts w:ascii="Arial" w:cs="Arial" w:eastAsia="Arial" w:hAnsi="Arial"/>
                <w:sz w:val="14"/>
                <w:szCs w:val="14"/>
                <w:color w:val="auto"/>
              </w:rPr>
              <w:t>$268</w:t>
            </w:r>
          </w:p>
        </w:tc>
        <w:tc>
          <w:tcPr>
            <w:tcW w:w="1440" w:type="dxa"/>
            <w:vAlign w:val="bottom"/>
            <w:shd w:val="clear" w:color="auto" w:fill="D4F1F5"/>
          </w:tcPr>
          <w:p>
            <w:pPr>
              <w:jc w:val="center"/>
              <w:spacing w:after="0" w:line="147" w:lineRule="exact"/>
              <w:rPr>
                <w:sz w:val="20"/>
                <w:szCs w:val="20"/>
                <w:color w:val="auto"/>
              </w:rPr>
            </w:pPr>
            <w:r>
              <w:rPr>
                <w:rFonts w:ascii="Arial" w:cs="Arial" w:eastAsia="Arial" w:hAnsi="Arial"/>
                <w:sz w:val="14"/>
                <w:szCs w:val="14"/>
                <w:color w:val="auto"/>
              </w:rPr>
              <w:t>Bank of America,</w:t>
            </w:r>
          </w:p>
        </w:tc>
        <w:tc>
          <w:tcPr>
            <w:tcW w:w="1160" w:type="dxa"/>
            <w:vAlign w:val="bottom"/>
            <w:vMerge w:val="restart"/>
            <w:shd w:val="clear" w:color="auto" w:fill="D4F1F5"/>
          </w:tcPr>
          <w:p>
            <w:pPr>
              <w:jc w:val="center"/>
              <w:ind w:right="8"/>
              <w:spacing w:after="0"/>
              <w:rPr>
                <w:sz w:val="20"/>
                <w:szCs w:val="20"/>
                <w:color w:val="auto"/>
              </w:rPr>
            </w:pPr>
            <w:r>
              <w:rPr>
                <w:rFonts w:ascii="Arial" w:cs="Arial" w:eastAsia="Arial" w:hAnsi="Arial"/>
                <w:sz w:val="14"/>
                <w:szCs w:val="14"/>
                <w:color w:val="auto"/>
              </w:rPr>
              <w:t>$2.4</w:t>
            </w:r>
          </w:p>
        </w:tc>
        <w:tc>
          <w:tcPr>
            <w:tcW w:w="1720" w:type="dxa"/>
            <w:vAlign w:val="bottom"/>
            <w:vMerge w:val="restart"/>
            <w:shd w:val="clear" w:color="auto" w:fill="D4F1F5"/>
          </w:tcPr>
          <w:p>
            <w:pPr>
              <w:jc w:val="center"/>
              <w:spacing w:after="0"/>
              <w:rPr>
                <w:sz w:val="20"/>
                <w:szCs w:val="20"/>
                <w:color w:val="auto"/>
              </w:rPr>
            </w:pPr>
            <w:r>
              <w:rPr>
                <w:rFonts w:ascii="Arial" w:cs="Arial" w:eastAsia="Arial" w:hAnsi="Arial"/>
                <w:sz w:val="14"/>
                <w:szCs w:val="14"/>
                <w:color w:val="auto"/>
              </w:rPr>
              <w:t>June 30, 2026</w:t>
            </w:r>
            <w:r>
              <w:rPr>
                <w:rFonts w:ascii="Arial" w:cs="Arial" w:eastAsia="Arial" w:hAnsi="Arial"/>
                <w:sz w:val="9"/>
                <w:szCs w:val="9"/>
                <w:color w:val="auto"/>
              </w:rPr>
              <w:t>(2)</w:t>
            </w:r>
          </w:p>
        </w:tc>
        <w:tc>
          <w:tcPr>
            <w:tcW w:w="0" w:type="dxa"/>
            <w:vAlign w:val="bottom"/>
          </w:tcPr>
          <w:p>
            <w:pPr>
              <w:spacing w:after="0"/>
              <w:rPr>
                <w:sz w:val="1"/>
                <w:szCs w:val="1"/>
                <w:color w:val="auto"/>
              </w:rPr>
            </w:pPr>
          </w:p>
        </w:tc>
      </w:tr>
      <w:tr>
        <w:trPr>
          <w:trHeight w:val="185"/>
        </w:trPr>
        <w:tc>
          <w:tcPr>
            <w:tcW w:w="1600" w:type="dxa"/>
            <w:vAlign w:val="bottom"/>
            <w:vMerge w:val="continue"/>
            <w:shd w:val="clear" w:color="auto" w:fill="D4F1F5"/>
          </w:tcPr>
          <w:p>
            <w:pPr>
              <w:spacing w:after="0"/>
              <w:rPr>
                <w:sz w:val="16"/>
                <w:szCs w:val="16"/>
                <w:color w:val="auto"/>
              </w:rPr>
            </w:pPr>
          </w:p>
        </w:tc>
        <w:tc>
          <w:tcPr>
            <w:tcW w:w="1320" w:type="dxa"/>
            <w:vAlign w:val="bottom"/>
            <w:vMerge w:val="continue"/>
            <w:shd w:val="clear" w:color="auto" w:fill="D4F1F5"/>
          </w:tcPr>
          <w:p>
            <w:pPr>
              <w:spacing w:after="0"/>
              <w:rPr>
                <w:sz w:val="16"/>
                <w:szCs w:val="16"/>
                <w:color w:val="auto"/>
              </w:rPr>
            </w:pPr>
          </w:p>
        </w:tc>
        <w:tc>
          <w:tcPr>
            <w:tcW w:w="1240" w:type="dxa"/>
            <w:vAlign w:val="bottom"/>
            <w:vMerge w:val="continue"/>
            <w:shd w:val="clear" w:color="auto" w:fill="D4F1F5"/>
          </w:tcPr>
          <w:p>
            <w:pPr>
              <w:spacing w:after="0"/>
              <w:rPr>
                <w:sz w:val="16"/>
                <w:szCs w:val="16"/>
                <w:color w:val="auto"/>
              </w:rPr>
            </w:pPr>
          </w:p>
        </w:tc>
        <w:tc>
          <w:tcPr>
            <w:tcW w:w="1360" w:type="dxa"/>
            <w:vAlign w:val="bottom"/>
            <w:vMerge w:val="continue"/>
            <w:shd w:val="clear" w:color="auto" w:fill="D4F1F5"/>
          </w:tcPr>
          <w:p>
            <w:pPr>
              <w:spacing w:after="0"/>
              <w:rPr>
                <w:sz w:val="16"/>
                <w:szCs w:val="16"/>
                <w:color w:val="auto"/>
              </w:rPr>
            </w:pPr>
          </w:p>
        </w:tc>
        <w:tc>
          <w:tcPr>
            <w:tcW w:w="1080" w:type="dxa"/>
            <w:vAlign w:val="bottom"/>
            <w:vMerge w:val="continue"/>
            <w:shd w:val="clear" w:color="auto" w:fill="D4F1F5"/>
          </w:tcPr>
          <w:p>
            <w:pPr>
              <w:spacing w:after="0"/>
              <w:rPr>
                <w:sz w:val="16"/>
                <w:szCs w:val="16"/>
                <w:color w:val="auto"/>
              </w:rPr>
            </w:pPr>
          </w:p>
        </w:tc>
        <w:tc>
          <w:tcPr>
            <w:tcW w:w="1440" w:type="dxa"/>
            <w:vAlign w:val="bottom"/>
            <w:shd w:val="clear" w:color="auto" w:fill="D4F1F5"/>
          </w:tcPr>
          <w:p>
            <w:pPr>
              <w:jc w:val="center"/>
              <w:spacing w:after="0"/>
              <w:rPr>
                <w:sz w:val="20"/>
                <w:szCs w:val="20"/>
                <w:color w:val="auto"/>
              </w:rPr>
            </w:pPr>
            <w:r>
              <w:rPr>
                <w:rFonts w:ascii="Arial" w:cs="Arial" w:eastAsia="Arial" w:hAnsi="Arial"/>
                <w:sz w:val="14"/>
                <w:szCs w:val="14"/>
                <w:color w:val="auto"/>
              </w:rPr>
              <w:t>N.A.</w:t>
            </w:r>
          </w:p>
        </w:tc>
        <w:tc>
          <w:tcPr>
            <w:tcW w:w="1160" w:type="dxa"/>
            <w:vAlign w:val="bottom"/>
            <w:vMerge w:val="continue"/>
            <w:shd w:val="clear" w:color="auto" w:fill="D4F1F5"/>
          </w:tcPr>
          <w:p>
            <w:pPr>
              <w:spacing w:after="0"/>
              <w:rPr>
                <w:sz w:val="16"/>
                <w:szCs w:val="16"/>
                <w:color w:val="auto"/>
              </w:rPr>
            </w:pPr>
          </w:p>
        </w:tc>
        <w:tc>
          <w:tcPr>
            <w:tcW w:w="1720" w:type="dxa"/>
            <w:vAlign w:val="bottom"/>
            <w:vMerge w:val="continue"/>
            <w:shd w:val="clear" w:color="auto" w:fill="D4F1F5"/>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1600" w:type="dxa"/>
            <w:vAlign w:val="bottom"/>
            <w:vMerge w:val="restart"/>
          </w:tcPr>
          <w:p>
            <w:pPr>
              <w:jc w:val="center"/>
              <w:ind w:left="8"/>
              <w:spacing w:after="0"/>
              <w:rPr>
                <w:sz w:val="20"/>
                <w:szCs w:val="20"/>
                <w:color w:val="auto"/>
              </w:rPr>
            </w:pPr>
            <w:r>
              <w:rPr>
                <w:rFonts w:ascii="Arial" w:cs="Arial" w:eastAsia="Arial" w:hAnsi="Arial"/>
                <w:sz w:val="14"/>
                <w:szCs w:val="14"/>
                <w:color w:val="auto"/>
              </w:rPr>
              <w:t>February 26, 2025</w:t>
            </w:r>
          </w:p>
        </w:tc>
        <w:tc>
          <w:tcPr>
            <w:tcW w:w="1320" w:type="dxa"/>
            <w:vAlign w:val="bottom"/>
            <w:vMerge w:val="restart"/>
          </w:tcPr>
          <w:p>
            <w:pPr>
              <w:jc w:val="center"/>
              <w:ind w:left="8"/>
              <w:spacing w:after="0"/>
              <w:rPr>
                <w:sz w:val="20"/>
                <w:szCs w:val="20"/>
                <w:color w:val="auto"/>
              </w:rPr>
            </w:pPr>
            <w:r>
              <w:rPr>
                <w:rFonts w:ascii="Arial" w:cs="Arial" w:eastAsia="Arial" w:hAnsi="Arial"/>
                <w:sz w:val="14"/>
                <w:szCs w:val="14"/>
                <w:color w:val="auto"/>
              </w:rPr>
              <w:t>2,087,317</w:t>
            </w:r>
          </w:p>
        </w:tc>
        <w:tc>
          <w:tcPr>
            <w:tcW w:w="1240" w:type="dxa"/>
            <w:vAlign w:val="bottom"/>
            <w:vMerge w:val="restart"/>
          </w:tcPr>
          <w:p>
            <w:pPr>
              <w:jc w:val="center"/>
              <w:spacing w:after="0"/>
              <w:rPr>
                <w:sz w:val="20"/>
                <w:szCs w:val="20"/>
                <w:color w:val="auto"/>
              </w:rPr>
            </w:pPr>
            <w:r>
              <w:rPr>
                <w:rFonts w:ascii="Arial" w:cs="Arial" w:eastAsia="Arial" w:hAnsi="Arial"/>
                <w:sz w:val="14"/>
                <w:szCs w:val="14"/>
                <w:color w:val="auto"/>
              </w:rPr>
              <w:t>2,087,317</w:t>
            </w:r>
          </w:p>
        </w:tc>
        <w:tc>
          <w:tcPr>
            <w:tcW w:w="1360" w:type="dxa"/>
            <w:vAlign w:val="bottom"/>
            <w:vMerge w:val="restart"/>
          </w:tcPr>
          <w:p>
            <w:pPr>
              <w:jc w:val="center"/>
              <w:ind w:right="8"/>
              <w:spacing w:after="0"/>
              <w:rPr>
                <w:sz w:val="20"/>
                <w:szCs w:val="20"/>
                <w:color w:val="auto"/>
              </w:rPr>
            </w:pPr>
            <w:r>
              <w:rPr>
                <w:rFonts w:ascii="Arial" w:cs="Arial" w:eastAsia="Arial" w:hAnsi="Arial"/>
                <w:sz w:val="14"/>
                <w:szCs w:val="14"/>
                <w:color w:val="auto"/>
              </w:rPr>
              <w:t>$70.6593</w:t>
            </w:r>
          </w:p>
        </w:tc>
        <w:tc>
          <w:tcPr>
            <w:tcW w:w="1080" w:type="dxa"/>
            <w:vAlign w:val="bottom"/>
            <w:vMerge w:val="restart"/>
          </w:tcPr>
          <w:p>
            <w:pPr>
              <w:jc w:val="center"/>
              <w:spacing w:after="0"/>
              <w:rPr>
                <w:sz w:val="20"/>
                <w:szCs w:val="20"/>
                <w:color w:val="auto"/>
              </w:rPr>
            </w:pPr>
            <w:r>
              <w:rPr>
                <w:rFonts w:ascii="Arial" w:cs="Arial" w:eastAsia="Arial" w:hAnsi="Arial"/>
                <w:sz w:val="14"/>
                <w:szCs w:val="14"/>
                <w:color w:val="auto"/>
              </w:rPr>
              <w:t>$147</w:t>
            </w:r>
          </w:p>
        </w:tc>
        <w:tc>
          <w:tcPr>
            <w:tcW w:w="1440" w:type="dxa"/>
            <w:vAlign w:val="bottom"/>
          </w:tcPr>
          <w:p>
            <w:pPr>
              <w:jc w:val="center"/>
              <w:spacing w:after="0" w:line="153" w:lineRule="exact"/>
              <w:rPr>
                <w:sz w:val="20"/>
                <w:szCs w:val="20"/>
                <w:color w:val="auto"/>
              </w:rPr>
            </w:pPr>
            <w:r>
              <w:rPr>
                <w:rFonts w:ascii="Arial" w:cs="Arial" w:eastAsia="Arial" w:hAnsi="Arial"/>
                <w:sz w:val="14"/>
                <w:szCs w:val="14"/>
                <w:color w:val="auto"/>
              </w:rPr>
              <w:t>Wells Fargo Bank,</w:t>
            </w:r>
          </w:p>
        </w:tc>
        <w:tc>
          <w:tcPr>
            <w:tcW w:w="1160" w:type="dxa"/>
            <w:vAlign w:val="bottom"/>
            <w:vMerge w:val="restart"/>
          </w:tcPr>
          <w:p>
            <w:pPr>
              <w:jc w:val="center"/>
              <w:ind w:right="8"/>
              <w:spacing w:after="0"/>
              <w:rPr>
                <w:sz w:val="20"/>
                <w:szCs w:val="20"/>
                <w:color w:val="auto"/>
              </w:rPr>
            </w:pPr>
            <w:r>
              <w:rPr>
                <w:rFonts w:ascii="Arial" w:cs="Arial" w:eastAsia="Arial" w:hAnsi="Arial"/>
                <w:sz w:val="14"/>
                <w:szCs w:val="14"/>
                <w:color w:val="auto"/>
              </w:rPr>
              <w:t>$1.3</w:t>
            </w:r>
          </w:p>
        </w:tc>
        <w:tc>
          <w:tcPr>
            <w:tcW w:w="1720" w:type="dxa"/>
            <w:vAlign w:val="bottom"/>
            <w:vMerge w:val="restart"/>
          </w:tcPr>
          <w:p>
            <w:pPr>
              <w:jc w:val="center"/>
              <w:spacing w:after="0"/>
              <w:rPr>
                <w:sz w:val="20"/>
                <w:szCs w:val="20"/>
                <w:color w:val="auto"/>
              </w:rPr>
            </w:pPr>
            <w:r>
              <w:rPr>
                <w:rFonts w:ascii="Arial" w:cs="Arial" w:eastAsia="Arial" w:hAnsi="Arial"/>
                <w:sz w:val="14"/>
                <w:szCs w:val="14"/>
                <w:color w:val="auto"/>
              </w:rPr>
              <w:t>March 31, 2027</w:t>
            </w:r>
          </w:p>
        </w:tc>
        <w:tc>
          <w:tcPr>
            <w:tcW w:w="0" w:type="dxa"/>
            <w:vAlign w:val="bottom"/>
          </w:tcPr>
          <w:p>
            <w:pPr>
              <w:spacing w:after="0"/>
              <w:rPr>
                <w:sz w:val="1"/>
                <w:szCs w:val="1"/>
                <w:color w:val="auto"/>
              </w:rPr>
            </w:pPr>
          </w:p>
        </w:tc>
      </w:tr>
      <w:tr>
        <w:trPr>
          <w:trHeight w:val="192"/>
        </w:trPr>
        <w:tc>
          <w:tcPr>
            <w:tcW w:w="1600" w:type="dxa"/>
            <w:vAlign w:val="bottom"/>
            <w:tcBorders>
              <w:bottom w:val="single" w:sz="8" w:color="ACACAC"/>
            </w:tcBorders>
            <w:vMerge w:val="continue"/>
          </w:tcPr>
          <w:p>
            <w:pPr>
              <w:spacing w:after="0"/>
              <w:rPr>
                <w:sz w:val="16"/>
                <w:szCs w:val="16"/>
                <w:color w:val="auto"/>
              </w:rPr>
            </w:pPr>
          </w:p>
        </w:tc>
        <w:tc>
          <w:tcPr>
            <w:tcW w:w="1320" w:type="dxa"/>
            <w:vAlign w:val="bottom"/>
            <w:tcBorders>
              <w:bottom w:val="single" w:sz="8" w:color="ACACAC"/>
            </w:tcBorders>
            <w:vMerge w:val="continue"/>
          </w:tcPr>
          <w:p>
            <w:pPr>
              <w:spacing w:after="0"/>
              <w:rPr>
                <w:sz w:val="16"/>
                <w:szCs w:val="16"/>
                <w:color w:val="auto"/>
              </w:rPr>
            </w:pPr>
          </w:p>
        </w:tc>
        <w:tc>
          <w:tcPr>
            <w:tcW w:w="1240" w:type="dxa"/>
            <w:vAlign w:val="bottom"/>
            <w:tcBorders>
              <w:bottom w:val="single" w:sz="8" w:color="ACACAC"/>
            </w:tcBorders>
            <w:vMerge w:val="continue"/>
          </w:tcPr>
          <w:p>
            <w:pPr>
              <w:spacing w:after="0"/>
              <w:rPr>
                <w:sz w:val="16"/>
                <w:szCs w:val="16"/>
                <w:color w:val="auto"/>
              </w:rPr>
            </w:pPr>
          </w:p>
        </w:tc>
        <w:tc>
          <w:tcPr>
            <w:tcW w:w="1360" w:type="dxa"/>
            <w:vAlign w:val="bottom"/>
            <w:tcBorders>
              <w:bottom w:val="single" w:sz="8" w:color="ACACAC"/>
            </w:tcBorders>
            <w:vMerge w:val="continue"/>
          </w:tcPr>
          <w:p>
            <w:pPr>
              <w:spacing w:after="0"/>
              <w:rPr>
                <w:sz w:val="16"/>
                <w:szCs w:val="16"/>
                <w:color w:val="auto"/>
              </w:rPr>
            </w:pPr>
          </w:p>
        </w:tc>
        <w:tc>
          <w:tcPr>
            <w:tcW w:w="1080" w:type="dxa"/>
            <w:vAlign w:val="bottom"/>
            <w:tcBorders>
              <w:bottom w:val="single" w:sz="8" w:color="ACACAC"/>
            </w:tcBorders>
            <w:vMerge w:val="continue"/>
          </w:tcPr>
          <w:p>
            <w:pPr>
              <w:spacing w:after="0"/>
              <w:rPr>
                <w:sz w:val="16"/>
                <w:szCs w:val="16"/>
                <w:color w:val="auto"/>
              </w:rPr>
            </w:pPr>
          </w:p>
        </w:tc>
        <w:tc>
          <w:tcPr>
            <w:tcW w:w="1440" w:type="dxa"/>
            <w:vAlign w:val="bottom"/>
            <w:tcBorders>
              <w:bottom w:val="single" w:sz="8" w:color="ACACAC"/>
            </w:tcBorders>
          </w:tcPr>
          <w:p>
            <w:pPr>
              <w:jc w:val="center"/>
              <w:spacing w:after="0"/>
              <w:rPr>
                <w:sz w:val="20"/>
                <w:szCs w:val="20"/>
                <w:color w:val="auto"/>
              </w:rPr>
            </w:pPr>
            <w:r>
              <w:rPr>
                <w:rFonts w:ascii="Arial" w:cs="Arial" w:eastAsia="Arial" w:hAnsi="Arial"/>
                <w:sz w:val="14"/>
                <w:szCs w:val="14"/>
                <w:color w:val="auto"/>
              </w:rPr>
              <w:t>N.A.</w:t>
            </w:r>
          </w:p>
        </w:tc>
        <w:tc>
          <w:tcPr>
            <w:tcW w:w="1160" w:type="dxa"/>
            <w:vAlign w:val="bottom"/>
            <w:tcBorders>
              <w:bottom w:val="single" w:sz="8" w:color="ACACAC"/>
            </w:tcBorders>
            <w:vMerge w:val="continue"/>
          </w:tcPr>
          <w:p>
            <w:pPr>
              <w:spacing w:after="0"/>
              <w:rPr>
                <w:sz w:val="16"/>
                <w:szCs w:val="16"/>
                <w:color w:val="auto"/>
              </w:rPr>
            </w:pPr>
          </w:p>
        </w:tc>
        <w:tc>
          <w:tcPr>
            <w:tcW w:w="1720" w:type="dxa"/>
            <w:vAlign w:val="bottom"/>
            <w:tcBorders>
              <w:bottom w:val="single" w:sz="8" w:color="ACACAC"/>
            </w:tcBorders>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128" w:lineRule="exact"/>
        <w:rPr>
          <w:sz w:val="20"/>
          <w:szCs w:val="20"/>
          <w:color w:val="auto"/>
        </w:rPr>
      </w:pPr>
    </w:p>
    <w:p>
      <w:pPr>
        <w:ind w:left="340" w:right="140" w:hanging="332"/>
        <w:spacing w:after="0" w:line="221" w:lineRule="auto"/>
        <w:tabs>
          <w:tab w:leader="none" w:pos="290" w:val="left"/>
        </w:tabs>
        <w:numPr>
          <w:ilvl w:val="0"/>
          <w:numId w:val="35"/>
        </w:numPr>
        <w:rPr>
          <w:rFonts w:ascii="Arial" w:cs="Arial" w:eastAsia="Arial" w:hAnsi="Arial"/>
          <w:sz w:val="19"/>
          <w:szCs w:val="19"/>
          <w:i w:val="1"/>
          <w:iCs w:val="1"/>
          <w:color w:val="auto"/>
          <w:vertAlign w:val="superscript"/>
        </w:rPr>
      </w:pPr>
      <w:r>
        <w:rPr>
          <w:rFonts w:ascii="Arial" w:cs="Arial" w:eastAsia="Arial" w:hAnsi="Arial"/>
          <w:sz w:val="14"/>
          <w:szCs w:val="14"/>
          <w:i w:val="1"/>
          <w:iCs w:val="1"/>
          <w:color w:val="auto"/>
        </w:rPr>
        <w:t>Expected net proceeds assumes full physical settlement, is net of sales commission but does not deduct other equity issuance costs, and is subject to certain adjustments pursuant to the applicable forward sale agreement.</w:t>
      </w:r>
    </w:p>
    <w:p>
      <w:pPr>
        <w:ind w:left="280" w:hanging="272"/>
        <w:spacing w:after="0" w:line="237" w:lineRule="auto"/>
        <w:tabs>
          <w:tab w:leader="none" w:pos="280" w:val="left"/>
        </w:tabs>
        <w:numPr>
          <w:ilvl w:val="0"/>
          <w:numId w:val="35"/>
        </w:numPr>
        <w:rPr>
          <w:rFonts w:ascii="Arial" w:cs="Arial" w:eastAsia="Arial" w:hAnsi="Arial"/>
          <w:sz w:val="19"/>
          <w:szCs w:val="19"/>
          <w:i w:val="1"/>
          <w:iCs w:val="1"/>
          <w:color w:val="auto"/>
          <w:vertAlign w:val="superscript"/>
        </w:rPr>
      </w:pPr>
      <w:r>
        <w:rPr>
          <w:rFonts w:ascii="Arial" w:cs="Arial" w:eastAsia="Arial" w:hAnsi="Arial"/>
          <w:sz w:val="14"/>
          <w:szCs w:val="14"/>
          <w:i w:val="1"/>
          <w:iCs w:val="1"/>
          <w:color w:val="auto"/>
        </w:rPr>
        <w:t>On April 7, 2026, the forward sale agreement was amended to extend the final settlement date to December 31, 2027.</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provide additional information about these forward sale agreements in Note 13 of the Notes to Consolidated Financial Statements in the Annual Report.</w:t>
      </w:r>
    </w:p>
    <w:p>
      <w:pPr>
        <w:spacing w:after="0" w:line="3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 REPURCHASES</w:t>
      </w:r>
    </w:p>
    <w:p>
      <w:pPr>
        <w:spacing w:after="0" w:line="118" w:lineRule="exact"/>
        <w:rPr>
          <w:sz w:val="20"/>
          <w:szCs w:val="20"/>
          <w:color w:val="auto"/>
        </w:rPr>
      </w:pPr>
    </w:p>
    <w:p>
      <w:pPr>
        <w:ind w:right="20"/>
        <w:spacing w:after="0" w:line="271" w:lineRule="auto"/>
        <w:rPr>
          <w:sz w:val="20"/>
          <w:szCs w:val="20"/>
          <w:color w:val="auto"/>
        </w:rPr>
      </w:pPr>
      <w:r>
        <w:rPr>
          <w:rFonts w:ascii="Times New Roman" w:cs="Times New Roman" w:eastAsia="Times New Roman" w:hAnsi="Times New Roman"/>
          <w:sz w:val="18"/>
          <w:szCs w:val="18"/>
          <w:color w:val="auto"/>
        </w:rPr>
        <w:t>In the three months ended March 31, 2026 and 2025, we withheld 231,910 shares for $20 million and 671,961 shares for $57 million, respectively, of our common stock that would otherwise be issued to long-term incentive plan participants who do not elect otherwise upon the vesting of RSUs and exercise of stock options in an amount sufficient to satisfy minimum statutory tax withholding requirements. Such share withholding is considered a share repurchase for accounting purposes.</w:t>
      </w:r>
    </w:p>
    <w:p>
      <w:pPr>
        <w:spacing w:after="0" w:line="3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NONCONTROLLING INTERESTS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Ownership interests in a consolidated entity that are held by unconsolidated owners are accounted for and reported as NCI.</w:t>
      </w:r>
    </w:p>
    <w:p>
      <w:pPr>
        <w:spacing w:after="0" w:line="131"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In the three months ended March 31, 2026 and 2025, Sempra Infrastructure distributed $65 million and $38 million, respectively, to its NCI owners, and NCI owners contributed $41 million and $34 million, respectively, to Sempra Infrastructure.</w:t>
      </w:r>
    </w:p>
    <w:p>
      <w:pPr>
        <w:spacing w:after="0" w:line="67" w:lineRule="exact"/>
        <w:rPr>
          <w:sz w:val="20"/>
          <w:szCs w:val="20"/>
          <w:color w:val="auto"/>
        </w:rPr>
      </w:pPr>
    </w:p>
    <w:p>
      <w:pPr>
        <w:ind w:right="680"/>
        <w:spacing w:after="0" w:line="297" w:lineRule="auto"/>
        <w:rPr>
          <w:sz w:val="20"/>
          <w:szCs w:val="20"/>
          <w:color w:val="auto"/>
        </w:rPr>
      </w:pPr>
      <w:r>
        <w:rPr>
          <w:rFonts w:ascii="Times New Roman" w:cs="Times New Roman" w:eastAsia="Times New Roman" w:hAnsi="Times New Roman"/>
          <w:sz w:val="18"/>
          <w:szCs w:val="18"/>
          <w:color w:val="auto"/>
        </w:rPr>
        <w:t>The following table summarizes net income attributable to Sempra and transfers (to) from CRNCI and NCI, which shows the effects of changes in Sempra’s ownership interest in its subsidiaries on Sempra’s shareholders’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55245</wp:posOffset>
            </wp:positionV>
            <wp:extent cx="7132320" cy="3003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32320" cy="300355"/>
                    </a:xfrm>
                    <a:prstGeom prst="rect">
                      <a:avLst/>
                    </a:prstGeom>
                    <a:noFill/>
                  </pic:spPr>
                </pic:pic>
              </a:graphicData>
            </a:graphic>
          </wp:anchor>
        </w:drawing>
      </w:r>
    </w:p>
    <w:p>
      <w:pPr>
        <w:spacing w:after="0" w:line="79"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FFFFFF"/>
        </w:rPr>
        <w:t>NET INCOME ATTRIBUTABLE TO SEMPRA AND TRANSFERS (TO) FROM CRNCI AND NCI</w:t>
      </w:r>
    </w:p>
    <w:p>
      <w:pPr>
        <w:spacing w:after="0" w:line="66" w:lineRule="exact"/>
        <w:rPr>
          <w:sz w:val="20"/>
          <w:szCs w:val="20"/>
          <w:color w:val="auto"/>
        </w:rPr>
      </w:pPr>
    </w:p>
    <w:p>
      <w:pPr>
        <w:ind w:left="20"/>
        <w:spacing w:after="0"/>
        <w:rPr>
          <w:sz w:val="20"/>
          <w:szCs w:val="20"/>
          <w:color w:val="auto"/>
        </w:rPr>
      </w:pPr>
      <w:r>
        <w:rPr>
          <w:rFonts w:ascii="Arial" w:cs="Arial" w:eastAsia="Arial" w:hAnsi="Arial"/>
          <w:sz w:val="14"/>
          <w:szCs w:val="14"/>
          <w:i w:val="1"/>
          <w:iCs w:val="1"/>
          <w:color w:val="FFFFFF"/>
        </w:rPr>
        <w:t>(Dollars in millions)</w:t>
      </w:r>
    </w:p>
    <w:p>
      <w:pPr>
        <w:spacing w:after="0" w:line="67" w:lineRule="exact"/>
        <w:rPr>
          <w:sz w:val="20"/>
          <w:szCs w:val="20"/>
          <w:color w:val="auto"/>
        </w:rPr>
      </w:pPr>
    </w:p>
    <w:p>
      <w:pPr>
        <w:ind w:left="9700"/>
        <w:spacing w:after="0"/>
        <w:rPr>
          <w:sz w:val="20"/>
          <w:szCs w:val="20"/>
          <w:color w:val="auto"/>
        </w:rPr>
      </w:pPr>
      <w:r>
        <w:rPr>
          <w:rFonts w:ascii="Arial" w:cs="Arial" w:eastAsia="Arial" w:hAnsi="Arial"/>
          <w:sz w:val="14"/>
          <w:szCs w:val="14"/>
          <w:color w:val="auto"/>
        </w:rPr>
        <w:t>Three months ended</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95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ind w:right="301"/>
              <w:spacing w:after="0"/>
              <w:rPr>
                <w:sz w:val="20"/>
                <w:szCs w:val="20"/>
                <w:color w:val="auto"/>
              </w:rPr>
            </w:pPr>
            <w:r>
              <w:rPr>
                <w:rFonts w:ascii="Arial" w:cs="Arial" w:eastAsia="Arial" w:hAnsi="Arial"/>
                <w:sz w:val="14"/>
                <w:szCs w:val="14"/>
                <w:color w:val="auto"/>
              </w:rPr>
              <w:t>March 31, 2026</w:t>
            </w:r>
          </w:p>
        </w:tc>
      </w:tr>
      <w:tr>
        <w:trPr>
          <w:trHeight w:val="214"/>
        </w:trPr>
        <w:tc>
          <w:tcPr>
            <w:tcW w:w="9500" w:type="dxa"/>
            <w:vAlign w:val="bottom"/>
            <w:shd w:val="clear" w:color="auto" w:fill="D4F1F5"/>
          </w:tcPr>
          <w:p>
            <w:pPr>
              <w:ind w:left="20"/>
              <w:spacing w:after="0"/>
              <w:rPr>
                <w:sz w:val="20"/>
                <w:szCs w:val="20"/>
                <w:color w:val="auto"/>
              </w:rPr>
            </w:pPr>
            <w:r>
              <w:rPr>
                <w:rFonts w:ascii="Arial" w:cs="Arial" w:eastAsia="Arial" w:hAnsi="Arial"/>
                <w:sz w:val="16"/>
                <w:szCs w:val="16"/>
                <w:b w:val="1"/>
                <w:bCs w:val="1"/>
                <w:color w:val="auto"/>
              </w:rPr>
              <w:t>Sempra:</w:t>
            </w:r>
          </w:p>
        </w:tc>
        <w:tc>
          <w:tcPr>
            <w:tcW w:w="240" w:type="dxa"/>
            <w:vAlign w:val="bottom"/>
            <w:shd w:val="clear" w:color="auto" w:fill="D4F1F5"/>
          </w:tcPr>
          <w:p>
            <w:pPr>
              <w:spacing w:after="0"/>
              <w:rPr>
                <w:sz w:val="18"/>
                <w:szCs w:val="18"/>
                <w:color w:val="auto"/>
              </w:rPr>
            </w:pPr>
          </w:p>
        </w:tc>
        <w:tc>
          <w:tcPr>
            <w:tcW w:w="1500" w:type="dxa"/>
            <w:vAlign w:val="bottom"/>
            <w:shd w:val="clear" w:color="auto" w:fill="D4F1F5"/>
          </w:tcPr>
          <w:p>
            <w:pPr>
              <w:spacing w:after="0"/>
              <w:rPr>
                <w:sz w:val="18"/>
                <w:szCs w:val="18"/>
                <w:color w:val="auto"/>
              </w:rPr>
            </w:pPr>
          </w:p>
        </w:tc>
      </w:tr>
      <w:tr>
        <w:trPr>
          <w:trHeight w:val="215"/>
        </w:trPr>
        <w:tc>
          <w:tcPr>
            <w:tcW w:w="9500" w:type="dxa"/>
            <w:vAlign w:val="bottom"/>
            <w:tcBorders>
              <w:bottom w:val="single" w:sz="8" w:color="D4F1F5"/>
            </w:tcBorders>
          </w:tcPr>
          <w:p>
            <w:pPr>
              <w:ind w:left="20"/>
              <w:spacing w:after="0"/>
              <w:rPr>
                <w:sz w:val="20"/>
                <w:szCs w:val="20"/>
                <w:color w:val="auto"/>
              </w:rPr>
            </w:pPr>
            <w:r>
              <w:rPr>
                <w:rFonts w:ascii="Arial" w:cs="Arial" w:eastAsia="Arial" w:hAnsi="Arial"/>
                <w:sz w:val="16"/>
                <w:szCs w:val="16"/>
                <w:color w:val="auto"/>
              </w:rPr>
              <w:t>Net income attributable to Sempra</w:t>
            </w: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50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1,037</w:t>
            </w:r>
          </w:p>
        </w:tc>
      </w:tr>
      <w:tr>
        <w:trPr>
          <w:trHeight w:val="197"/>
        </w:trPr>
        <w:tc>
          <w:tcPr>
            <w:tcW w:w="9500" w:type="dxa"/>
            <w:vAlign w:val="bottom"/>
            <w:shd w:val="clear" w:color="auto" w:fill="D4F1F5"/>
          </w:tcPr>
          <w:p>
            <w:pPr>
              <w:ind w:left="20"/>
              <w:spacing w:after="0"/>
              <w:rPr>
                <w:sz w:val="20"/>
                <w:szCs w:val="20"/>
                <w:color w:val="auto"/>
              </w:rPr>
            </w:pPr>
            <w:r>
              <w:rPr>
                <w:rFonts w:ascii="Arial" w:cs="Arial" w:eastAsia="Arial" w:hAnsi="Arial"/>
                <w:sz w:val="16"/>
                <w:szCs w:val="16"/>
                <w:color w:val="auto"/>
              </w:rPr>
              <w:t>Transfers (to) from CRNCI and NCI:</w:t>
            </w:r>
          </w:p>
        </w:tc>
        <w:tc>
          <w:tcPr>
            <w:tcW w:w="240" w:type="dxa"/>
            <w:vAlign w:val="bottom"/>
            <w:shd w:val="clear" w:color="auto" w:fill="D4F1F5"/>
          </w:tcPr>
          <w:p>
            <w:pPr>
              <w:spacing w:after="0"/>
              <w:rPr>
                <w:sz w:val="17"/>
                <w:szCs w:val="17"/>
                <w:color w:val="auto"/>
              </w:rPr>
            </w:pPr>
          </w:p>
        </w:tc>
        <w:tc>
          <w:tcPr>
            <w:tcW w:w="1500" w:type="dxa"/>
            <w:vAlign w:val="bottom"/>
            <w:shd w:val="clear" w:color="auto" w:fill="D4F1F5"/>
          </w:tcPr>
          <w:p>
            <w:pPr>
              <w:spacing w:after="0"/>
              <w:rPr>
                <w:sz w:val="17"/>
                <w:szCs w:val="17"/>
                <w:color w:val="auto"/>
              </w:rPr>
            </w:pPr>
          </w:p>
        </w:tc>
      </w:tr>
      <w:tr>
        <w:trPr>
          <w:trHeight w:val="216"/>
        </w:trPr>
        <w:tc>
          <w:tcPr>
            <w:tcW w:w="9500" w:type="dxa"/>
            <w:vAlign w:val="bottom"/>
            <w:tcBorders>
              <w:bottom w:val="single" w:sz="8" w:color="D4F1F5"/>
            </w:tcBorders>
          </w:tcPr>
          <w:p>
            <w:pPr>
              <w:ind w:left="140"/>
              <w:spacing w:after="0" w:line="216" w:lineRule="exact"/>
              <w:rPr>
                <w:sz w:val="20"/>
                <w:szCs w:val="20"/>
                <w:color w:val="auto"/>
              </w:rPr>
            </w:pPr>
            <w:r>
              <w:rPr>
                <w:rFonts w:ascii="Arial" w:cs="Arial" w:eastAsia="Arial" w:hAnsi="Arial"/>
                <w:sz w:val="16"/>
                <w:szCs w:val="16"/>
                <w:color w:val="auto"/>
              </w:rPr>
              <w:t>Increase in shareholders’ equity from allocation of interests</w:t>
            </w:r>
            <w:r>
              <w:rPr>
                <w:rFonts w:ascii="Arial" w:cs="Arial" w:eastAsia="Arial" w:hAnsi="Arial"/>
                <w:sz w:val="21"/>
                <w:szCs w:val="21"/>
                <w:color w:val="auto"/>
                <w:vertAlign w:val="superscript"/>
              </w:rPr>
              <w:t>(1)</w:t>
            </w:r>
          </w:p>
        </w:tc>
        <w:tc>
          <w:tcPr>
            <w:tcW w:w="24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6</w:t>
            </w:r>
          </w:p>
        </w:tc>
      </w:tr>
      <w:tr>
        <w:trPr>
          <w:trHeight w:val="209"/>
        </w:trPr>
        <w:tc>
          <w:tcPr>
            <w:tcW w:w="9500" w:type="dxa"/>
            <w:vAlign w:val="bottom"/>
            <w:shd w:val="clear" w:color="auto" w:fill="D4F1F5"/>
          </w:tcPr>
          <w:p>
            <w:pPr>
              <w:ind w:left="20"/>
              <w:spacing w:after="0"/>
              <w:rPr>
                <w:sz w:val="20"/>
                <w:szCs w:val="20"/>
                <w:color w:val="auto"/>
              </w:rPr>
            </w:pPr>
            <w:r>
              <w:rPr>
                <w:rFonts w:ascii="Arial" w:cs="Arial" w:eastAsia="Arial" w:hAnsi="Arial"/>
                <w:sz w:val="16"/>
                <w:szCs w:val="16"/>
                <w:color w:val="auto"/>
              </w:rPr>
              <w:t>Net transfers (to) from CRNCI and NCI</w:t>
            </w:r>
          </w:p>
        </w:tc>
        <w:tc>
          <w:tcPr>
            <w:tcW w:w="240" w:type="dxa"/>
            <w:vAlign w:val="bottom"/>
            <w:tcBorders>
              <w:bottom w:val="single" w:sz="8" w:color="auto"/>
            </w:tcBorders>
            <w:shd w:val="clear" w:color="auto" w:fill="D4F1F5"/>
          </w:tcPr>
          <w:p>
            <w:pPr>
              <w:spacing w:after="0"/>
              <w:rPr>
                <w:sz w:val="18"/>
                <w:szCs w:val="18"/>
                <w:color w:val="auto"/>
              </w:rPr>
            </w:pPr>
          </w:p>
        </w:tc>
        <w:tc>
          <w:tcPr>
            <w:tcW w:w="1500" w:type="dxa"/>
            <w:vAlign w:val="bottom"/>
            <w:tcBorders>
              <w:bottom w:val="single" w:sz="8" w:color="auto"/>
            </w:tcBorders>
            <w:shd w:val="clear" w:color="auto" w:fill="D4F1F5"/>
          </w:tcPr>
          <w:p>
            <w:pPr>
              <w:jc w:val="right"/>
              <w:ind w:right="1"/>
              <w:spacing w:after="0"/>
              <w:rPr>
                <w:sz w:val="20"/>
                <w:szCs w:val="20"/>
                <w:color w:val="auto"/>
              </w:rPr>
            </w:pPr>
            <w:r>
              <w:rPr>
                <w:rFonts w:ascii="Arial" w:cs="Arial" w:eastAsia="Arial" w:hAnsi="Arial"/>
                <w:sz w:val="16"/>
                <w:szCs w:val="16"/>
                <w:color w:val="auto"/>
              </w:rPr>
              <w:t>6</w:t>
            </w:r>
          </w:p>
        </w:tc>
      </w:tr>
      <w:tr>
        <w:trPr>
          <w:trHeight w:val="216"/>
        </w:trPr>
        <w:tc>
          <w:tcPr>
            <w:tcW w:w="95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Change from net income attributable to Sempra and transfers (to) from CRNCI and NCI</w:t>
            </w: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50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1,043</w:t>
            </w:r>
          </w:p>
        </w:tc>
      </w:tr>
    </w:tbl>
    <w:p>
      <w:pPr>
        <w:spacing w:after="0" w:line="61" w:lineRule="exact"/>
        <w:rPr>
          <w:sz w:val="20"/>
          <w:szCs w:val="20"/>
          <w:color w:val="auto"/>
        </w:rPr>
      </w:pPr>
    </w:p>
    <w:p>
      <w:pPr>
        <w:ind w:left="260" w:hanging="252"/>
        <w:spacing w:after="0"/>
        <w:tabs>
          <w:tab w:leader="none" w:pos="260" w:val="left"/>
        </w:tabs>
        <w:numPr>
          <w:ilvl w:val="0"/>
          <w:numId w:val="36"/>
        </w:numPr>
        <w:rPr>
          <w:rFonts w:ascii="Arial" w:cs="Arial" w:eastAsia="Arial" w:hAnsi="Arial"/>
          <w:sz w:val="21"/>
          <w:szCs w:val="21"/>
          <w:i w:val="1"/>
          <w:iCs w:val="1"/>
          <w:color w:val="auto"/>
          <w:vertAlign w:val="superscript"/>
        </w:rPr>
      </w:pPr>
      <w:r>
        <w:rPr>
          <w:rFonts w:ascii="Arial" w:cs="Arial" w:eastAsia="Arial" w:hAnsi="Arial"/>
          <w:sz w:val="14"/>
          <w:szCs w:val="14"/>
          <w:i w:val="1"/>
          <w:iCs w:val="1"/>
          <w:color w:val="auto"/>
        </w:rPr>
        <w:t>We describe the allocation of interests in Note 10.</w:t>
      </w: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SI Partners Subsidiaries</w:t>
      </w:r>
    </w:p>
    <w:p>
      <w:pPr>
        <w:spacing w:after="0" w:line="49" w:lineRule="exact"/>
        <w:rPr>
          <w:sz w:val="20"/>
          <w:szCs w:val="20"/>
          <w:color w:val="auto"/>
        </w:rPr>
      </w:pPr>
    </w:p>
    <w:p>
      <w:pPr>
        <w:ind w:right="20"/>
        <w:spacing w:after="0" w:line="271" w:lineRule="auto"/>
        <w:rPr>
          <w:sz w:val="20"/>
          <w:szCs w:val="20"/>
          <w:color w:val="auto"/>
        </w:rPr>
      </w:pPr>
      <w:r>
        <w:rPr>
          <w:rFonts w:ascii="Times New Roman" w:cs="Times New Roman" w:eastAsia="Times New Roman" w:hAnsi="Times New Roman"/>
          <w:sz w:val="18"/>
          <w:szCs w:val="18"/>
          <w:color w:val="auto"/>
        </w:rPr>
        <w:t>Both SI Partners and ConocoPhillips have provided guarantees relating to their respective affiliate’s commitment to make its pro rata equity share of capital contributions to fund 110% of the development budget of the PA LNG Phase 1 project, in an aggregate amount of up to $9.0 billion. SI Partners’ guarantee covers 70% of this amount plus enforcement costs of its guarantee. As of March 31, 2026, an aggregate amount of $2.7 billion has been paid by SI Partners’ subsidiary in satisfaction of its commitment to fund its portion of the development budget of the PA LNG Phase 1 project.</w:t>
      </w:r>
    </w:p>
    <w:p>
      <w:pPr>
        <w:spacing w:after="0" w:line="3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EARNINGS PER COMMON SHARE</w:t>
      </w:r>
    </w:p>
    <w:p>
      <w:pPr>
        <w:spacing w:after="0" w:line="118" w:lineRule="exact"/>
        <w:rPr>
          <w:sz w:val="20"/>
          <w:szCs w:val="20"/>
          <w:color w:val="auto"/>
        </w:rPr>
      </w:pPr>
    </w:p>
    <w:p>
      <w:pPr>
        <w:jc w:val="both"/>
        <w:ind w:right="60"/>
        <w:spacing w:after="0" w:line="274" w:lineRule="auto"/>
        <w:rPr>
          <w:sz w:val="20"/>
          <w:szCs w:val="20"/>
          <w:color w:val="auto"/>
        </w:rPr>
      </w:pPr>
      <w:r>
        <w:rPr>
          <w:rFonts w:ascii="Times New Roman" w:cs="Times New Roman" w:eastAsia="Times New Roman" w:hAnsi="Times New Roman"/>
          <w:sz w:val="18"/>
          <w:szCs w:val="18"/>
          <w:color w:val="auto"/>
        </w:rPr>
        <w:t>Basic EPS is calculated by dividing earnings attributable to common shares by the weighted-average number of common shares outstanding for the period. Diluted EPS includes the potential dilution of common stock equivalent shares that could occur if securities or other contracts to issue common stock were exercised or converted into common stock.</w:t>
      </w:r>
    </w:p>
    <w:p>
      <w:pPr>
        <w:spacing w:after="0" w:line="119"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FFFFFF"/>
        </w:rPr>
        <w:t>EARNINGS PER COMMON SHARE COMPUTATIONS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-115570</wp:posOffset>
            </wp:positionV>
            <wp:extent cx="7132320" cy="26543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32320" cy="265430"/>
                    </a:xfrm>
                    <a:prstGeom prst="rect">
                      <a:avLst/>
                    </a:prstGeom>
                    <a:noFill/>
                  </pic:spPr>
                </pic:pic>
              </a:graphicData>
            </a:graphic>
          </wp:anchor>
        </w:drawing>
      </w:r>
    </w:p>
    <w:p>
      <w:pPr>
        <w:spacing w:after="0" w:line="19" w:lineRule="exact"/>
        <w:rPr>
          <w:sz w:val="20"/>
          <w:szCs w:val="20"/>
          <w:color w:val="auto"/>
        </w:rPr>
      </w:pPr>
    </w:p>
    <w:p>
      <w:pPr>
        <w:ind w:left="20"/>
        <w:spacing w:after="0"/>
        <w:rPr>
          <w:sz w:val="20"/>
          <w:szCs w:val="20"/>
          <w:color w:val="auto"/>
        </w:rPr>
      </w:pPr>
      <w:r>
        <w:rPr>
          <w:rFonts w:ascii="Arial" w:cs="Arial" w:eastAsia="Arial" w:hAnsi="Arial"/>
          <w:sz w:val="14"/>
          <w:szCs w:val="14"/>
          <w:i w:val="1"/>
          <w:iCs w:val="1"/>
          <w:color w:val="FFFFFF"/>
        </w:rPr>
        <w:t>(Dollars in millions, except per share amounts; shares in thousands)</w:t>
      </w:r>
    </w:p>
    <w:p>
      <w:pPr>
        <w:spacing w:after="0" w:line="53"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83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640" w:type="dxa"/>
            <w:vAlign w:val="bottom"/>
            <w:tcBorders>
              <w:bottom w:val="single" w:sz="8" w:color="auto"/>
            </w:tcBorders>
            <w:gridSpan w:val="3"/>
          </w:tcPr>
          <w:p>
            <w:pPr>
              <w:jc w:val="right"/>
              <w:ind w:right="380"/>
              <w:spacing w:after="0"/>
              <w:rPr>
                <w:sz w:val="20"/>
                <w:szCs w:val="20"/>
                <w:color w:val="auto"/>
              </w:rPr>
            </w:pPr>
            <w:r>
              <w:rPr>
                <w:rFonts w:ascii="Arial" w:cs="Arial" w:eastAsia="Arial" w:hAnsi="Arial"/>
                <w:sz w:val="14"/>
                <w:szCs w:val="14"/>
                <w:color w:val="auto"/>
              </w:rPr>
              <w:t>Three months ended March 31,</w:t>
            </w:r>
          </w:p>
        </w:tc>
      </w:tr>
      <w:tr>
        <w:trPr>
          <w:trHeight w:val="210"/>
        </w:trPr>
        <w:tc>
          <w:tcPr>
            <w:tcW w:w="832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81"/>
              <w:spacing w:after="0"/>
              <w:rPr>
                <w:sz w:val="20"/>
                <w:szCs w:val="20"/>
                <w:color w:val="auto"/>
              </w:rPr>
            </w:pPr>
            <w:r>
              <w:rPr>
                <w:rFonts w:ascii="Arial" w:cs="Arial" w:eastAsia="Arial" w:hAnsi="Arial"/>
                <w:sz w:val="14"/>
                <w:szCs w:val="14"/>
                <w:color w:val="auto"/>
              </w:rPr>
              <w:t>2026</w:t>
            </w:r>
          </w:p>
        </w:tc>
        <w:tc>
          <w:tcPr>
            <w:tcW w:w="4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460"/>
              <w:spacing w:after="0"/>
              <w:rPr>
                <w:sz w:val="20"/>
                <w:szCs w:val="20"/>
                <w:color w:val="auto"/>
              </w:rPr>
            </w:pPr>
            <w:r>
              <w:rPr>
                <w:rFonts w:ascii="Arial" w:cs="Arial" w:eastAsia="Arial" w:hAnsi="Arial"/>
                <w:sz w:val="14"/>
                <w:szCs w:val="14"/>
                <w:color w:val="auto"/>
              </w:rPr>
              <w:t>2025</w:t>
            </w:r>
          </w:p>
        </w:tc>
      </w:tr>
      <w:tr>
        <w:trPr>
          <w:trHeight w:val="213"/>
        </w:trPr>
        <w:tc>
          <w:tcPr>
            <w:tcW w:w="8320" w:type="dxa"/>
            <w:vAlign w:val="bottom"/>
            <w:shd w:val="clear" w:color="auto" w:fill="D4F1F5"/>
          </w:tcPr>
          <w:p>
            <w:pPr>
              <w:ind w:left="20"/>
              <w:spacing w:after="0"/>
              <w:rPr>
                <w:sz w:val="20"/>
                <w:szCs w:val="20"/>
                <w:color w:val="auto"/>
              </w:rPr>
            </w:pPr>
            <w:r>
              <w:rPr>
                <w:rFonts w:ascii="Arial" w:cs="Arial" w:eastAsia="Arial" w:hAnsi="Arial"/>
                <w:sz w:val="16"/>
                <w:szCs w:val="16"/>
                <w:b w:val="1"/>
                <w:bCs w:val="1"/>
                <w:color w:val="auto"/>
              </w:rPr>
              <w:t>Sempra:</w:t>
            </w:r>
          </w:p>
        </w:tc>
        <w:tc>
          <w:tcPr>
            <w:tcW w:w="280" w:type="dxa"/>
            <w:vAlign w:val="bottom"/>
            <w:shd w:val="clear" w:color="auto" w:fill="D4F1F5"/>
          </w:tcPr>
          <w:p>
            <w:pPr>
              <w:spacing w:after="0"/>
              <w:rPr>
                <w:sz w:val="18"/>
                <w:szCs w:val="18"/>
                <w:color w:val="auto"/>
              </w:rPr>
            </w:pPr>
          </w:p>
        </w:tc>
        <w:tc>
          <w:tcPr>
            <w:tcW w:w="1140" w:type="dxa"/>
            <w:vAlign w:val="bottom"/>
            <w:shd w:val="clear" w:color="auto" w:fill="D4F1F5"/>
          </w:tcPr>
          <w:p>
            <w:pPr>
              <w:spacing w:after="0"/>
              <w:rPr>
                <w:sz w:val="18"/>
                <w:szCs w:val="18"/>
                <w:color w:val="auto"/>
              </w:rPr>
            </w:pPr>
          </w:p>
        </w:tc>
        <w:tc>
          <w:tcPr>
            <w:tcW w:w="420" w:type="dxa"/>
            <w:vAlign w:val="bottom"/>
            <w:shd w:val="clear" w:color="auto" w:fill="D4F1F5"/>
          </w:tcPr>
          <w:p>
            <w:pPr>
              <w:spacing w:after="0"/>
              <w:rPr>
                <w:sz w:val="18"/>
                <w:szCs w:val="18"/>
                <w:color w:val="auto"/>
              </w:rPr>
            </w:pPr>
          </w:p>
        </w:tc>
        <w:tc>
          <w:tcPr>
            <w:tcW w:w="1080" w:type="dxa"/>
            <w:vAlign w:val="bottom"/>
            <w:shd w:val="clear" w:color="auto" w:fill="D4F1F5"/>
          </w:tcPr>
          <w:p>
            <w:pPr>
              <w:spacing w:after="0"/>
              <w:rPr>
                <w:sz w:val="18"/>
                <w:szCs w:val="18"/>
                <w:color w:val="auto"/>
              </w:rPr>
            </w:pPr>
          </w:p>
        </w:tc>
      </w:tr>
      <w:tr>
        <w:trPr>
          <w:trHeight w:val="215"/>
        </w:trPr>
        <w:tc>
          <w:tcPr>
            <w:tcW w:w="8320" w:type="dxa"/>
            <w:vAlign w:val="bottom"/>
          </w:tcPr>
          <w:p>
            <w:pPr>
              <w:ind w:left="20"/>
              <w:spacing w:after="0"/>
              <w:rPr>
                <w:sz w:val="20"/>
                <w:szCs w:val="20"/>
                <w:color w:val="auto"/>
              </w:rPr>
            </w:pPr>
            <w:r>
              <w:rPr>
                <w:rFonts w:ascii="Arial" w:cs="Arial" w:eastAsia="Arial" w:hAnsi="Arial"/>
                <w:sz w:val="16"/>
                <w:szCs w:val="16"/>
                <w:color w:val="auto"/>
              </w:rPr>
              <w:t>Numerator:</w:t>
            </w: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24"/>
        </w:trPr>
        <w:tc>
          <w:tcPr>
            <w:tcW w:w="8320" w:type="dxa"/>
            <w:vAlign w:val="bottom"/>
            <w:tcBorders>
              <w:bottom w:val="single" w:sz="8" w:color="D4F1F5"/>
            </w:tcBorders>
            <w:shd w:val="clear" w:color="auto" w:fill="D4F1F5"/>
          </w:tcPr>
          <w:p>
            <w:pPr>
              <w:ind w:left="140"/>
              <w:spacing w:after="0"/>
              <w:rPr>
                <w:sz w:val="20"/>
                <w:szCs w:val="20"/>
                <w:color w:val="auto"/>
              </w:rPr>
            </w:pPr>
            <w:r>
              <w:rPr>
                <w:rFonts w:ascii="Arial" w:cs="Arial" w:eastAsia="Arial" w:hAnsi="Arial"/>
                <w:sz w:val="16"/>
                <w:szCs w:val="16"/>
                <w:color w:val="auto"/>
              </w:rPr>
              <w:t>Earnings attributable to common shares</w:t>
            </w:r>
          </w:p>
        </w:tc>
        <w:tc>
          <w:tcPr>
            <w:tcW w:w="280" w:type="dxa"/>
            <w:vAlign w:val="bottom"/>
            <w:tcBorders>
              <w:bottom w:val="single" w:sz="8" w:color="auto"/>
            </w:tcBorders>
            <w:shd w:val="clear" w:color="auto" w:fill="D4F1F5"/>
          </w:tcPr>
          <w:p>
            <w:pPr>
              <w:jc w:val="right"/>
              <w:ind w:right="9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shd w:val="clear" w:color="auto" w:fill="D4F1F5"/>
          </w:tcPr>
          <w:p>
            <w:pPr>
              <w:jc w:val="right"/>
              <w:ind w:right="1"/>
              <w:spacing w:after="0"/>
              <w:rPr>
                <w:sz w:val="20"/>
                <w:szCs w:val="20"/>
                <w:color w:val="auto"/>
              </w:rPr>
            </w:pPr>
            <w:r>
              <w:rPr>
                <w:rFonts w:ascii="Arial" w:cs="Arial" w:eastAsia="Arial" w:hAnsi="Arial"/>
                <w:sz w:val="16"/>
                <w:szCs w:val="16"/>
                <w:color w:val="auto"/>
              </w:rPr>
              <w:t>1,037</w:t>
            </w:r>
          </w:p>
        </w:tc>
        <w:tc>
          <w:tcPr>
            <w:tcW w:w="420" w:type="dxa"/>
            <w:vAlign w:val="bottom"/>
            <w:tcBorders>
              <w:bottom w:val="single" w:sz="8" w:color="auto"/>
            </w:tcBorders>
            <w:shd w:val="clear" w:color="auto" w:fill="D4F1F5"/>
          </w:tcPr>
          <w:p>
            <w:pPr>
              <w:jc w:val="right"/>
              <w:ind w:right="13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shd w:val="clear" w:color="auto" w:fill="D4F1F5"/>
          </w:tcPr>
          <w:p>
            <w:pPr>
              <w:jc w:val="right"/>
              <w:spacing w:after="0"/>
              <w:rPr>
                <w:sz w:val="20"/>
                <w:szCs w:val="20"/>
                <w:color w:val="auto"/>
              </w:rPr>
            </w:pPr>
            <w:r>
              <w:rPr>
                <w:rFonts w:ascii="Arial" w:cs="Arial" w:eastAsia="Arial" w:hAnsi="Arial"/>
                <w:sz w:val="16"/>
                <w:szCs w:val="16"/>
                <w:color w:val="auto"/>
              </w:rPr>
              <w:t>906</w:t>
            </w:r>
          </w:p>
        </w:tc>
      </w:tr>
      <w:tr>
        <w:trPr>
          <w:trHeight w:val="203"/>
        </w:trPr>
        <w:tc>
          <w:tcPr>
            <w:tcW w:w="8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216"/>
        </w:trPr>
        <w:tc>
          <w:tcPr>
            <w:tcW w:w="8320" w:type="dxa"/>
            <w:vAlign w:val="bottom"/>
            <w:shd w:val="clear" w:color="auto" w:fill="D4F1F5"/>
          </w:tcPr>
          <w:p>
            <w:pPr>
              <w:ind w:left="20"/>
              <w:spacing w:after="0"/>
              <w:rPr>
                <w:sz w:val="20"/>
                <w:szCs w:val="20"/>
                <w:color w:val="auto"/>
              </w:rPr>
            </w:pPr>
            <w:r>
              <w:rPr>
                <w:rFonts w:ascii="Arial" w:cs="Arial" w:eastAsia="Arial" w:hAnsi="Arial"/>
                <w:sz w:val="16"/>
                <w:szCs w:val="16"/>
                <w:color w:val="auto"/>
              </w:rPr>
              <w:t>Denominator:</w:t>
            </w:r>
          </w:p>
        </w:tc>
        <w:tc>
          <w:tcPr>
            <w:tcW w:w="280" w:type="dxa"/>
            <w:vAlign w:val="bottom"/>
            <w:shd w:val="clear" w:color="auto" w:fill="D4F1F5"/>
          </w:tcPr>
          <w:p>
            <w:pPr>
              <w:spacing w:after="0"/>
              <w:rPr>
                <w:sz w:val="18"/>
                <w:szCs w:val="18"/>
                <w:color w:val="auto"/>
              </w:rPr>
            </w:pPr>
          </w:p>
        </w:tc>
        <w:tc>
          <w:tcPr>
            <w:tcW w:w="1140" w:type="dxa"/>
            <w:vAlign w:val="bottom"/>
            <w:shd w:val="clear" w:color="auto" w:fill="D4F1F5"/>
          </w:tcPr>
          <w:p>
            <w:pPr>
              <w:spacing w:after="0"/>
              <w:rPr>
                <w:sz w:val="18"/>
                <w:szCs w:val="18"/>
                <w:color w:val="auto"/>
              </w:rPr>
            </w:pPr>
          </w:p>
        </w:tc>
        <w:tc>
          <w:tcPr>
            <w:tcW w:w="420" w:type="dxa"/>
            <w:vAlign w:val="bottom"/>
            <w:shd w:val="clear" w:color="auto" w:fill="D4F1F5"/>
          </w:tcPr>
          <w:p>
            <w:pPr>
              <w:spacing w:after="0"/>
              <w:rPr>
                <w:sz w:val="18"/>
                <w:szCs w:val="18"/>
                <w:color w:val="auto"/>
              </w:rPr>
            </w:pPr>
          </w:p>
        </w:tc>
        <w:tc>
          <w:tcPr>
            <w:tcW w:w="1080" w:type="dxa"/>
            <w:vAlign w:val="bottom"/>
            <w:shd w:val="clear" w:color="auto" w:fill="D4F1F5"/>
          </w:tcPr>
          <w:p>
            <w:pPr>
              <w:spacing w:after="0"/>
              <w:rPr>
                <w:sz w:val="18"/>
                <w:szCs w:val="18"/>
                <w:color w:val="auto"/>
              </w:rPr>
            </w:pPr>
          </w:p>
        </w:tc>
      </w:tr>
      <w:tr>
        <w:trPr>
          <w:trHeight w:val="216"/>
        </w:trPr>
        <w:tc>
          <w:tcPr>
            <w:tcW w:w="8320" w:type="dxa"/>
            <w:vAlign w:val="bottom"/>
          </w:tcPr>
          <w:p>
            <w:pPr>
              <w:ind w:left="140"/>
              <w:spacing w:after="0" w:line="216" w:lineRule="exact"/>
              <w:rPr>
                <w:sz w:val="20"/>
                <w:szCs w:val="20"/>
                <w:color w:val="auto"/>
              </w:rPr>
            </w:pPr>
            <w:r>
              <w:rPr>
                <w:rFonts w:ascii="Arial" w:cs="Arial" w:eastAsia="Arial" w:hAnsi="Arial"/>
                <w:sz w:val="16"/>
                <w:szCs w:val="16"/>
                <w:color w:val="auto"/>
              </w:rPr>
              <w:t>Weighted-average common shares outstanding for basic EPS</w:t>
            </w:r>
            <w:r>
              <w:rPr>
                <w:rFonts w:ascii="Arial" w:cs="Arial" w:eastAsia="Arial" w:hAnsi="Arial"/>
                <w:sz w:val="21"/>
                <w:szCs w:val="21"/>
                <w:color w:val="auto"/>
                <w:vertAlign w:val="superscript"/>
              </w:rPr>
              <w:t>(1)</w:t>
            </w:r>
          </w:p>
        </w:tc>
        <w:tc>
          <w:tcPr>
            <w:tcW w:w="280" w:type="dxa"/>
            <w:vAlign w:val="bottom"/>
          </w:tcPr>
          <w:p>
            <w:pPr>
              <w:spacing w:after="0"/>
              <w:rPr>
                <w:sz w:val="18"/>
                <w:szCs w:val="18"/>
                <w:color w:val="auto"/>
              </w:rPr>
            </w:pPr>
          </w:p>
        </w:tc>
        <w:tc>
          <w:tcPr>
            <w:tcW w:w="1140" w:type="dxa"/>
            <w:vAlign w:val="bottom"/>
          </w:tcPr>
          <w:p>
            <w:pPr>
              <w:jc w:val="right"/>
              <w:ind w:right="1"/>
              <w:spacing w:after="0"/>
              <w:rPr>
                <w:sz w:val="20"/>
                <w:szCs w:val="20"/>
                <w:color w:val="auto"/>
              </w:rPr>
            </w:pPr>
            <w:r>
              <w:rPr>
                <w:rFonts w:ascii="Arial" w:cs="Arial" w:eastAsia="Arial" w:hAnsi="Arial"/>
                <w:sz w:val="16"/>
                <w:szCs w:val="16"/>
                <w:color w:val="auto"/>
              </w:rPr>
              <w:t>653,589</w:t>
            </w:r>
          </w:p>
        </w:tc>
        <w:tc>
          <w:tcPr>
            <w:tcW w:w="4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651,992</w:t>
            </w:r>
          </w:p>
        </w:tc>
      </w:tr>
      <w:tr>
        <w:trPr>
          <w:trHeight w:val="216"/>
        </w:trPr>
        <w:tc>
          <w:tcPr>
            <w:tcW w:w="8320" w:type="dxa"/>
            <w:vAlign w:val="bottom"/>
            <w:shd w:val="clear" w:color="auto" w:fill="D4F1F5"/>
          </w:tcPr>
          <w:p>
            <w:pPr>
              <w:ind w:left="140"/>
              <w:spacing w:after="0"/>
              <w:rPr>
                <w:sz w:val="20"/>
                <w:szCs w:val="20"/>
                <w:color w:val="auto"/>
              </w:rPr>
            </w:pPr>
            <w:r>
              <w:rPr>
                <w:rFonts w:ascii="Arial" w:cs="Arial" w:eastAsia="Arial" w:hAnsi="Arial"/>
                <w:sz w:val="16"/>
                <w:szCs w:val="16"/>
                <w:color w:val="auto"/>
              </w:rPr>
              <w:t>Dilutive effect of common shares sold forward</w:t>
            </w:r>
          </w:p>
        </w:tc>
        <w:tc>
          <w:tcPr>
            <w:tcW w:w="280" w:type="dxa"/>
            <w:vAlign w:val="bottom"/>
            <w:shd w:val="clear" w:color="auto" w:fill="D4F1F5"/>
          </w:tcPr>
          <w:p>
            <w:pPr>
              <w:spacing w:after="0"/>
              <w:rPr>
                <w:sz w:val="18"/>
                <w:szCs w:val="18"/>
                <w:color w:val="auto"/>
              </w:rPr>
            </w:pPr>
          </w:p>
        </w:tc>
        <w:tc>
          <w:tcPr>
            <w:tcW w:w="1140" w:type="dxa"/>
            <w:vAlign w:val="bottom"/>
            <w:shd w:val="clear" w:color="auto" w:fill="D4F1F5"/>
          </w:tcPr>
          <w:p>
            <w:pPr>
              <w:jc w:val="right"/>
              <w:ind w:right="1"/>
              <w:spacing w:after="0"/>
              <w:rPr>
                <w:sz w:val="20"/>
                <w:szCs w:val="20"/>
                <w:color w:val="auto"/>
              </w:rPr>
            </w:pPr>
            <w:r>
              <w:rPr>
                <w:rFonts w:ascii="Arial" w:cs="Arial" w:eastAsia="Arial" w:hAnsi="Arial"/>
                <w:sz w:val="16"/>
                <w:szCs w:val="16"/>
                <w:color w:val="auto"/>
              </w:rPr>
              <w:t>482</w:t>
            </w:r>
          </w:p>
        </w:tc>
        <w:tc>
          <w:tcPr>
            <w:tcW w:w="420" w:type="dxa"/>
            <w:vAlign w:val="bottom"/>
            <w:shd w:val="clear" w:color="auto" w:fill="D4F1F5"/>
          </w:tcPr>
          <w:p>
            <w:pPr>
              <w:spacing w:after="0"/>
              <w:rPr>
                <w:sz w:val="18"/>
                <w:szCs w:val="18"/>
                <w:color w:val="auto"/>
              </w:rPr>
            </w:pPr>
          </w:p>
        </w:tc>
        <w:tc>
          <w:tcPr>
            <w:tcW w:w="1080" w:type="dxa"/>
            <w:vAlign w:val="bottom"/>
            <w:shd w:val="clear" w:color="auto" w:fill="D4F1F5"/>
          </w:tcPr>
          <w:p>
            <w:pPr>
              <w:jc w:val="right"/>
              <w:spacing w:after="0"/>
              <w:rPr>
                <w:sz w:val="20"/>
                <w:szCs w:val="20"/>
                <w:color w:val="auto"/>
              </w:rPr>
            </w:pPr>
            <w:r>
              <w:rPr>
                <w:rFonts w:ascii="Arial" w:cs="Arial" w:eastAsia="Arial" w:hAnsi="Arial"/>
                <w:sz w:val="16"/>
                <w:szCs w:val="16"/>
                <w:color w:val="auto"/>
              </w:rPr>
              <w:t>—</w:t>
            </w:r>
          </w:p>
        </w:tc>
      </w:tr>
      <w:tr>
        <w:trPr>
          <w:trHeight w:val="216"/>
        </w:trPr>
        <w:tc>
          <w:tcPr>
            <w:tcW w:w="8320" w:type="dxa"/>
            <w:vAlign w:val="bottom"/>
            <w:tcBorders>
              <w:bottom w:val="single" w:sz="8" w:color="D4F1F5"/>
            </w:tcBorders>
          </w:tcPr>
          <w:p>
            <w:pPr>
              <w:ind w:left="140"/>
              <w:spacing w:after="0" w:line="216" w:lineRule="exact"/>
              <w:rPr>
                <w:sz w:val="20"/>
                <w:szCs w:val="20"/>
                <w:color w:val="auto"/>
              </w:rPr>
            </w:pPr>
            <w:r>
              <w:rPr>
                <w:rFonts w:ascii="Arial" w:cs="Arial" w:eastAsia="Arial" w:hAnsi="Arial"/>
                <w:sz w:val="16"/>
                <w:szCs w:val="16"/>
                <w:color w:val="auto"/>
              </w:rPr>
              <w:t>Dilutive effect of stock options and RSUs</w:t>
            </w:r>
            <w:r>
              <w:rPr>
                <w:rFonts w:ascii="Arial" w:cs="Arial" w:eastAsia="Arial" w:hAnsi="Arial"/>
                <w:sz w:val="21"/>
                <w:szCs w:val="21"/>
                <w:color w:val="auto"/>
                <w:vertAlign w:val="superscript"/>
              </w:rPr>
              <w:t>(2)</w:t>
            </w:r>
          </w:p>
        </w:tc>
        <w:tc>
          <w:tcPr>
            <w:tcW w:w="2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1,417</w:t>
            </w:r>
          </w:p>
        </w:tc>
        <w:tc>
          <w:tcPr>
            <w:tcW w:w="4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1,026</w:t>
            </w:r>
          </w:p>
        </w:tc>
      </w:tr>
      <w:tr>
        <w:trPr>
          <w:trHeight w:val="217"/>
        </w:trPr>
        <w:tc>
          <w:tcPr>
            <w:tcW w:w="8320" w:type="dxa"/>
            <w:vAlign w:val="bottom"/>
            <w:tcBorders>
              <w:bottom w:val="single" w:sz="8" w:color="D4F1F5"/>
            </w:tcBorders>
            <w:shd w:val="clear" w:color="auto" w:fill="D4F1F5"/>
          </w:tcPr>
          <w:p>
            <w:pPr>
              <w:ind w:left="140"/>
              <w:spacing w:after="0"/>
              <w:rPr>
                <w:sz w:val="20"/>
                <w:szCs w:val="20"/>
                <w:color w:val="auto"/>
              </w:rPr>
            </w:pPr>
            <w:r>
              <w:rPr>
                <w:rFonts w:ascii="Arial" w:cs="Arial" w:eastAsia="Arial" w:hAnsi="Arial"/>
                <w:sz w:val="16"/>
                <w:szCs w:val="16"/>
                <w:color w:val="auto"/>
              </w:rPr>
              <w:t>Weighted-average common shares outstanding for diluted EPS</w:t>
            </w:r>
          </w:p>
        </w:tc>
        <w:tc>
          <w:tcPr>
            <w:tcW w:w="280" w:type="dxa"/>
            <w:vAlign w:val="bottom"/>
            <w:tcBorders>
              <w:bottom w:val="single" w:sz="8" w:color="auto"/>
            </w:tcBorders>
            <w:shd w:val="clear" w:color="auto" w:fill="D4F1F5"/>
          </w:tcPr>
          <w:p>
            <w:pPr>
              <w:spacing w:after="0"/>
              <w:rPr>
                <w:sz w:val="18"/>
                <w:szCs w:val="18"/>
                <w:color w:val="auto"/>
              </w:rPr>
            </w:pPr>
          </w:p>
        </w:tc>
        <w:tc>
          <w:tcPr>
            <w:tcW w:w="1140" w:type="dxa"/>
            <w:vAlign w:val="bottom"/>
            <w:tcBorders>
              <w:bottom w:val="single" w:sz="8" w:color="auto"/>
            </w:tcBorders>
            <w:shd w:val="clear" w:color="auto" w:fill="D4F1F5"/>
          </w:tcPr>
          <w:p>
            <w:pPr>
              <w:jc w:val="right"/>
              <w:ind w:right="1"/>
              <w:spacing w:after="0"/>
              <w:rPr>
                <w:sz w:val="20"/>
                <w:szCs w:val="20"/>
                <w:color w:val="auto"/>
              </w:rPr>
            </w:pPr>
            <w:r>
              <w:rPr>
                <w:rFonts w:ascii="Arial" w:cs="Arial" w:eastAsia="Arial" w:hAnsi="Arial"/>
                <w:sz w:val="16"/>
                <w:szCs w:val="16"/>
                <w:color w:val="auto"/>
              </w:rPr>
              <w:t>655,488</w:t>
            </w:r>
          </w:p>
        </w:tc>
        <w:tc>
          <w:tcPr>
            <w:tcW w:w="420" w:type="dxa"/>
            <w:vAlign w:val="bottom"/>
            <w:tcBorders>
              <w:bottom w:val="single" w:sz="8" w:color="auto"/>
            </w:tcBorders>
            <w:shd w:val="clear" w:color="auto" w:fill="D4F1F5"/>
          </w:tcPr>
          <w:p>
            <w:pPr>
              <w:spacing w:after="0"/>
              <w:rPr>
                <w:sz w:val="18"/>
                <w:szCs w:val="18"/>
                <w:color w:val="auto"/>
              </w:rPr>
            </w:pPr>
          </w:p>
        </w:tc>
        <w:tc>
          <w:tcPr>
            <w:tcW w:w="1080" w:type="dxa"/>
            <w:vAlign w:val="bottom"/>
            <w:tcBorders>
              <w:bottom w:val="single" w:sz="8" w:color="auto"/>
            </w:tcBorders>
            <w:shd w:val="clear" w:color="auto" w:fill="D4F1F5"/>
          </w:tcPr>
          <w:p>
            <w:pPr>
              <w:jc w:val="right"/>
              <w:spacing w:after="0"/>
              <w:rPr>
                <w:sz w:val="20"/>
                <w:szCs w:val="20"/>
                <w:color w:val="auto"/>
              </w:rPr>
            </w:pPr>
            <w:r>
              <w:rPr>
                <w:rFonts w:ascii="Arial" w:cs="Arial" w:eastAsia="Arial" w:hAnsi="Arial"/>
                <w:sz w:val="16"/>
                <w:szCs w:val="16"/>
                <w:color w:val="auto"/>
              </w:rPr>
              <w:t>653,018</w:t>
            </w:r>
          </w:p>
        </w:tc>
      </w:tr>
      <w:tr>
        <w:trPr>
          <w:trHeight w:val="203"/>
        </w:trPr>
        <w:tc>
          <w:tcPr>
            <w:tcW w:w="8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216"/>
        </w:trPr>
        <w:tc>
          <w:tcPr>
            <w:tcW w:w="8320" w:type="dxa"/>
            <w:vAlign w:val="bottom"/>
            <w:shd w:val="clear" w:color="auto" w:fill="D4F1F5"/>
          </w:tcPr>
          <w:p>
            <w:pPr>
              <w:ind w:left="20"/>
              <w:spacing w:after="0"/>
              <w:rPr>
                <w:sz w:val="20"/>
                <w:szCs w:val="20"/>
                <w:color w:val="auto"/>
              </w:rPr>
            </w:pPr>
            <w:r>
              <w:rPr>
                <w:rFonts w:ascii="Arial" w:cs="Arial" w:eastAsia="Arial" w:hAnsi="Arial"/>
                <w:sz w:val="16"/>
                <w:szCs w:val="16"/>
                <w:color w:val="auto"/>
              </w:rPr>
              <w:t>EPS:</w:t>
            </w:r>
          </w:p>
        </w:tc>
        <w:tc>
          <w:tcPr>
            <w:tcW w:w="280" w:type="dxa"/>
            <w:vAlign w:val="bottom"/>
            <w:shd w:val="clear" w:color="auto" w:fill="D4F1F5"/>
          </w:tcPr>
          <w:p>
            <w:pPr>
              <w:spacing w:after="0"/>
              <w:rPr>
                <w:sz w:val="18"/>
                <w:szCs w:val="18"/>
                <w:color w:val="auto"/>
              </w:rPr>
            </w:pPr>
          </w:p>
        </w:tc>
        <w:tc>
          <w:tcPr>
            <w:tcW w:w="1140" w:type="dxa"/>
            <w:vAlign w:val="bottom"/>
            <w:shd w:val="clear" w:color="auto" w:fill="D4F1F5"/>
          </w:tcPr>
          <w:p>
            <w:pPr>
              <w:spacing w:after="0"/>
              <w:rPr>
                <w:sz w:val="18"/>
                <w:szCs w:val="18"/>
                <w:color w:val="auto"/>
              </w:rPr>
            </w:pPr>
          </w:p>
        </w:tc>
        <w:tc>
          <w:tcPr>
            <w:tcW w:w="420" w:type="dxa"/>
            <w:vAlign w:val="bottom"/>
            <w:shd w:val="clear" w:color="auto" w:fill="D4F1F5"/>
          </w:tcPr>
          <w:p>
            <w:pPr>
              <w:spacing w:after="0"/>
              <w:rPr>
                <w:sz w:val="18"/>
                <w:szCs w:val="18"/>
                <w:color w:val="auto"/>
              </w:rPr>
            </w:pPr>
          </w:p>
        </w:tc>
        <w:tc>
          <w:tcPr>
            <w:tcW w:w="1080" w:type="dxa"/>
            <w:vAlign w:val="bottom"/>
            <w:shd w:val="clear" w:color="auto" w:fill="D4F1F5"/>
          </w:tcPr>
          <w:p>
            <w:pPr>
              <w:spacing w:after="0"/>
              <w:rPr>
                <w:sz w:val="18"/>
                <w:szCs w:val="18"/>
                <w:color w:val="auto"/>
              </w:rPr>
            </w:pPr>
          </w:p>
        </w:tc>
      </w:tr>
      <w:tr>
        <w:trPr>
          <w:trHeight w:val="215"/>
        </w:trPr>
        <w:tc>
          <w:tcPr>
            <w:tcW w:w="8320" w:type="dxa"/>
            <w:vAlign w:val="bottom"/>
          </w:tcPr>
          <w:p>
            <w:pPr>
              <w:ind w:left="140"/>
              <w:spacing w:after="0"/>
              <w:rPr>
                <w:sz w:val="20"/>
                <w:szCs w:val="20"/>
                <w:color w:val="auto"/>
              </w:rPr>
            </w:pPr>
            <w:r>
              <w:rPr>
                <w:rFonts w:ascii="Arial" w:cs="Arial" w:eastAsia="Arial" w:hAnsi="Arial"/>
                <w:sz w:val="16"/>
                <w:szCs w:val="16"/>
                <w:color w:val="auto"/>
              </w:rPr>
              <w:t>Basic</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ind w:right="1"/>
              <w:spacing w:after="0"/>
              <w:rPr>
                <w:sz w:val="20"/>
                <w:szCs w:val="20"/>
                <w:color w:val="auto"/>
              </w:rPr>
            </w:pPr>
            <w:r>
              <w:rPr>
                <w:rFonts w:ascii="Arial" w:cs="Arial" w:eastAsia="Arial" w:hAnsi="Arial"/>
                <w:sz w:val="16"/>
                <w:szCs w:val="16"/>
                <w:color w:val="auto"/>
              </w:rPr>
              <w:t>1.59</w:t>
            </w:r>
          </w:p>
        </w:tc>
        <w:tc>
          <w:tcPr>
            <w:tcW w:w="42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1.39</w:t>
            </w:r>
          </w:p>
        </w:tc>
      </w:tr>
      <w:tr>
        <w:trPr>
          <w:trHeight w:val="224"/>
        </w:trPr>
        <w:tc>
          <w:tcPr>
            <w:tcW w:w="8320" w:type="dxa"/>
            <w:vAlign w:val="bottom"/>
            <w:tcBorders>
              <w:bottom w:val="single" w:sz="8" w:color="ACACAC"/>
            </w:tcBorders>
            <w:shd w:val="clear" w:color="auto" w:fill="D4F1F5"/>
          </w:tcPr>
          <w:p>
            <w:pPr>
              <w:ind w:left="140"/>
              <w:spacing w:after="0"/>
              <w:rPr>
                <w:sz w:val="20"/>
                <w:szCs w:val="20"/>
                <w:color w:val="auto"/>
              </w:rPr>
            </w:pPr>
            <w:r>
              <w:rPr>
                <w:rFonts w:ascii="Arial" w:cs="Arial" w:eastAsia="Arial" w:hAnsi="Arial"/>
                <w:sz w:val="16"/>
                <w:szCs w:val="16"/>
                <w:color w:val="auto"/>
              </w:rPr>
              <w:t>Diluted</w:t>
            </w:r>
          </w:p>
        </w:tc>
        <w:tc>
          <w:tcPr>
            <w:tcW w:w="280" w:type="dxa"/>
            <w:vAlign w:val="bottom"/>
            <w:tcBorders>
              <w:bottom w:val="single" w:sz="8" w:color="ACACAC"/>
            </w:tcBorders>
            <w:shd w:val="clear" w:color="auto" w:fill="D4F1F5"/>
          </w:tcPr>
          <w:p>
            <w:pPr>
              <w:jc w:val="right"/>
              <w:ind w:right="9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CACAC"/>
            </w:tcBorders>
            <w:shd w:val="clear" w:color="auto" w:fill="D4F1F5"/>
          </w:tcPr>
          <w:p>
            <w:pPr>
              <w:jc w:val="right"/>
              <w:ind w:right="1"/>
              <w:spacing w:after="0"/>
              <w:rPr>
                <w:sz w:val="20"/>
                <w:szCs w:val="20"/>
                <w:color w:val="auto"/>
              </w:rPr>
            </w:pPr>
            <w:r>
              <w:rPr>
                <w:rFonts w:ascii="Arial" w:cs="Arial" w:eastAsia="Arial" w:hAnsi="Arial"/>
                <w:sz w:val="16"/>
                <w:szCs w:val="16"/>
                <w:color w:val="auto"/>
              </w:rPr>
              <w:t>1.58</w:t>
            </w:r>
          </w:p>
        </w:tc>
        <w:tc>
          <w:tcPr>
            <w:tcW w:w="420" w:type="dxa"/>
            <w:vAlign w:val="bottom"/>
            <w:tcBorders>
              <w:bottom w:val="single" w:sz="8" w:color="ACACAC"/>
            </w:tcBorders>
            <w:shd w:val="clear" w:color="auto" w:fill="D4F1F5"/>
          </w:tcPr>
          <w:p>
            <w:pPr>
              <w:jc w:val="right"/>
              <w:ind w:right="13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CACAC"/>
            </w:tcBorders>
            <w:shd w:val="clear" w:color="auto" w:fill="D4F1F5"/>
          </w:tcPr>
          <w:p>
            <w:pPr>
              <w:jc w:val="right"/>
              <w:spacing w:after="0"/>
              <w:rPr>
                <w:sz w:val="20"/>
                <w:szCs w:val="20"/>
                <w:color w:val="auto"/>
              </w:rPr>
            </w:pPr>
            <w:r>
              <w:rPr>
                <w:rFonts w:ascii="Arial" w:cs="Arial" w:eastAsia="Arial" w:hAnsi="Arial"/>
                <w:sz w:val="16"/>
                <w:szCs w:val="16"/>
                <w:color w:val="auto"/>
              </w:rPr>
              <w:t>1.39</w:t>
            </w:r>
          </w:p>
        </w:tc>
      </w:tr>
    </w:tbl>
    <w:p>
      <w:pPr>
        <w:spacing w:after="0" w:line="114" w:lineRule="exact"/>
        <w:rPr>
          <w:sz w:val="20"/>
          <w:szCs w:val="20"/>
          <w:color w:val="auto"/>
        </w:rPr>
      </w:pPr>
    </w:p>
    <w:p>
      <w:pPr>
        <w:ind w:left="340" w:right="20" w:hanging="332"/>
        <w:spacing w:after="0" w:line="216" w:lineRule="auto"/>
        <w:tabs>
          <w:tab w:leader="none" w:pos="262" w:val="left"/>
        </w:tabs>
        <w:numPr>
          <w:ilvl w:val="0"/>
          <w:numId w:val="37"/>
        </w:numPr>
        <w:rPr>
          <w:rFonts w:ascii="Arial" w:cs="Arial" w:eastAsia="Arial" w:hAnsi="Arial"/>
          <w:sz w:val="21"/>
          <w:szCs w:val="21"/>
          <w:i w:val="1"/>
          <w:iCs w:val="1"/>
          <w:color w:val="auto"/>
          <w:vertAlign w:val="superscript"/>
        </w:rPr>
      </w:pPr>
      <w:r>
        <w:rPr>
          <w:rFonts w:ascii="Arial" w:cs="Arial" w:eastAsia="Arial" w:hAnsi="Arial"/>
          <w:sz w:val="14"/>
          <w:szCs w:val="14"/>
          <w:i w:val="1"/>
          <w:iCs w:val="1"/>
          <w:color w:val="auto"/>
        </w:rPr>
        <w:t>Includes 385 and 516 fully vested RSUs held in our deferred compensation plan in the three months ended March 31, 2026 and 2025, respectively. These fully vested RSUs are included in weighted-average common shares outstanding for basic EPS because there are no conditions under which the corresponding shares will not be issued.</w:t>
      </w:r>
    </w:p>
    <w:p>
      <w:pPr>
        <w:spacing w:after="0" w:line="15" w:lineRule="exact"/>
        <w:rPr>
          <w:rFonts w:ascii="Arial" w:cs="Arial" w:eastAsia="Arial" w:hAnsi="Arial"/>
          <w:sz w:val="21"/>
          <w:szCs w:val="21"/>
          <w:i w:val="1"/>
          <w:iCs w:val="1"/>
          <w:color w:val="auto"/>
          <w:vertAlign w:val="superscript"/>
        </w:rPr>
      </w:pPr>
    </w:p>
    <w:p>
      <w:pPr>
        <w:ind w:left="340" w:right="440" w:hanging="332"/>
        <w:spacing w:after="0" w:line="229" w:lineRule="auto"/>
        <w:tabs>
          <w:tab w:leader="none" w:pos="262" w:val="left"/>
        </w:tabs>
        <w:numPr>
          <w:ilvl w:val="0"/>
          <w:numId w:val="37"/>
        </w:numPr>
        <w:rPr>
          <w:rFonts w:ascii="Arial" w:cs="Arial" w:eastAsia="Arial" w:hAnsi="Arial"/>
          <w:sz w:val="21"/>
          <w:szCs w:val="21"/>
          <w:i w:val="1"/>
          <w:iCs w:val="1"/>
          <w:color w:val="auto"/>
          <w:vertAlign w:val="superscript"/>
        </w:rPr>
      </w:pPr>
      <w:r>
        <w:rPr>
          <w:rFonts w:ascii="Arial" w:cs="Arial" w:eastAsia="Arial" w:hAnsi="Arial"/>
          <w:sz w:val="14"/>
          <w:szCs w:val="14"/>
          <w:i w:val="1"/>
          <w:iCs w:val="1"/>
          <w:color w:val="auto"/>
        </w:rPr>
        <w:t>Due to market fluctuations of both Sempra common stock and the comparative indices used to determine the vesting percentage of our total shareholder return performance-based RSUs, which we discuss in Note 14 of the Notes to Consolidated Financial Statements in the Annual Report, dilutive RSUs may vary widely from period-to-period.</w:t>
      </w:r>
    </w:p>
    <w:p>
      <w:pPr>
        <w:spacing w:after="0" w:line="140" w:lineRule="exact"/>
        <w:rPr>
          <w:sz w:val="20"/>
          <w:szCs w:val="20"/>
          <w:color w:val="auto"/>
        </w:rPr>
      </w:pPr>
    </w:p>
    <w:p>
      <w:pPr>
        <w:ind w:right="440"/>
        <w:spacing w:after="0" w:line="266" w:lineRule="auto"/>
        <w:rPr>
          <w:sz w:val="20"/>
          <w:szCs w:val="20"/>
          <w:color w:val="auto"/>
        </w:rPr>
      </w:pPr>
      <w:r>
        <w:rPr>
          <w:rFonts w:ascii="Times New Roman" w:cs="Times New Roman" w:eastAsia="Times New Roman" w:hAnsi="Times New Roman"/>
          <w:sz w:val="18"/>
          <w:szCs w:val="18"/>
          <w:color w:val="auto"/>
        </w:rPr>
        <w:t>The potentially dilutive impact from stock options and RSUs is calculated under the treasury stock method. Under this method, proceeds based on the exercise price and unearned compensation are assumed to be used to repurchase shares on the open market at the average market price for the period, reducing the number of potential new shares to be issued and sometimes causing an antidilutive effect. The computation of diluted EPS for the three months ended March 31, 2026 and 2025 excludes 561,740 and 522,283 potentially dilutive shares, respectively, because to include them would be antidilutive for the period. However, these shares could potentially dilute basic EPS in the future.</w:t>
      </w:r>
    </w:p>
    <w:p>
      <w:pPr>
        <w:spacing w:after="0" w:line="81"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The potentially dilutive impact from the forward sale of our common stock pursuant to the forward sale agreements that we discuss above is reflected in our diluted EPS calculation using the treasury stock method. We anticipate there will be a dilutive effect on our EPS when the average market price of our common stock shares is above the applicable adjusted forward price, subject to increase or decrease based on the overnight bank funding rate, less a spread, and subject to decrease by amounts related to expected dividends on shares of our common stock during the term of the forward sale agreements. Additionally, if we decide to physically settle or net share settle the forward sale agreements, delivery of our shares to the forward purchasers on any such physical settlement or net share settlement of the forward sale agreements would result in dilution to our EPS.</w:t>
      </w:r>
    </w:p>
    <w:p>
      <w:pPr>
        <w:spacing w:after="0" w:line="82" w:lineRule="exact"/>
        <w:rPr>
          <w:sz w:val="20"/>
          <w:szCs w:val="20"/>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In January 2026, pursuant to Sempra’s share-based compensation plans, the Compensation and Talent Development Committee of Sempra’s board of directors granted 568,052 nonqualified stock options, 435,890 performance-based RSUs and 181,488 service-based RSUs.</w:t>
      </w:r>
    </w:p>
    <w:p>
      <w:pPr>
        <w:spacing w:after="0" w:line="67" w:lineRule="exact"/>
        <w:rPr>
          <w:sz w:val="20"/>
          <w:szCs w:val="20"/>
          <w:color w:val="auto"/>
        </w:rPr>
      </w:pPr>
    </w:p>
    <w:p>
      <w:pPr>
        <w:ind w:right="40"/>
        <w:spacing w:after="0" w:line="297" w:lineRule="auto"/>
        <w:rPr>
          <w:sz w:val="20"/>
          <w:szCs w:val="20"/>
          <w:color w:val="auto"/>
        </w:rPr>
      </w:pPr>
      <w:r>
        <w:rPr>
          <w:rFonts w:ascii="Times New Roman" w:cs="Times New Roman" w:eastAsia="Times New Roman" w:hAnsi="Times New Roman"/>
          <w:sz w:val="18"/>
          <w:szCs w:val="18"/>
          <w:color w:val="auto"/>
        </w:rPr>
        <w:t>We discuss share-based compensation plans and related awards and the terms and conditions of Sempra’s equity securities further in Notes 13 and 14 of the Notes to Consolidated Financial Statements in the Annual Report.</w:t>
      </w: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711835</wp:posOffset>
            </wp:positionV>
            <wp:extent cx="7115175"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20"/>
          <w:szCs w:val="20"/>
          <w:color w:val="auto"/>
        </w:rPr>
        <w:t>NOTE 12. SAN ONOFRE NUCLEAR GENERATING STATION</w:t>
      </w:r>
    </w:p>
    <w:p>
      <w:pPr>
        <w:spacing w:after="0" w:line="97" w:lineRule="exact"/>
        <w:rPr>
          <w:sz w:val="20"/>
          <w:szCs w:val="20"/>
          <w:color w:val="auto"/>
        </w:rPr>
      </w:pPr>
    </w:p>
    <w:p>
      <w:pPr>
        <w:spacing w:after="0" w:line="274" w:lineRule="auto"/>
        <w:rPr>
          <w:sz w:val="20"/>
          <w:szCs w:val="20"/>
          <w:color w:val="auto"/>
        </w:rPr>
      </w:pPr>
      <w:r>
        <w:rPr>
          <w:rFonts w:ascii="Times New Roman" w:cs="Times New Roman" w:eastAsia="Times New Roman" w:hAnsi="Times New Roman"/>
          <w:sz w:val="18"/>
          <w:szCs w:val="18"/>
          <w:color w:val="auto"/>
        </w:rPr>
        <w:t>We provide below updates to ongoing matters related to SONGS, a nuclear generating facility near San Clemente, California that permanently ceased operations in June 2013, and in which SDG&amp;E has a 20% ownership interest. We discuss SONGS further in Note 15 of the Notes to Consolidated Financial Statements in the Annual Report.</w:t>
      </w:r>
    </w:p>
    <w:p>
      <w:pPr>
        <w:spacing w:after="0" w:line="3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NUCLEAR DECOMMISSIONING AND FUNDING</w:t>
      </w:r>
    </w:p>
    <w:p>
      <w:pPr>
        <w:spacing w:after="0" w:line="118"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As a result of Edison’s decision to permanently retire SONGS Units 2 and 3, Edison began the decommissioning phase of the plant. Major decommissioning work began in 2020. We expect the majority of the decommissioning work to be completed around 2030. Decommissioning of Unit 1, removed from service in 1992, is largely complete. The remaining work for Unit 1 will be completed once Units 2 and 3 are dismantled and the spent fuel is removed from the site. The spent fuel is currently being stored on-site, until the DOE identifies an independent spent fuel storage installation and puts in place a program for the fuel’s disposal. SDG&amp;E is responsible for approximately 20% of the total decommissioning cost.</w:t>
      </w:r>
    </w:p>
    <w:p>
      <w:pPr>
        <w:spacing w:after="0" w:line="81" w:lineRule="exact"/>
        <w:rPr>
          <w:sz w:val="20"/>
          <w:szCs w:val="20"/>
          <w:color w:val="auto"/>
        </w:rPr>
      </w:pPr>
    </w:p>
    <w:p>
      <w:pPr>
        <w:spacing w:after="0" w:line="270" w:lineRule="auto"/>
        <w:rPr>
          <w:sz w:val="20"/>
          <w:szCs w:val="20"/>
          <w:color w:val="auto"/>
        </w:rPr>
      </w:pPr>
      <w:r>
        <w:rPr>
          <w:rFonts w:ascii="Times New Roman" w:cs="Times New Roman" w:eastAsia="Times New Roman" w:hAnsi="Times New Roman"/>
          <w:sz w:val="18"/>
          <w:szCs w:val="18"/>
          <w:color w:val="auto"/>
        </w:rPr>
        <w:t>In accordance with state and federal requirements and regulations, SDG&amp;E has assets held in the NDT to fund its share of decommissioning costs for SONGS Units 1, 2 and 3. Amounts that were collected in rates for SONGS’ decommissioning are invested in the NDT, which is comprised of externally managed trust funds. Amounts held by the NDT are invested in accordance with CPUC regulations. SDG&amp;E classifies debt and equity securities held in the NDT as available-for-sale. The NDT assets are presented on the Sempra and SDG&amp;E Condensed Consolidated Balance Sheets at fair value with the offsetting credits recorded in noncurrent Regulatory Liabilities.</w:t>
      </w:r>
    </w:p>
    <w:p>
      <w:pPr>
        <w:spacing w:after="0" w:line="64" w:lineRule="exact"/>
        <w:rPr>
          <w:sz w:val="20"/>
          <w:szCs w:val="20"/>
          <w:color w:val="auto"/>
        </w:rPr>
      </w:pPr>
    </w:p>
    <w:p>
      <w:pPr>
        <w:jc w:val="both"/>
        <w:ind w:right="100"/>
        <w:spacing w:after="0" w:line="274" w:lineRule="auto"/>
        <w:rPr>
          <w:sz w:val="20"/>
          <w:szCs w:val="20"/>
          <w:color w:val="auto"/>
        </w:rPr>
      </w:pPr>
      <w:r>
        <w:rPr>
          <w:rFonts w:ascii="Times New Roman" w:cs="Times New Roman" w:eastAsia="Times New Roman" w:hAnsi="Times New Roman"/>
          <w:sz w:val="18"/>
          <w:szCs w:val="18"/>
          <w:color w:val="auto"/>
        </w:rPr>
        <w:t>Except for the use of funds for the planning of decommissioning activities or NDT administrative costs, CPUC approval is required for SDG&amp;E to access the NDT assets to fund SONGS decommissioning costs for Units 2 and 3. In January 2026, the CPUC granted SDG&amp;E authorization to access NDT funds of up to $45 million for forecasted 2026 costs.</w:t>
      </w:r>
    </w:p>
    <w:p>
      <w:pPr>
        <w:spacing w:after="0" w:line="200" w:lineRule="exact"/>
        <w:rPr>
          <w:sz w:val="20"/>
          <w:szCs w:val="20"/>
          <w:color w:val="auto"/>
        </w:rPr>
      </w:pPr>
    </w:p>
    <w:p>
      <w:pPr>
        <w:spacing w:after="0" w:line="3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150495</wp:posOffset>
            </wp:positionV>
            <wp:extent cx="7157720" cy="425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Nuclear Decommissioning Trusts</w:t>
      </w:r>
    </w:p>
    <w:p>
      <w:pPr>
        <w:spacing w:after="0" w:line="49" w:lineRule="exact"/>
        <w:rPr>
          <w:sz w:val="20"/>
          <w:szCs w:val="20"/>
          <w:color w:val="auto"/>
        </w:rPr>
      </w:pPr>
    </w:p>
    <w:p>
      <w:pPr>
        <w:ind w:right="180"/>
        <w:spacing w:after="0" w:line="297" w:lineRule="auto"/>
        <w:rPr>
          <w:sz w:val="20"/>
          <w:szCs w:val="20"/>
          <w:color w:val="auto"/>
        </w:rPr>
      </w:pPr>
      <w:r>
        <w:rPr>
          <w:rFonts w:ascii="Times New Roman" w:cs="Times New Roman" w:eastAsia="Times New Roman" w:hAnsi="Times New Roman"/>
          <w:sz w:val="18"/>
          <w:szCs w:val="18"/>
          <w:color w:val="auto"/>
        </w:rPr>
        <w:t>The following table shows the fair values and gross unrealized gains and losses for the securities held in the NDT on the Sempra and SDG&amp;E Condensed Consolidated Balance Sheets. We provide additional fair value disclosures for the NDT in Note 9.</w:t>
      </w:r>
    </w:p>
    <w:p>
      <w:pPr>
        <w:spacing w:after="0" w:line="86"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FFFFFF"/>
        </w:rPr>
        <w:t>NUCLEAR DECOMMISSIONING TRUSTS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-115570</wp:posOffset>
            </wp:positionV>
            <wp:extent cx="7132320" cy="26543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32320" cy="265430"/>
                    </a:xfrm>
                    <a:prstGeom prst="rect">
                      <a:avLst/>
                    </a:prstGeom>
                    <a:noFill/>
                  </pic:spPr>
                </pic:pic>
              </a:graphicData>
            </a:graphic>
          </wp:anchor>
        </w:drawing>
      </w:r>
    </w:p>
    <w:p>
      <w:pPr>
        <w:spacing w:after="0" w:line="19" w:lineRule="exact"/>
        <w:rPr>
          <w:sz w:val="20"/>
          <w:szCs w:val="20"/>
          <w:color w:val="auto"/>
        </w:rPr>
      </w:pPr>
    </w:p>
    <w:p>
      <w:pPr>
        <w:ind w:left="20"/>
        <w:spacing w:after="0"/>
        <w:rPr>
          <w:sz w:val="20"/>
          <w:szCs w:val="20"/>
          <w:color w:val="auto"/>
        </w:rPr>
      </w:pPr>
      <w:r>
        <w:rPr>
          <w:rFonts w:ascii="Arial" w:cs="Arial" w:eastAsia="Arial" w:hAnsi="Arial"/>
          <w:sz w:val="14"/>
          <w:szCs w:val="14"/>
          <w:i w:val="1"/>
          <w:iCs w:val="1"/>
          <w:color w:val="FFFFFF"/>
        </w:rPr>
        <w:t>(Dollars in millions)</w:t>
      </w:r>
    </w:p>
    <w:p>
      <w:pPr>
        <w:spacing w:after="0" w:line="53"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180" w:type="dxa"/>
            <w:vAlign w:val="bottom"/>
          </w:tcPr>
          <w:p>
            <w:pPr>
              <w:spacing w:after="0"/>
              <w:rPr>
                <w:sz w:val="15"/>
                <w:szCs w:val="15"/>
                <w:color w:val="auto"/>
              </w:rPr>
            </w:pPr>
          </w:p>
        </w:tc>
        <w:tc>
          <w:tcPr>
            <w:tcW w:w="51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80" w:type="dxa"/>
            <w:vAlign w:val="bottom"/>
          </w:tcPr>
          <w:p>
            <w:pPr>
              <w:jc w:val="center"/>
              <w:ind w:right="181"/>
              <w:spacing w:after="0"/>
              <w:rPr>
                <w:sz w:val="20"/>
                <w:szCs w:val="20"/>
                <w:color w:val="auto"/>
              </w:rPr>
            </w:pPr>
            <w:r>
              <w:rPr>
                <w:rFonts w:ascii="Arial" w:cs="Arial" w:eastAsia="Arial" w:hAnsi="Arial"/>
                <w:sz w:val="14"/>
                <w:szCs w:val="14"/>
                <w:color w:val="auto"/>
              </w:rPr>
              <w:t>Gross</w:t>
            </w:r>
          </w:p>
        </w:tc>
        <w:tc>
          <w:tcPr>
            <w:tcW w:w="320" w:type="dxa"/>
            <w:vAlign w:val="bottom"/>
          </w:tcPr>
          <w:p>
            <w:pPr>
              <w:spacing w:after="0"/>
              <w:rPr>
                <w:sz w:val="15"/>
                <w:szCs w:val="15"/>
                <w:color w:val="auto"/>
              </w:rPr>
            </w:pPr>
          </w:p>
        </w:tc>
        <w:tc>
          <w:tcPr>
            <w:tcW w:w="1220" w:type="dxa"/>
            <w:vAlign w:val="bottom"/>
          </w:tcPr>
          <w:p>
            <w:pPr>
              <w:jc w:val="center"/>
              <w:ind w:right="200"/>
              <w:spacing w:after="0"/>
              <w:rPr>
                <w:sz w:val="20"/>
                <w:szCs w:val="20"/>
                <w:color w:val="auto"/>
              </w:rPr>
            </w:pPr>
            <w:r>
              <w:rPr>
                <w:rFonts w:ascii="Arial" w:cs="Arial" w:eastAsia="Arial" w:hAnsi="Arial"/>
                <w:sz w:val="14"/>
                <w:szCs w:val="14"/>
                <w:color w:val="auto"/>
              </w:rPr>
              <w:t>Gross</w:t>
            </w:r>
          </w:p>
        </w:tc>
        <w:tc>
          <w:tcPr>
            <w:tcW w:w="320" w:type="dxa"/>
            <w:vAlign w:val="bottom"/>
          </w:tcPr>
          <w:p>
            <w:pPr>
              <w:spacing w:after="0"/>
              <w:rPr>
                <w:sz w:val="15"/>
                <w:szCs w:val="15"/>
                <w:color w:val="auto"/>
              </w:rPr>
            </w:pPr>
          </w:p>
        </w:tc>
        <w:tc>
          <w:tcPr>
            <w:tcW w:w="1160" w:type="dxa"/>
            <w:vAlign w:val="bottom"/>
          </w:tcPr>
          <w:p>
            <w:pPr>
              <w:jc w:val="center"/>
              <w:ind w:right="160"/>
              <w:spacing w:after="0"/>
              <w:rPr>
                <w:sz w:val="20"/>
                <w:szCs w:val="20"/>
                <w:color w:val="auto"/>
              </w:rPr>
            </w:pPr>
            <w:r>
              <w:rPr>
                <w:rFonts w:ascii="Arial" w:cs="Arial" w:eastAsia="Arial" w:hAnsi="Arial"/>
                <w:sz w:val="14"/>
                <w:szCs w:val="14"/>
                <w:color w:val="auto"/>
              </w:rPr>
              <w:t>Estimated</w:t>
            </w:r>
          </w:p>
        </w:tc>
        <w:tc>
          <w:tcPr>
            <w:tcW w:w="0" w:type="dxa"/>
            <w:vAlign w:val="bottom"/>
          </w:tcPr>
          <w:p>
            <w:pPr>
              <w:spacing w:after="0"/>
              <w:rPr>
                <w:sz w:val="1"/>
                <w:szCs w:val="1"/>
                <w:color w:val="auto"/>
              </w:rPr>
            </w:pPr>
          </w:p>
        </w:tc>
      </w:tr>
      <w:tr>
        <w:trPr>
          <w:trHeight w:val="162"/>
        </w:trPr>
        <w:tc>
          <w:tcPr>
            <w:tcW w:w="180" w:type="dxa"/>
            <w:vAlign w:val="bottom"/>
          </w:tcPr>
          <w:p>
            <w:pPr>
              <w:spacing w:after="0"/>
              <w:rPr>
                <w:sz w:val="14"/>
                <w:szCs w:val="14"/>
                <w:color w:val="auto"/>
              </w:rPr>
            </w:pPr>
          </w:p>
        </w:tc>
        <w:tc>
          <w:tcPr>
            <w:tcW w:w="5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80" w:type="dxa"/>
            <w:vAlign w:val="bottom"/>
          </w:tcPr>
          <w:p>
            <w:pPr>
              <w:jc w:val="center"/>
              <w:ind w:right="181"/>
              <w:spacing w:after="0"/>
              <w:rPr>
                <w:sz w:val="20"/>
                <w:szCs w:val="20"/>
                <w:color w:val="auto"/>
              </w:rPr>
            </w:pPr>
            <w:r>
              <w:rPr>
                <w:rFonts w:ascii="Arial" w:cs="Arial" w:eastAsia="Arial" w:hAnsi="Arial"/>
                <w:sz w:val="14"/>
                <w:szCs w:val="14"/>
                <w:color w:val="auto"/>
              </w:rPr>
              <w:t>unrealized</w:t>
            </w:r>
          </w:p>
        </w:tc>
        <w:tc>
          <w:tcPr>
            <w:tcW w:w="320" w:type="dxa"/>
            <w:vAlign w:val="bottom"/>
          </w:tcPr>
          <w:p>
            <w:pPr>
              <w:spacing w:after="0"/>
              <w:rPr>
                <w:sz w:val="14"/>
                <w:szCs w:val="14"/>
                <w:color w:val="auto"/>
              </w:rPr>
            </w:pPr>
          </w:p>
        </w:tc>
        <w:tc>
          <w:tcPr>
            <w:tcW w:w="1220" w:type="dxa"/>
            <w:vAlign w:val="bottom"/>
          </w:tcPr>
          <w:p>
            <w:pPr>
              <w:jc w:val="center"/>
              <w:ind w:right="200"/>
              <w:spacing w:after="0"/>
              <w:rPr>
                <w:sz w:val="20"/>
                <w:szCs w:val="20"/>
                <w:color w:val="auto"/>
              </w:rPr>
            </w:pPr>
            <w:r>
              <w:rPr>
                <w:rFonts w:ascii="Arial" w:cs="Arial" w:eastAsia="Arial" w:hAnsi="Arial"/>
                <w:sz w:val="14"/>
                <w:szCs w:val="14"/>
                <w:color w:val="auto"/>
              </w:rPr>
              <w:t>unrealized</w:t>
            </w:r>
          </w:p>
        </w:tc>
        <w:tc>
          <w:tcPr>
            <w:tcW w:w="320" w:type="dxa"/>
            <w:vAlign w:val="bottom"/>
          </w:tcPr>
          <w:p>
            <w:pPr>
              <w:spacing w:after="0"/>
              <w:rPr>
                <w:sz w:val="14"/>
                <w:szCs w:val="14"/>
                <w:color w:val="auto"/>
              </w:rPr>
            </w:pPr>
          </w:p>
        </w:tc>
        <w:tc>
          <w:tcPr>
            <w:tcW w:w="1160" w:type="dxa"/>
            <w:vAlign w:val="bottom"/>
          </w:tcPr>
          <w:p>
            <w:pPr>
              <w:jc w:val="center"/>
              <w:ind w:right="160"/>
              <w:spacing w:after="0"/>
              <w:rPr>
                <w:sz w:val="20"/>
                <w:szCs w:val="20"/>
                <w:color w:val="auto"/>
              </w:rPr>
            </w:pPr>
            <w:r>
              <w:rPr>
                <w:rFonts w:ascii="Arial" w:cs="Arial" w:eastAsia="Arial" w:hAnsi="Arial"/>
                <w:sz w:val="14"/>
                <w:szCs w:val="14"/>
                <w:color w:val="auto"/>
              </w:rPr>
              <w:t>fair</w:t>
            </w:r>
          </w:p>
        </w:tc>
        <w:tc>
          <w:tcPr>
            <w:tcW w:w="0" w:type="dxa"/>
            <w:vAlign w:val="bottom"/>
          </w:tcPr>
          <w:p>
            <w:pPr>
              <w:spacing w:after="0"/>
              <w:rPr>
                <w:sz w:val="1"/>
                <w:szCs w:val="1"/>
                <w:color w:val="auto"/>
              </w:rPr>
            </w:pPr>
          </w:p>
        </w:tc>
      </w:tr>
      <w:tr>
        <w:trPr>
          <w:trHeight w:val="194"/>
        </w:trPr>
        <w:tc>
          <w:tcPr>
            <w:tcW w:w="180" w:type="dxa"/>
            <w:vAlign w:val="bottom"/>
          </w:tcPr>
          <w:p>
            <w:pPr>
              <w:spacing w:after="0"/>
              <w:rPr>
                <w:sz w:val="16"/>
                <w:szCs w:val="16"/>
                <w:color w:val="auto"/>
              </w:rPr>
            </w:pPr>
          </w:p>
        </w:tc>
        <w:tc>
          <w:tcPr>
            <w:tcW w:w="5100" w:type="dxa"/>
            <w:vAlign w:val="bottom"/>
          </w:tcPr>
          <w:p>
            <w:pPr>
              <w:spacing w:after="0"/>
              <w:rPr>
                <w:sz w:val="16"/>
                <w:szCs w:val="16"/>
                <w:color w:val="auto"/>
              </w:rPr>
            </w:pPr>
          </w:p>
        </w:tc>
        <w:tc>
          <w:tcPr>
            <w:tcW w:w="960" w:type="dxa"/>
            <w:vAlign w:val="bottom"/>
            <w:tcBorders>
              <w:bottom w:val="single" w:sz="8" w:color="auto"/>
            </w:tcBorders>
          </w:tcPr>
          <w:p>
            <w:pPr>
              <w:jc w:val="right"/>
              <w:ind w:right="21"/>
              <w:spacing w:after="0"/>
              <w:rPr>
                <w:sz w:val="20"/>
                <w:szCs w:val="20"/>
                <w:color w:val="auto"/>
              </w:rPr>
            </w:pPr>
            <w:r>
              <w:rPr>
                <w:rFonts w:ascii="Arial" w:cs="Arial" w:eastAsia="Arial" w:hAnsi="Arial"/>
                <w:sz w:val="14"/>
                <w:szCs w:val="14"/>
                <w:color w:val="auto"/>
              </w:rPr>
              <w:t>Cost</w:t>
            </w:r>
          </w:p>
        </w:tc>
        <w:tc>
          <w:tcPr>
            <w:tcW w:w="5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center"/>
              <w:ind w:right="181"/>
              <w:spacing w:after="0"/>
              <w:rPr>
                <w:sz w:val="20"/>
                <w:szCs w:val="20"/>
                <w:color w:val="auto"/>
              </w:rPr>
            </w:pPr>
            <w:r>
              <w:rPr>
                <w:rFonts w:ascii="Arial" w:cs="Arial" w:eastAsia="Arial" w:hAnsi="Arial"/>
                <w:sz w:val="14"/>
                <w:szCs w:val="14"/>
                <w:color w:val="auto"/>
              </w:rPr>
              <w:t>gains</w:t>
            </w:r>
          </w:p>
        </w:tc>
        <w:tc>
          <w:tcPr>
            <w:tcW w:w="3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center"/>
              <w:ind w:right="200"/>
              <w:spacing w:after="0"/>
              <w:rPr>
                <w:sz w:val="20"/>
                <w:szCs w:val="20"/>
                <w:color w:val="auto"/>
              </w:rPr>
            </w:pPr>
            <w:r>
              <w:rPr>
                <w:rFonts w:ascii="Arial" w:cs="Arial" w:eastAsia="Arial" w:hAnsi="Arial"/>
                <w:sz w:val="14"/>
                <w:szCs w:val="14"/>
                <w:color w:val="auto"/>
              </w:rPr>
              <w:t>losses</w:t>
            </w:r>
          </w:p>
        </w:tc>
        <w:tc>
          <w:tcPr>
            <w:tcW w:w="3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center"/>
              <w:ind w:right="180"/>
              <w:spacing w:after="0"/>
              <w:rPr>
                <w:sz w:val="20"/>
                <w:szCs w:val="20"/>
                <w:color w:val="auto"/>
              </w:rPr>
            </w:pPr>
            <w:r>
              <w:rPr>
                <w:rFonts w:ascii="Arial" w:cs="Arial" w:eastAsia="Arial" w:hAnsi="Arial"/>
                <w:sz w:val="14"/>
                <w:szCs w:val="14"/>
                <w:color w:val="auto"/>
              </w:rPr>
              <w:t>value</w:t>
            </w:r>
          </w:p>
        </w:tc>
        <w:tc>
          <w:tcPr>
            <w:tcW w:w="0" w:type="dxa"/>
            <w:vAlign w:val="bottom"/>
          </w:tcPr>
          <w:p>
            <w:pPr>
              <w:spacing w:after="0"/>
              <w:rPr>
                <w:sz w:val="1"/>
                <w:szCs w:val="1"/>
                <w:color w:val="auto"/>
              </w:rPr>
            </w:pPr>
          </w:p>
        </w:tc>
      </w:tr>
      <w:tr>
        <w:trPr>
          <w:trHeight w:val="210"/>
        </w:trPr>
        <w:tc>
          <w:tcPr>
            <w:tcW w:w="180" w:type="dxa"/>
            <w:vAlign w:val="bottom"/>
            <w:tcBorders>
              <w:bottom w:val="single" w:sz="8" w:color="auto"/>
            </w:tcBorders>
          </w:tcPr>
          <w:p>
            <w:pPr>
              <w:spacing w:after="0"/>
              <w:rPr>
                <w:sz w:val="18"/>
                <w:szCs w:val="18"/>
                <w:color w:val="auto"/>
              </w:rPr>
            </w:pPr>
          </w:p>
        </w:tc>
        <w:tc>
          <w:tcPr>
            <w:tcW w:w="51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720" w:type="dxa"/>
            <w:vAlign w:val="bottom"/>
            <w:tcBorders>
              <w:bottom w:val="single" w:sz="8" w:color="auto"/>
            </w:tcBorders>
            <w:gridSpan w:val="3"/>
          </w:tcPr>
          <w:p>
            <w:pPr>
              <w:jc w:val="right"/>
              <w:ind w:right="920"/>
              <w:spacing w:after="0"/>
              <w:rPr>
                <w:sz w:val="20"/>
                <w:szCs w:val="20"/>
                <w:color w:val="auto"/>
              </w:rPr>
            </w:pPr>
            <w:r>
              <w:rPr>
                <w:rFonts w:ascii="Arial" w:cs="Arial" w:eastAsia="Arial" w:hAnsi="Arial"/>
                <w:sz w:val="14"/>
                <w:szCs w:val="14"/>
                <w:color w:val="auto"/>
              </w:rPr>
              <w:t>March 31, 2026</w:t>
            </w:r>
          </w:p>
        </w:tc>
        <w:tc>
          <w:tcPr>
            <w:tcW w:w="3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280" w:type="dxa"/>
            <w:vAlign w:val="bottom"/>
            <w:gridSpan w:val="2"/>
            <w:shd w:val="clear" w:color="auto" w:fill="D4F1F5"/>
          </w:tcPr>
          <w:p>
            <w:pPr>
              <w:ind w:left="20"/>
              <w:spacing w:after="0"/>
              <w:rPr>
                <w:sz w:val="20"/>
                <w:szCs w:val="20"/>
                <w:color w:val="auto"/>
              </w:rPr>
            </w:pPr>
            <w:r>
              <w:rPr>
                <w:rFonts w:ascii="Arial" w:cs="Arial" w:eastAsia="Arial" w:hAnsi="Arial"/>
                <w:sz w:val="16"/>
                <w:szCs w:val="16"/>
                <w:color w:val="auto"/>
              </w:rPr>
              <w:t>Short-term investments, primarily cash equivalents</w:t>
            </w:r>
          </w:p>
        </w:tc>
        <w:tc>
          <w:tcPr>
            <w:tcW w:w="960" w:type="dxa"/>
            <w:vAlign w:val="bottom"/>
            <w:tcBorders>
              <w:bottom w:val="single" w:sz="8" w:color="auto"/>
            </w:tcBorders>
            <w:shd w:val="clear" w:color="auto" w:fill="D4F1F5"/>
          </w:tcPr>
          <w:p>
            <w:pPr>
              <w:jc w:val="right"/>
              <w:ind w:right="761"/>
              <w:spacing w:after="0"/>
              <w:rPr>
                <w:sz w:val="20"/>
                <w:szCs w:val="20"/>
                <w:color w:val="auto"/>
              </w:rPr>
            </w:pPr>
            <w:r>
              <w:rPr>
                <w:rFonts w:ascii="Arial" w:cs="Arial" w:eastAsia="Arial" w:hAnsi="Arial"/>
                <w:sz w:val="16"/>
                <w:szCs w:val="16"/>
                <w:color w:val="auto"/>
              </w:rPr>
              <w:t>$</w:t>
            </w:r>
          </w:p>
        </w:tc>
        <w:tc>
          <w:tcPr>
            <w:tcW w:w="500" w:type="dxa"/>
            <w:vAlign w:val="bottom"/>
            <w:tcBorders>
              <w:bottom w:val="single" w:sz="8" w:color="auto"/>
            </w:tcBorders>
            <w:shd w:val="clear" w:color="auto" w:fill="D4F1F5"/>
          </w:tcPr>
          <w:p>
            <w:pPr>
              <w:jc w:val="right"/>
              <w:ind w:right="39"/>
              <w:spacing w:after="0"/>
              <w:rPr>
                <w:sz w:val="20"/>
                <w:szCs w:val="20"/>
                <w:color w:val="auto"/>
              </w:rPr>
            </w:pPr>
            <w:r>
              <w:rPr>
                <w:rFonts w:ascii="Arial" w:cs="Arial" w:eastAsia="Arial" w:hAnsi="Arial"/>
                <w:sz w:val="16"/>
                <w:szCs w:val="16"/>
                <w:color w:val="auto"/>
              </w:rPr>
              <w:t>25</w:t>
            </w:r>
          </w:p>
        </w:tc>
        <w:tc>
          <w:tcPr>
            <w:tcW w:w="300" w:type="dxa"/>
            <w:vAlign w:val="bottom"/>
            <w:tcBorders>
              <w:bottom w:val="single" w:sz="8" w:color="auto"/>
            </w:tcBorders>
            <w:shd w:val="clear" w:color="auto" w:fill="D4F1F5"/>
          </w:tcPr>
          <w:p>
            <w:pPr>
              <w:jc w:val="right"/>
              <w:ind w:right="59"/>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shd w:val="clear" w:color="auto" w:fill="D4F1F5"/>
          </w:tcPr>
          <w:p>
            <w:pPr>
              <w:jc w:val="right"/>
              <w:ind w:right="1"/>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auto"/>
            </w:tcBorders>
            <w:shd w:val="clear" w:color="auto" w:fill="D4F1F5"/>
          </w:tcPr>
          <w:p>
            <w:pPr>
              <w:jc w:val="right"/>
              <w:ind w:right="3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shd w:val="clear" w:color="auto" w:fill="D4F1F5"/>
          </w:tcPr>
          <w:p>
            <w:pPr>
              <w:jc w:val="right"/>
              <w:ind w:right="4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auto"/>
            </w:tcBorders>
            <w:shd w:val="clear" w:color="auto" w:fill="D4F1F5"/>
          </w:tcPr>
          <w:p>
            <w:pPr>
              <w:jc w:val="right"/>
              <w:ind w:right="59"/>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shd w:val="clear" w:color="auto" w:fill="D4F1F5"/>
          </w:tcPr>
          <w:p>
            <w:pPr>
              <w:jc w:val="right"/>
              <w:spacing w:after="0"/>
              <w:rPr>
                <w:sz w:val="20"/>
                <w:szCs w:val="20"/>
                <w:color w:val="auto"/>
              </w:rPr>
            </w:pPr>
            <w:r>
              <w:rPr>
                <w:rFonts w:ascii="Arial" w:cs="Arial" w:eastAsia="Arial" w:hAnsi="Arial"/>
                <w:sz w:val="16"/>
                <w:szCs w:val="16"/>
                <w:color w:val="auto"/>
              </w:rPr>
              <w:t>25</w:t>
            </w:r>
          </w:p>
        </w:tc>
        <w:tc>
          <w:tcPr>
            <w:tcW w:w="0" w:type="dxa"/>
            <w:vAlign w:val="bottom"/>
          </w:tcPr>
          <w:p>
            <w:pPr>
              <w:spacing w:after="0"/>
              <w:rPr>
                <w:sz w:val="1"/>
                <w:szCs w:val="1"/>
                <w:color w:val="auto"/>
              </w:rPr>
            </w:pPr>
          </w:p>
        </w:tc>
      </w:tr>
      <w:tr>
        <w:trPr>
          <w:trHeight w:val="209"/>
        </w:trPr>
        <w:tc>
          <w:tcPr>
            <w:tcW w:w="5280" w:type="dxa"/>
            <w:vAlign w:val="bottom"/>
            <w:tcBorders>
              <w:bottom w:val="single" w:sz="8" w:color="D4F1F5"/>
            </w:tcBorders>
            <w:gridSpan w:val="2"/>
          </w:tcPr>
          <w:p>
            <w:pPr>
              <w:ind w:left="20"/>
              <w:spacing w:after="0"/>
              <w:rPr>
                <w:sz w:val="20"/>
                <w:szCs w:val="20"/>
                <w:color w:val="auto"/>
              </w:rPr>
            </w:pPr>
            <w:r>
              <w:rPr>
                <w:rFonts w:ascii="Arial" w:cs="Arial" w:eastAsia="Arial" w:hAnsi="Arial"/>
                <w:sz w:val="16"/>
                <w:szCs w:val="16"/>
                <w:color w:val="auto"/>
              </w:rPr>
              <w:t>Equity securities</w:t>
            </w:r>
          </w:p>
        </w:tc>
        <w:tc>
          <w:tcPr>
            <w:tcW w:w="96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66</w:t>
            </w:r>
          </w:p>
        </w:tc>
        <w:tc>
          <w:tcPr>
            <w:tcW w:w="3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208</w:t>
            </w:r>
          </w:p>
        </w:tc>
        <w:tc>
          <w:tcPr>
            <w:tcW w:w="3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w:t>
            </w:r>
          </w:p>
        </w:tc>
        <w:tc>
          <w:tcPr>
            <w:tcW w:w="3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272</w:t>
            </w:r>
          </w:p>
        </w:tc>
        <w:tc>
          <w:tcPr>
            <w:tcW w:w="0" w:type="dxa"/>
            <w:vAlign w:val="bottom"/>
          </w:tcPr>
          <w:p>
            <w:pPr>
              <w:spacing w:after="0"/>
              <w:rPr>
                <w:sz w:val="1"/>
                <w:szCs w:val="1"/>
                <w:color w:val="auto"/>
              </w:rPr>
            </w:pPr>
          </w:p>
        </w:tc>
      </w:tr>
      <w:tr>
        <w:trPr>
          <w:trHeight w:val="210"/>
        </w:trPr>
        <w:tc>
          <w:tcPr>
            <w:tcW w:w="5280" w:type="dxa"/>
            <w:vAlign w:val="bottom"/>
            <w:gridSpan w:val="2"/>
            <w:shd w:val="clear" w:color="auto" w:fill="D4F1F5"/>
          </w:tcPr>
          <w:p>
            <w:pPr>
              <w:ind w:left="20"/>
              <w:spacing w:after="0"/>
              <w:rPr>
                <w:sz w:val="20"/>
                <w:szCs w:val="20"/>
                <w:color w:val="auto"/>
              </w:rPr>
            </w:pPr>
            <w:r>
              <w:rPr>
                <w:rFonts w:ascii="Arial" w:cs="Arial" w:eastAsia="Arial" w:hAnsi="Arial"/>
                <w:sz w:val="16"/>
                <w:szCs w:val="16"/>
                <w:color w:val="auto"/>
              </w:rPr>
              <w:t>Debt securities:</w:t>
            </w:r>
          </w:p>
        </w:tc>
        <w:tc>
          <w:tcPr>
            <w:tcW w:w="960" w:type="dxa"/>
            <w:vAlign w:val="bottom"/>
            <w:shd w:val="clear" w:color="auto" w:fill="D4F1F5"/>
          </w:tcPr>
          <w:p>
            <w:pPr>
              <w:spacing w:after="0"/>
              <w:rPr>
                <w:sz w:val="18"/>
                <w:szCs w:val="18"/>
                <w:color w:val="auto"/>
              </w:rPr>
            </w:pPr>
          </w:p>
        </w:tc>
        <w:tc>
          <w:tcPr>
            <w:tcW w:w="500" w:type="dxa"/>
            <w:vAlign w:val="bottom"/>
            <w:shd w:val="clear" w:color="auto" w:fill="D4F1F5"/>
          </w:tcPr>
          <w:p>
            <w:pPr>
              <w:spacing w:after="0"/>
              <w:rPr>
                <w:sz w:val="18"/>
                <w:szCs w:val="18"/>
                <w:color w:val="auto"/>
              </w:rPr>
            </w:pPr>
          </w:p>
        </w:tc>
        <w:tc>
          <w:tcPr>
            <w:tcW w:w="300" w:type="dxa"/>
            <w:vAlign w:val="bottom"/>
            <w:shd w:val="clear" w:color="auto" w:fill="D4F1F5"/>
          </w:tcPr>
          <w:p>
            <w:pPr>
              <w:spacing w:after="0"/>
              <w:rPr>
                <w:sz w:val="18"/>
                <w:szCs w:val="18"/>
                <w:color w:val="auto"/>
              </w:rPr>
            </w:pPr>
          </w:p>
        </w:tc>
        <w:tc>
          <w:tcPr>
            <w:tcW w:w="1180" w:type="dxa"/>
            <w:vAlign w:val="bottom"/>
            <w:shd w:val="clear" w:color="auto" w:fill="D4F1F5"/>
          </w:tcPr>
          <w:p>
            <w:pPr>
              <w:spacing w:after="0"/>
              <w:rPr>
                <w:sz w:val="18"/>
                <w:szCs w:val="18"/>
                <w:color w:val="auto"/>
              </w:rPr>
            </w:pPr>
          </w:p>
        </w:tc>
        <w:tc>
          <w:tcPr>
            <w:tcW w:w="320" w:type="dxa"/>
            <w:vAlign w:val="bottom"/>
            <w:shd w:val="clear" w:color="auto" w:fill="D4F1F5"/>
          </w:tcPr>
          <w:p>
            <w:pPr>
              <w:spacing w:after="0"/>
              <w:rPr>
                <w:sz w:val="18"/>
                <w:szCs w:val="18"/>
                <w:color w:val="auto"/>
              </w:rPr>
            </w:pPr>
          </w:p>
        </w:tc>
        <w:tc>
          <w:tcPr>
            <w:tcW w:w="1220" w:type="dxa"/>
            <w:vAlign w:val="bottom"/>
            <w:shd w:val="clear" w:color="auto" w:fill="D4F1F5"/>
          </w:tcPr>
          <w:p>
            <w:pPr>
              <w:spacing w:after="0"/>
              <w:rPr>
                <w:sz w:val="18"/>
                <w:szCs w:val="18"/>
                <w:color w:val="auto"/>
              </w:rPr>
            </w:pPr>
          </w:p>
        </w:tc>
        <w:tc>
          <w:tcPr>
            <w:tcW w:w="320" w:type="dxa"/>
            <w:vAlign w:val="bottom"/>
            <w:shd w:val="clear" w:color="auto" w:fill="D4F1F5"/>
          </w:tcPr>
          <w:p>
            <w:pPr>
              <w:spacing w:after="0"/>
              <w:rPr>
                <w:sz w:val="18"/>
                <w:szCs w:val="18"/>
                <w:color w:val="auto"/>
              </w:rPr>
            </w:pPr>
          </w:p>
        </w:tc>
        <w:tc>
          <w:tcPr>
            <w:tcW w:w="1160" w:type="dxa"/>
            <w:vAlign w:val="bottom"/>
            <w:shd w:val="clear" w:color="auto" w:fill="D4F1F5"/>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180" w:type="dxa"/>
            <w:vAlign w:val="bottom"/>
          </w:tcPr>
          <w:p>
            <w:pPr>
              <w:spacing w:after="0"/>
              <w:rPr>
                <w:sz w:val="14"/>
                <w:szCs w:val="14"/>
                <w:color w:val="auto"/>
              </w:rPr>
            </w:pPr>
          </w:p>
        </w:tc>
        <w:tc>
          <w:tcPr>
            <w:tcW w:w="5100" w:type="dxa"/>
            <w:vAlign w:val="bottom"/>
          </w:tcPr>
          <w:p>
            <w:pPr>
              <w:ind w:left="40"/>
              <w:spacing w:after="0" w:line="162" w:lineRule="exact"/>
              <w:rPr>
                <w:sz w:val="20"/>
                <w:szCs w:val="20"/>
                <w:color w:val="auto"/>
              </w:rPr>
            </w:pPr>
            <w:r>
              <w:rPr>
                <w:rFonts w:ascii="Arial" w:cs="Arial" w:eastAsia="Arial" w:hAnsi="Arial"/>
                <w:sz w:val="16"/>
                <w:szCs w:val="16"/>
                <w:color w:val="auto"/>
              </w:rPr>
              <w:t>Debt securities issued by the U.S. Treasury and other U.S.</w:t>
            </w:r>
          </w:p>
        </w:tc>
        <w:tc>
          <w:tcPr>
            <w:tcW w:w="960" w:type="dxa"/>
            <w:vAlign w:val="bottom"/>
          </w:tcPr>
          <w:p>
            <w:pPr>
              <w:spacing w:after="0"/>
              <w:rPr>
                <w:sz w:val="14"/>
                <w:szCs w:val="14"/>
                <w:color w:val="auto"/>
              </w:rPr>
            </w:pPr>
          </w:p>
        </w:tc>
        <w:tc>
          <w:tcPr>
            <w:tcW w:w="500" w:type="dxa"/>
            <w:vAlign w:val="bottom"/>
            <w:vMerge w:val="restart"/>
          </w:tcPr>
          <w:p>
            <w:pPr>
              <w:jc w:val="right"/>
              <w:ind w:right="39"/>
              <w:spacing w:after="0"/>
              <w:rPr>
                <w:sz w:val="20"/>
                <w:szCs w:val="20"/>
                <w:color w:val="auto"/>
              </w:rPr>
            </w:pPr>
            <w:r>
              <w:rPr>
                <w:rFonts w:ascii="Arial" w:cs="Arial" w:eastAsia="Arial" w:hAnsi="Arial"/>
                <w:sz w:val="16"/>
                <w:szCs w:val="16"/>
                <w:color w:val="auto"/>
              </w:rPr>
              <w:t>43</w:t>
            </w:r>
          </w:p>
        </w:tc>
        <w:tc>
          <w:tcPr>
            <w:tcW w:w="300" w:type="dxa"/>
            <w:vAlign w:val="bottom"/>
          </w:tcPr>
          <w:p>
            <w:pPr>
              <w:spacing w:after="0"/>
              <w:rPr>
                <w:sz w:val="14"/>
                <w:szCs w:val="14"/>
                <w:color w:val="auto"/>
              </w:rPr>
            </w:pPr>
          </w:p>
        </w:tc>
        <w:tc>
          <w:tcPr>
            <w:tcW w:w="1180" w:type="dxa"/>
            <w:vAlign w:val="bottom"/>
            <w:vMerge w:val="restart"/>
          </w:tcPr>
          <w:p>
            <w:pPr>
              <w:jc w:val="right"/>
              <w:ind w:right="1"/>
              <w:spacing w:after="0"/>
              <w:rPr>
                <w:sz w:val="20"/>
                <w:szCs w:val="20"/>
                <w:color w:val="auto"/>
              </w:rPr>
            </w:pPr>
            <w:r>
              <w:rPr>
                <w:rFonts w:ascii="Arial" w:cs="Arial" w:eastAsia="Arial" w:hAnsi="Arial"/>
                <w:sz w:val="16"/>
                <w:szCs w:val="16"/>
                <w:color w:val="auto"/>
              </w:rPr>
              <w:t>1</w:t>
            </w:r>
          </w:p>
        </w:tc>
        <w:tc>
          <w:tcPr>
            <w:tcW w:w="320" w:type="dxa"/>
            <w:vAlign w:val="bottom"/>
          </w:tcPr>
          <w:p>
            <w:pPr>
              <w:spacing w:after="0"/>
              <w:rPr>
                <w:sz w:val="14"/>
                <w:szCs w:val="14"/>
                <w:color w:val="auto"/>
              </w:rPr>
            </w:pPr>
          </w:p>
        </w:tc>
        <w:tc>
          <w:tcPr>
            <w:tcW w:w="1220" w:type="dxa"/>
            <w:vAlign w:val="bottom"/>
            <w:vMerge w:val="restart"/>
          </w:tcPr>
          <w:p>
            <w:pPr>
              <w:jc w:val="right"/>
              <w:spacing w:after="0"/>
              <w:rPr>
                <w:sz w:val="20"/>
                <w:szCs w:val="20"/>
                <w:color w:val="auto"/>
              </w:rPr>
            </w:pPr>
            <w:r>
              <w:rPr>
                <w:rFonts w:ascii="Arial" w:cs="Arial" w:eastAsia="Arial" w:hAnsi="Arial"/>
                <w:sz w:val="16"/>
                <w:szCs w:val="16"/>
                <w:color w:val="auto"/>
              </w:rPr>
              <w:t>(1)</w:t>
            </w:r>
          </w:p>
        </w:tc>
        <w:tc>
          <w:tcPr>
            <w:tcW w:w="320" w:type="dxa"/>
            <w:vAlign w:val="bottom"/>
          </w:tcPr>
          <w:p>
            <w:pPr>
              <w:spacing w:after="0"/>
              <w:rPr>
                <w:sz w:val="14"/>
                <w:szCs w:val="14"/>
                <w:color w:val="auto"/>
              </w:rPr>
            </w:pPr>
          </w:p>
        </w:tc>
        <w:tc>
          <w:tcPr>
            <w:tcW w:w="1160" w:type="dxa"/>
            <w:vAlign w:val="bottom"/>
            <w:vMerge w:val="restart"/>
          </w:tcPr>
          <w:p>
            <w:pPr>
              <w:jc w:val="right"/>
              <w:spacing w:after="0"/>
              <w:rPr>
                <w:sz w:val="20"/>
                <w:szCs w:val="20"/>
                <w:color w:val="auto"/>
              </w:rPr>
            </w:pPr>
            <w:r>
              <w:rPr>
                <w:rFonts w:ascii="Arial" w:cs="Arial" w:eastAsia="Arial" w:hAnsi="Arial"/>
                <w:sz w:val="16"/>
                <w:szCs w:val="16"/>
                <w:color w:val="auto"/>
              </w:rPr>
              <w:t>43</w:t>
            </w: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5100" w:type="dxa"/>
            <w:vAlign w:val="bottom"/>
          </w:tcPr>
          <w:p>
            <w:pPr>
              <w:ind w:left="220"/>
              <w:spacing w:after="0" w:line="216" w:lineRule="exact"/>
              <w:rPr>
                <w:sz w:val="20"/>
                <w:szCs w:val="20"/>
                <w:color w:val="auto"/>
              </w:rPr>
            </w:pPr>
            <w:r>
              <w:rPr>
                <w:rFonts w:ascii="Arial" w:cs="Arial" w:eastAsia="Arial" w:hAnsi="Arial"/>
                <w:sz w:val="16"/>
                <w:szCs w:val="16"/>
                <w:color w:val="auto"/>
              </w:rPr>
              <w:t>government corporations and agencies</w:t>
            </w:r>
            <w:r>
              <w:rPr>
                <w:rFonts w:ascii="Arial" w:cs="Arial" w:eastAsia="Arial" w:hAnsi="Arial"/>
                <w:sz w:val="21"/>
                <w:szCs w:val="21"/>
                <w:color w:val="auto"/>
                <w:vertAlign w:val="superscript"/>
              </w:rPr>
              <w:t>(1)</w:t>
            </w:r>
          </w:p>
        </w:tc>
        <w:tc>
          <w:tcPr>
            <w:tcW w:w="960" w:type="dxa"/>
            <w:vAlign w:val="bottom"/>
          </w:tcPr>
          <w:p>
            <w:pPr>
              <w:spacing w:after="0"/>
              <w:rPr>
                <w:sz w:val="18"/>
                <w:szCs w:val="18"/>
                <w:color w:val="auto"/>
              </w:rPr>
            </w:pPr>
          </w:p>
        </w:tc>
        <w:tc>
          <w:tcPr>
            <w:tcW w:w="500" w:type="dxa"/>
            <w:vAlign w:val="bottom"/>
            <w:vMerge w:val="continue"/>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vMerge w:val="continue"/>
          </w:tcPr>
          <w:p>
            <w:pPr>
              <w:spacing w:after="0"/>
              <w:rPr>
                <w:sz w:val="18"/>
                <w:szCs w:val="18"/>
                <w:color w:val="auto"/>
              </w:rPr>
            </w:pPr>
          </w:p>
        </w:tc>
        <w:tc>
          <w:tcPr>
            <w:tcW w:w="320" w:type="dxa"/>
            <w:vAlign w:val="bottom"/>
          </w:tcPr>
          <w:p>
            <w:pPr>
              <w:spacing w:after="0"/>
              <w:rPr>
                <w:sz w:val="18"/>
                <w:szCs w:val="18"/>
                <w:color w:val="auto"/>
              </w:rPr>
            </w:pPr>
          </w:p>
        </w:tc>
        <w:tc>
          <w:tcPr>
            <w:tcW w:w="1220" w:type="dxa"/>
            <w:vAlign w:val="bottom"/>
            <w:vMerge w:val="continue"/>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shd w:val="clear" w:color="auto" w:fill="D4F1F5"/>
          </w:tcPr>
          <w:p>
            <w:pPr>
              <w:spacing w:after="0"/>
              <w:rPr>
                <w:sz w:val="18"/>
                <w:szCs w:val="18"/>
                <w:color w:val="auto"/>
              </w:rPr>
            </w:pPr>
          </w:p>
        </w:tc>
        <w:tc>
          <w:tcPr>
            <w:tcW w:w="5100" w:type="dxa"/>
            <w:vAlign w:val="bottom"/>
            <w:shd w:val="clear" w:color="auto" w:fill="D4F1F5"/>
          </w:tcPr>
          <w:p>
            <w:pPr>
              <w:ind w:left="40"/>
              <w:spacing w:after="0" w:line="216" w:lineRule="exact"/>
              <w:rPr>
                <w:sz w:val="20"/>
                <w:szCs w:val="20"/>
                <w:color w:val="auto"/>
              </w:rPr>
            </w:pPr>
            <w:r>
              <w:rPr>
                <w:rFonts w:ascii="Arial" w:cs="Arial" w:eastAsia="Arial" w:hAnsi="Arial"/>
                <w:sz w:val="16"/>
                <w:szCs w:val="16"/>
                <w:color w:val="auto"/>
              </w:rPr>
              <w:t>Municipal bonds</w:t>
            </w:r>
            <w:r>
              <w:rPr>
                <w:rFonts w:ascii="Arial" w:cs="Arial" w:eastAsia="Arial" w:hAnsi="Arial"/>
                <w:sz w:val="21"/>
                <w:szCs w:val="21"/>
                <w:color w:val="auto"/>
                <w:vertAlign w:val="superscript"/>
              </w:rPr>
              <w:t>(2)</w:t>
            </w:r>
          </w:p>
        </w:tc>
        <w:tc>
          <w:tcPr>
            <w:tcW w:w="960" w:type="dxa"/>
            <w:vAlign w:val="bottom"/>
            <w:shd w:val="clear" w:color="auto" w:fill="D4F1F5"/>
          </w:tcPr>
          <w:p>
            <w:pPr>
              <w:spacing w:after="0"/>
              <w:rPr>
                <w:sz w:val="18"/>
                <w:szCs w:val="18"/>
                <w:color w:val="auto"/>
              </w:rPr>
            </w:pPr>
          </w:p>
        </w:tc>
        <w:tc>
          <w:tcPr>
            <w:tcW w:w="500" w:type="dxa"/>
            <w:vAlign w:val="bottom"/>
            <w:shd w:val="clear" w:color="auto" w:fill="D4F1F5"/>
          </w:tcPr>
          <w:p>
            <w:pPr>
              <w:jc w:val="right"/>
              <w:ind w:right="39"/>
              <w:spacing w:after="0"/>
              <w:rPr>
                <w:sz w:val="20"/>
                <w:szCs w:val="20"/>
                <w:color w:val="auto"/>
              </w:rPr>
            </w:pPr>
            <w:r>
              <w:rPr>
                <w:rFonts w:ascii="Arial" w:cs="Arial" w:eastAsia="Arial" w:hAnsi="Arial"/>
                <w:sz w:val="16"/>
                <w:szCs w:val="16"/>
                <w:color w:val="auto"/>
              </w:rPr>
              <w:t>295</w:t>
            </w:r>
          </w:p>
        </w:tc>
        <w:tc>
          <w:tcPr>
            <w:tcW w:w="300" w:type="dxa"/>
            <w:vAlign w:val="bottom"/>
            <w:shd w:val="clear" w:color="auto" w:fill="D4F1F5"/>
          </w:tcPr>
          <w:p>
            <w:pPr>
              <w:spacing w:after="0"/>
              <w:rPr>
                <w:sz w:val="18"/>
                <w:szCs w:val="18"/>
                <w:color w:val="auto"/>
              </w:rPr>
            </w:pPr>
          </w:p>
        </w:tc>
        <w:tc>
          <w:tcPr>
            <w:tcW w:w="1180" w:type="dxa"/>
            <w:vAlign w:val="bottom"/>
            <w:shd w:val="clear" w:color="auto" w:fill="D4F1F5"/>
          </w:tcPr>
          <w:p>
            <w:pPr>
              <w:jc w:val="right"/>
              <w:ind w:right="1"/>
              <w:spacing w:after="0"/>
              <w:rPr>
                <w:sz w:val="20"/>
                <w:szCs w:val="20"/>
                <w:color w:val="auto"/>
              </w:rPr>
            </w:pPr>
            <w:r>
              <w:rPr>
                <w:rFonts w:ascii="Arial" w:cs="Arial" w:eastAsia="Arial" w:hAnsi="Arial"/>
                <w:sz w:val="16"/>
                <w:szCs w:val="16"/>
                <w:color w:val="auto"/>
              </w:rPr>
              <w:t>2</w:t>
            </w:r>
          </w:p>
        </w:tc>
        <w:tc>
          <w:tcPr>
            <w:tcW w:w="320" w:type="dxa"/>
            <w:vAlign w:val="bottom"/>
            <w:shd w:val="clear" w:color="auto" w:fill="D4F1F5"/>
          </w:tcPr>
          <w:p>
            <w:pPr>
              <w:spacing w:after="0"/>
              <w:rPr>
                <w:sz w:val="18"/>
                <w:szCs w:val="18"/>
                <w:color w:val="auto"/>
              </w:rPr>
            </w:pPr>
          </w:p>
        </w:tc>
        <w:tc>
          <w:tcPr>
            <w:tcW w:w="1220" w:type="dxa"/>
            <w:vAlign w:val="bottom"/>
            <w:shd w:val="clear" w:color="auto" w:fill="D4F1F5"/>
          </w:tcPr>
          <w:p>
            <w:pPr>
              <w:jc w:val="right"/>
              <w:spacing w:after="0"/>
              <w:rPr>
                <w:sz w:val="20"/>
                <w:szCs w:val="20"/>
                <w:color w:val="auto"/>
              </w:rPr>
            </w:pPr>
            <w:r>
              <w:rPr>
                <w:rFonts w:ascii="Arial" w:cs="Arial" w:eastAsia="Arial" w:hAnsi="Arial"/>
                <w:sz w:val="16"/>
                <w:szCs w:val="16"/>
                <w:color w:val="auto"/>
              </w:rPr>
              <w:t>(6)</w:t>
            </w:r>
          </w:p>
        </w:tc>
        <w:tc>
          <w:tcPr>
            <w:tcW w:w="320" w:type="dxa"/>
            <w:vAlign w:val="bottom"/>
            <w:shd w:val="clear" w:color="auto" w:fill="D4F1F5"/>
          </w:tcPr>
          <w:p>
            <w:pPr>
              <w:spacing w:after="0"/>
              <w:rPr>
                <w:sz w:val="18"/>
                <w:szCs w:val="18"/>
                <w:color w:val="auto"/>
              </w:rPr>
            </w:pPr>
          </w:p>
        </w:tc>
        <w:tc>
          <w:tcPr>
            <w:tcW w:w="1160" w:type="dxa"/>
            <w:vAlign w:val="bottom"/>
            <w:shd w:val="clear" w:color="auto" w:fill="D4F1F5"/>
          </w:tcPr>
          <w:p>
            <w:pPr>
              <w:jc w:val="right"/>
              <w:spacing w:after="0"/>
              <w:rPr>
                <w:sz w:val="20"/>
                <w:szCs w:val="20"/>
                <w:color w:val="auto"/>
              </w:rPr>
            </w:pPr>
            <w:r>
              <w:rPr>
                <w:rFonts w:ascii="Arial" w:cs="Arial" w:eastAsia="Arial" w:hAnsi="Arial"/>
                <w:sz w:val="16"/>
                <w:szCs w:val="16"/>
                <w:color w:val="auto"/>
              </w:rPr>
              <w:t>291</w:t>
            </w:r>
          </w:p>
        </w:tc>
        <w:tc>
          <w:tcPr>
            <w:tcW w:w="0" w:type="dxa"/>
            <w:vAlign w:val="bottom"/>
          </w:tcPr>
          <w:p>
            <w:pPr>
              <w:spacing w:after="0"/>
              <w:rPr>
                <w:sz w:val="1"/>
                <w:szCs w:val="1"/>
                <w:color w:val="auto"/>
              </w:rPr>
            </w:pPr>
          </w:p>
        </w:tc>
      </w:tr>
      <w:tr>
        <w:trPr>
          <w:trHeight w:val="216"/>
        </w:trPr>
        <w:tc>
          <w:tcPr>
            <w:tcW w:w="180" w:type="dxa"/>
            <w:vAlign w:val="bottom"/>
            <w:tcBorders>
              <w:bottom w:val="single" w:sz="8" w:color="D4F1F5"/>
            </w:tcBorders>
          </w:tcPr>
          <w:p>
            <w:pPr>
              <w:spacing w:after="0"/>
              <w:rPr>
                <w:sz w:val="18"/>
                <w:szCs w:val="18"/>
                <w:color w:val="auto"/>
              </w:rPr>
            </w:pPr>
          </w:p>
        </w:tc>
        <w:tc>
          <w:tcPr>
            <w:tcW w:w="5100" w:type="dxa"/>
            <w:vAlign w:val="bottom"/>
            <w:tcBorders>
              <w:bottom w:val="single" w:sz="8" w:color="D4F1F5"/>
            </w:tcBorders>
          </w:tcPr>
          <w:p>
            <w:pPr>
              <w:ind w:left="40"/>
              <w:spacing w:after="0" w:line="216" w:lineRule="exact"/>
              <w:rPr>
                <w:sz w:val="20"/>
                <w:szCs w:val="20"/>
                <w:color w:val="auto"/>
              </w:rPr>
            </w:pPr>
            <w:r>
              <w:rPr>
                <w:rFonts w:ascii="Arial" w:cs="Arial" w:eastAsia="Arial" w:hAnsi="Arial"/>
                <w:sz w:val="16"/>
                <w:szCs w:val="16"/>
                <w:color w:val="auto"/>
              </w:rPr>
              <w:t>Other securities</w:t>
            </w:r>
            <w:r>
              <w:rPr>
                <w:rFonts w:ascii="Arial" w:cs="Arial" w:eastAsia="Arial" w:hAnsi="Arial"/>
                <w:sz w:val="21"/>
                <w:szCs w:val="21"/>
                <w:color w:val="auto"/>
                <w:vertAlign w:val="superscript"/>
              </w:rPr>
              <w:t>(3)</w:t>
            </w:r>
          </w:p>
        </w:tc>
        <w:tc>
          <w:tcPr>
            <w:tcW w:w="96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263</w:t>
            </w:r>
          </w:p>
        </w:tc>
        <w:tc>
          <w:tcPr>
            <w:tcW w:w="3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3</w:t>
            </w:r>
          </w:p>
        </w:tc>
        <w:tc>
          <w:tcPr>
            <w:tcW w:w="3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w:t>
            </w:r>
          </w:p>
        </w:tc>
        <w:tc>
          <w:tcPr>
            <w:tcW w:w="3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261</w:t>
            </w:r>
          </w:p>
        </w:tc>
        <w:tc>
          <w:tcPr>
            <w:tcW w:w="0" w:type="dxa"/>
            <w:vAlign w:val="bottom"/>
          </w:tcPr>
          <w:p>
            <w:pPr>
              <w:spacing w:after="0"/>
              <w:rPr>
                <w:sz w:val="1"/>
                <w:szCs w:val="1"/>
                <w:color w:val="auto"/>
              </w:rPr>
            </w:pPr>
          </w:p>
        </w:tc>
      </w:tr>
      <w:tr>
        <w:trPr>
          <w:trHeight w:val="209"/>
        </w:trPr>
        <w:tc>
          <w:tcPr>
            <w:tcW w:w="5280" w:type="dxa"/>
            <w:vAlign w:val="bottom"/>
            <w:gridSpan w:val="2"/>
            <w:shd w:val="clear" w:color="auto" w:fill="D4F1F5"/>
          </w:tcPr>
          <w:p>
            <w:pPr>
              <w:ind w:left="20"/>
              <w:spacing w:after="0"/>
              <w:rPr>
                <w:sz w:val="20"/>
                <w:szCs w:val="20"/>
                <w:color w:val="auto"/>
              </w:rPr>
            </w:pPr>
            <w:r>
              <w:rPr>
                <w:rFonts w:ascii="Arial" w:cs="Arial" w:eastAsia="Arial" w:hAnsi="Arial"/>
                <w:sz w:val="16"/>
                <w:szCs w:val="16"/>
                <w:color w:val="auto"/>
              </w:rPr>
              <w:t>Total debt securities</w:t>
            </w:r>
          </w:p>
        </w:tc>
        <w:tc>
          <w:tcPr>
            <w:tcW w:w="960" w:type="dxa"/>
            <w:vAlign w:val="bottom"/>
            <w:tcBorders>
              <w:bottom w:val="single" w:sz="8" w:color="auto"/>
            </w:tcBorders>
            <w:shd w:val="clear" w:color="auto" w:fill="D4F1F5"/>
          </w:tcPr>
          <w:p>
            <w:pPr>
              <w:spacing w:after="0"/>
              <w:rPr>
                <w:sz w:val="18"/>
                <w:szCs w:val="18"/>
                <w:color w:val="auto"/>
              </w:rPr>
            </w:pPr>
          </w:p>
        </w:tc>
        <w:tc>
          <w:tcPr>
            <w:tcW w:w="500" w:type="dxa"/>
            <w:vAlign w:val="bottom"/>
            <w:tcBorders>
              <w:bottom w:val="single" w:sz="8" w:color="auto"/>
            </w:tcBorders>
            <w:shd w:val="clear" w:color="auto" w:fill="D4F1F5"/>
          </w:tcPr>
          <w:p>
            <w:pPr>
              <w:jc w:val="right"/>
              <w:ind w:right="39"/>
              <w:spacing w:after="0"/>
              <w:rPr>
                <w:sz w:val="20"/>
                <w:szCs w:val="20"/>
                <w:color w:val="auto"/>
              </w:rPr>
            </w:pPr>
            <w:r>
              <w:rPr>
                <w:rFonts w:ascii="Arial" w:cs="Arial" w:eastAsia="Arial" w:hAnsi="Arial"/>
                <w:sz w:val="16"/>
                <w:szCs w:val="16"/>
                <w:color w:val="auto"/>
              </w:rPr>
              <w:t>601</w:t>
            </w:r>
          </w:p>
        </w:tc>
        <w:tc>
          <w:tcPr>
            <w:tcW w:w="300" w:type="dxa"/>
            <w:vAlign w:val="bottom"/>
            <w:tcBorders>
              <w:bottom w:val="single" w:sz="8" w:color="auto"/>
            </w:tcBorders>
            <w:shd w:val="clear" w:color="auto" w:fill="D4F1F5"/>
          </w:tcPr>
          <w:p>
            <w:pPr>
              <w:spacing w:after="0"/>
              <w:rPr>
                <w:sz w:val="18"/>
                <w:szCs w:val="18"/>
                <w:color w:val="auto"/>
              </w:rPr>
            </w:pPr>
          </w:p>
        </w:tc>
        <w:tc>
          <w:tcPr>
            <w:tcW w:w="1180" w:type="dxa"/>
            <w:vAlign w:val="bottom"/>
            <w:tcBorders>
              <w:bottom w:val="single" w:sz="8" w:color="auto"/>
            </w:tcBorders>
            <w:shd w:val="clear" w:color="auto" w:fill="D4F1F5"/>
          </w:tcPr>
          <w:p>
            <w:pPr>
              <w:jc w:val="right"/>
              <w:ind w:right="1"/>
              <w:spacing w:after="0"/>
              <w:rPr>
                <w:sz w:val="20"/>
                <w:szCs w:val="20"/>
                <w:color w:val="auto"/>
              </w:rPr>
            </w:pPr>
            <w:r>
              <w:rPr>
                <w:rFonts w:ascii="Arial" w:cs="Arial" w:eastAsia="Arial" w:hAnsi="Arial"/>
                <w:sz w:val="16"/>
                <w:szCs w:val="16"/>
                <w:color w:val="auto"/>
              </w:rPr>
              <w:t>6</w:t>
            </w:r>
          </w:p>
        </w:tc>
        <w:tc>
          <w:tcPr>
            <w:tcW w:w="320" w:type="dxa"/>
            <w:vAlign w:val="bottom"/>
            <w:tcBorders>
              <w:bottom w:val="single" w:sz="8" w:color="auto"/>
            </w:tcBorders>
            <w:shd w:val="clear" w:color="auto" w:fill="D4F1F5"/>
          </w:tcPr>
          <w:p>
            <w:pPr>
              <w:spacing w:after="0"/>
              <w:rPr>
                <w:sz w:val="18"/>
                <w:szCs w:val="18"/>
                <w:color w:val="auto"/>
              </w:rPr>
            </w:pPr>
          </w:p>
        </w:tc>
        <w:tc>
          <w:tcPr>
            <w:tcW w:w="1220" w:type="dxa"/>
            <w:vAlign w:val="bottom"/>
            <w:tcBorders>
              <w:bottom w:val="single" w:sz="8" w:color="auto"/>
            </w:tcBorders>
            <w:shd w:val="clear" w:color="auto" w:fill="D4F1F5"/>
          </w:tcPr>
          <w:p>
            <w:pPr>
              <w:jc w:val="right"/>
              <w:spacing w:after="0"/>
              <w:rPr>
                <w:sz w:val="20"/>
                <w:szCs w:val="20"/>
                <w:color w:val="auto"/>
              </w:rPr>
            </w:pPr>
            <w:r>
              <w:rPr>
                <w:rFonts w:ascii="Arial" w:cs="Arial" w:eastAsia="Arial" w:hAnsi="Arial"/>
                <w:sz w:val="16"/>
                <w:szCs w:val="16"/>
                <w:color w:val="auto"/>
              </w:rPr>
              <w:t>(12)</w:t>
            </w:r>
          </w:p>
        </w:tc>
        <w:tc>
          <w:tcPr>
            <w:tcW w:w="320" w:type="dxa"/>
            <w:vAlign w:val="bottom"/>
            <w:tcBorders>
              <w:bottom w:val="single" w:sz="8" w:color="auto"/>
            </w:tcBorders>
            <w:shd w:val="clear" w:color="auto" w:fill="D4F1F5"/>
          </w:tcPr>
          <w:p>
            <w:pPr>
              <w:spacing w:after="0"/>
              <w:rPr>
                <w:sz w:val="18"/>
                <w:szCs w:val="18"/>
                <w:color w:val="auto"/>
              </w:rPr>
            </w:pPr>
          </w:p>
        </w:tc>
        <w:tc>
          <w:tcPr>
            <w:tcW w:w="1160" w:type="dxa"/>
            <w:vAlign w:val="bottom"/>
            <w:tcBorders>
              <w:bottom w:val="single" w:sz="8" w:color="auto"/>
            </w:tcBorders>
            <w:shd w:val="clear" w:color="auto" w:fill="D4F1F5"/>
          </w:tcPr>
          <w:p>
            <w:pPr>
              <w:jc w:val="right"/>
              <w:spacing w:after="0"/>
              <w:rPr>
                <w:sz w:val="20"/>
                <w:szCs w:val="20"/>
                <w:color w:val="auto"/>
              </w:rPr>
            </w:pPr>
            <w:r>
              <w:rPr>
                <w:rFonts w:ascii="Arial" w:cs="Arial" w:eastAsia="Arial" w:hAnsi="Arial"/>
                <w:sz w:val="16"/>
                <w:szCs w:val="16"/>
                <w:color w:val="auto"/>
              </w:rPr>
              <w:t>595</w:t>
            </w:r>
          </w:p>
        </w:tc>
        <w:tc>
          <w:tcPr>
            <w:tcW w:w="0" w:type="dxa"/>
            <w:vAlign w:val="bottom"/>
          </w:tcPr>
          <w:p>
            <w:pPr>
              <w:spacing w:after="0"/>
              <w:rPr>
                <w:sz w:val="1"/>
                <w:szCs w:val="1"/>
                <w:color w:val="auto"/>
              </w:rPr>
            </w:pPr>
          </w:p>
        </w:tc>
      </w:tr>
      <w:tr>
        <w:trPr>
          <w:trHeight w:val="209"/>
        </w:trPr>
        <w:tc>
          <w:tcPr>
            <w:tcW w:w="5280" w:type="dxa"/>
            <w:vAlign w:val="bottom"/>
            <w:tcBorders>
              <w:bottom w:val="single" w:sz="8" w:color="D4F1F5"/>
            </w:tcBorders>
            <w:gridSpan w:val="2"/>
          </w:tcPr>
          <w:p>
            <w:pPr>
              <w:ind w:left="20"/>
              <w:spacing w:after="0"/>
              <w:rPr>
                <w:sz w:val="20"/>
                <w:szCs w:val="20"/>
                <w:color w:val="auto"/>
              </w:rPr>
            </w:pPr>
            <w:r>
              <w:rPr>
                <w:rFonts w:ascii="Arial" w:cs="Arial" w:eastAsia="Arial" w:hAnsi="Arial"/>
                <w:sz w:val="16"/>
                <w:szCs w:val="16"/>
                <w:color w:val="auto"/>
              </w:rPr>
              <w:t>Receivables (payables), net</w:t>
            </w:r>
          </w:p>
        </w:tc>
        <w:tc>
          <w:tcPr>
            <w:tcW w:w="96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w:t>
            </w:r>
          </w:p>
        </w:tc>
        <w:tc>
          <w:tcPr>
            <w:tcW w:w="3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w:t>
            </w:r>
          </w:p>
        </w:tc>
        <w:tc>
          <w:tcPr>
            <w:tcW w:w="0" w:type="dxa"/>
            <w:vAlign w:val="bottom"/>
          </w:tcPr>
          <w:p>
            <w:pPr>
              <w:spacing w:after="0"/>
              <w:rPr>
                <w:sz w:val="1"/>
                <w:szCs w:val="1"/>
                <w:color w:val="auto"/>
              </w:rPr>
            </w:pPr>
          </w:p>
        </w:tc>
      </w:tr>
      <w:tr>
        <w:trPr>
          <w:trHeight w:val="217"/>
        </w:trPr>
        <w:tc>
          <w:tcPr>
            <w:tcW w:w="180" w:type="dxa"/>
            <w:vAlign w:val="bottom"/>
            <w:tcBorders>
              <w:bottom w:val="single" w:sz="8" w:color="auto"/>
            </w:tcBorders>
            <w:shd w:val="clear" w:color="auto" w:fill="D4F1F5"/>
          </w:tcPr>
          <w:p>
            <w:pPr>
              <w:spacing w:after="0"/>
              <w:rPr>
                <w:sz w:val="18"/>
                <w:szCs w:val="18"/>
                <w:color w:val="auto"/>
              </w:rPr>
            </w:pPr>
          </w:p>
        </w:tc>
        <w:tc>
          <w:tcPr>
            <w:tcW w:w="5100" w:type="dxa"/>
            <w:vAlign w:val="bottom"/>
            <w:tcBorders>
              <w:bottom w:val="single" w:sz="8" w:color="auto"/>
            </w:tcBorders>
            <w:shd w:val="clear" w:color="auto" w:fill="D4F1F5"/>
          </w:tcPr>
          <w:p>
            <w:pPr>
              <w:ind w:left="40"/>
              <w:spacing w:after="0"/>
              <w:rPr>
                <w:sz w:val="20"/>
                <w:szCs w:val="20"/>
                <w:color w:val="auto"/>
              </w:rPr>
            </w:pPr>
            <w:r>
              <w:rPr>
                <w:rFonts w:ascii="Arial" w:cs="Arial" w:eastAsia="Arial" w:hAnsi="Arial"/>
                <w:sz w:val="16"/>
                <w:szCs w:val="16"/>
                <w:color w:val="auto"/>
              </w:rPr>
              <w:t>Total</w:t>
            </w:r>
          </w:p>
        </w:tc>
        <w:tc>
          <w:tcPr>
            <w:tcW w:w="960" w:type="dxa"/>
            <w:vAlign w:val="bottom"/>
            <w:tcBorders>
              <w:bottom w:val="single" w:sz="8" w:color="auto"/>
            </w:tcBorders>
            <w:shd w:val="clear" w:color="auto" w:fill="D4F1F5"/>
          </w:tcPr>
          <w:p>
            <w:pPr>
              <w:jc w:val="right"/>
              <w:ind w:right="761"/>
              <w:spacing w:after="0"/>
              <w:rPr>
                <w:sz w:val="20"/>
                <w:szCs w:val="20"/>
                <w:color w:val="auto"/>
              </w:rPr>
            </w:pPr>
            <w:r>
              <w:rPr>
                <w:rFonts w:ascii="Arial" w:cs="Arial" w:eastAsia="Arial" w:hAnsi="Arial"/>
                <w:sz w:val="16"/>
                <w:szCs w:val="16"/>
                <w:color w:val="auto"/>
              </w:rPr>
              <w:t>$</w:t>
            </w:r>
          </w:p>
        </w:tc>
        <w:tc>
          <w:tcPr>
            <w:tcW w:w="500" w:type="dxa"/>
            <w:vAlign w:val="bottom"/>
            <w:tcBorders>
              <w:bottom w:val="single" w:sz="8" w:color="auto"/>
            </w:tcBorders>
            <w:shd w:val="clear" w:color="auto" w:fill="D4F1F5"/>
          </w:tcPr>
          <w:p>
            <w:pPr>
              <w:jc w:val="right"/>
              <w:ind w:right="39"/>
              <w:spacing w:after="0"/>
              <w:rPr>
                <w:sz w:val="20"/>
                <w:szCs w:val="20"/>
                <w:color w:val="auto"/>
              </w:rPr>
            </w:pPr>
            <w:r>
              <w:rPr>
                <w:rFonts w:ascii="Arial" w:cs="Arial" w:eastAsia="Arial" w:hAnsi="Arial"/>
                <w:sz w:val="16"/>
                <w:szCs w:val="16"/>
                <w:color w:val="auto"/>
              </w:rPr>
              <w:t>684</w:t>
            </w:r>
          </w:p>
        </w:tc>
        <w:tc>
          <w:tcPr>
            <w:tcW w:w="300" w:type="dxa"/>
            <w:vAlign w:val="bottom"/>
            <w:tcBorders>
              <w:bottom w:val="single" w:sz="8" w:color="auto"/>
            </w:tcBorders>
            <w:shd w:val="clear" w:color="auto" w:fill="D4F1F5"/>
          </w:tcPr>
          <w:p>
            <w:pPr>
              <w:jc w:val="right"/>
              <w:ind w:right="59"/>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shd w:val="clear" w:color="auto" w:fill="D4F1F5"/>
          </w:tcPr>
          <w:p>
            <w:pPr>
              <w:jc w:val="right"/>
              <w:ind w:right="1"/>
              <w:spacing w:after="0"/>
              <w:rPr>
                <w:sz w:val="20"/>
                <w:szCs w:val="20"/>
                <w:color w:val="auto"/>
              </w:rPr>
            </w:pPr>
            <w:r>
              <w:rPr>
                <w:rFonts w:ascii="Arial" w:cs="Arial" w:eastAsia="Arial" w:hAnsi="Arial"/>
                <w:sz w:val="16"/>
                <w:szCs w:val="16"/>
                <w:color w:val="auto"/>
              </w:rPr>
              <w:t>214</w:t>
            </w:r>
          </w:p>
        </w:tc>
        <w:tc>
          <w:tcPr>
            <w:tcW w:w="320" w:type="dxa"/>
            <w:vAlign w:val="bottom"/>
            <w:tcBorders>
              <w:bottom w:val="single" w:sz="8" w:color="auto"/>
            </w:tcBorders>
            <w:shd w:val="clear" w:color="auto" w:fill="D4F1F5"/>
          </w:tcPr>
          <w:p>
            <w:pPr>
              <w:jc w:val="right"/>
              <w:ind w:right="3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shd w:val="clear" w:color="auto" w:fill="D4F1F5"/>
          </w:tcPr>
          <w:p>
            <w:pPr>
              <w:jc w:val="right"/>
              <w:spacing w:after="0"/>
              <w:rPr>
                <w:sz w:val="20"/>
                <w:szCs w:val="20"/>
                <w:color w:val="auto"/>
              </w:rPr>
            </w:pPr>
            <w:r>
              <w:rPr>
                <w:rFonts w:ascii="Arial" w:cs="Arial" w:eastAsia="Arial" w:hAnsi="Arial"/>
                <w:sz w:val="16"/>
                <w:szCs w:val="16"/>
                <w:color w:val="auto"/>
              </w:rPr>
              <w:t>(14)</w:t>
            </w:r>
          </w:p>
        </w:tc>
        <w:tc>
          <w:tcPr>
            <w:tcW w:w="320" w:type="dxa"/>
            <w:vAlign w:val="bottom"/>
            <w:tcBorders>
              <w:bottom w:val="single" w:sz="8" w:color="auto"/>
            </w:tcBorders>
            <w:shd w:val="clear" w:color="auto" w:fill="D4F1F5"/>
          </w:tcPr>
          <w:p>
            <w:pPr>
              <w:jc w:val="right"/>
              <w:ind w:right="59"/>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shd w:val="clear" w:color="auto" w:fill="D4F1F5"/>
          </w:tcPr>
          <w:p>
            <w:pPr>
              <w:jc w:val="right"/>
              <w:spacing w:after="0"/>
              <w:rPr>
                <w:sz w:val="20"/>
                <w:szCs w:val="20"/>
                <w:color w:val="auto"/>
              </w:rPr>
            </w:pPr>
            <w:r>
              <w:rPr>
                <w:rFonts w:ascii="Arial" w:cs="Arial" w:eastAsia="Arial" w:hAnsi="Arial"/>
                <w:sz w:val="16"/>
                <w:szCs w:val="16"/>
                <w:color w:val="auto"/>
              </w:rPr>
              <w:t>884</w:t>
            </w:r>
          </w:p>
        </w:tc>
        <w:tc>
          <w:tcPr>
            <w:tcW w:w="0" w:type="dxa"/>
            <w:vAlign w:val="bottom"/>
          </w:tcPr>
          <w:p>
            <w:pPr>
              <w:spacing w:after="0"/>
              <w:rPr>
                <w:sz w:val="1"/>
                <w:szCs w:val="1"/>
                <w:color w:val="auto"/>
              </w:rPr>
            </w:pPr>
          </w:p>
        </w:tc>
      </w:tr>
      <w:tr>
        <w:trPr>
          <w:trHeight w:val="414"/>
        </w:trPr>
        <w:tc>
          <w:tcPr>
            <w:tcW w:w="180" w:type="dxa"/>
            <w:vAlign w:val="bottom"/>
            <w:tcBorders>
              <w:bottom w:val="single" w:sz="8" w:color="auto"/>
            </w:tcBorders>
          </w:tcPr>
          <w:p>
            <w:pPr>
              <w:spacing w:after="0"/>
              <w:rPr>
                <w:sz w:val="24"/>
                <w:szCs w:val="24"/>
                <w:color w:val="auto"/>
              </w:rPr>
            </w:pPr>
          </w:p>
        </w:tc>
        <w:tc>
          <w:tcPr>
            <w:tcW w:w="51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720" w:type="dxa"/>
            <w:vAlign w:val="bottom"/>
            <w:tcBorders>
              <w:bottom w:val="single" w:sz="8" w:color="auto"/>
            </w:tcBorders>
            <w:gridSpan w:val="3"/>
          </w:tcPr>
          <w:p>
            <w:pPr>
              <w:jc w:val="right"/>
              <w:ind w:right="780"/>
              <w:spacing w:after="0"/>
              <w:rPr>
                <w:sz w:val="20"/>
                <w:szCs w:val="20"/>
                <w:color w:val="auto"/>
              </w:rPr>
            </w:pPr>
            <w:r>
              <w:rPr>
                <w:rFonts w:ascii="Arial" w:cs="Arial" w:eastAsia="Arial" w:hAnsi="Arial"/>
                <w:sz w:val="14"/>
                <w:szCs w:val="14"/>
                <w:color w:val="auto"/>
              </w:rPr>
              <w:t>December 31, 2025</w:t>
            </w:r>
          </w:p>
        </w:tc>
        <w:tc>
          <w:tcPr>
            <w:tcW w:w="3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5280" w:type="dxa"/>
            <w:vAlign w:val="bottom"/>
            <w:gridSpan w:val="2"/>
            <w:shd w:val="clear" w:color="auto" w:fill="D4F1F5"/>
          </w:tcPr>
          <w:p>
            <w:pPr>
              <w:ind w:left="20"/>
              <w:spacing w:after="0"/>
              <w:rPr>
                <w:sz w:val="20"/>
                <w:szCs w:val="20"/>
                <w:color w:val="auto"/>
              </w:rPr>
            </w:pPr>
            <w:r>
              <w:rPr>
                <w:rFonts w:ascii="Arial" w:cs="Arial" w:eastAsia="Arial" w:hAnsi="Arial"/>
                <w:sz w:val="16"/>
                <w:szCs w:val="16"/>
                <w:color w:val="auto"/>
              </w:rPr>
              <w:t>Short-term investments, primarily cash equivalents</w:t>
            </w:r>
          </w:p>
        </w:tc>
        <w:tc>
          <w:tcPr>
            <w:tcW w:w="960" w:type="dxa"/>
            <w:vAlign w:val="bottom"/>
            <w:tcBorders>
              <w:bottom w:val="single" w:sz="8" w:color="auto"/>
            </w:tcBorders>
            <w:shd w:val="clear" w:color="auto" w:fill="D4F1F5"/>
          </w:tcPr>
          <w:p>
            <w:pPr>
              <w:jc w:val="right"/>
              <w:ind w:right="761"/>
              <w:spacing w:after="0"/>
              <w:rPr>
                <w:sz w:val="20"/>
                <w:szCs w:val="20"/>
                <w:color w:val="auto"/>
              </w:rPr>
            </w:pPr>
            <w:r>
              <w:rPr>
                <w:rFonts w:ascii="Arial" w:cs="Arial" w:eastAsia="Arial" w:hAnsi="Arial"/>
                <w:sz w:val="16"/>
                <w:szCs w:val="16"/>
                <w:color w:val="auto"/>
              </w:rPr>
              <w:t>$</w:t>
            </w:r>
          </w:p>
        </w:tc>
        <w:tc>
          <w:tcPr>
            <w:tcW w:w="500" w:type="dxa"/>
            <w:vAlign w:val="bottom"/>
            <w:tcBorders>
              <w:bottom w:val="single" w:sz="8" w:color="auto"/>
            </w:tcBorders>
            <w:shd w:val="clear" w:color="auto" w:fill="D4F1F5"/>
          </w:tcPr>
          <w:p>
            <w:pPr>
              <w:jc w:val="right"/>
              <w:ind w:right="39"/>
              <w:spacing w:after="0"/>
              <w:rPr>
                <w:sz w:val="20"/>
                <w:szCs w:val="20"/>
                <w:color w:val="auto"/>
              </w:rPr>
            </w:pPr>
            <w:r>
              <w:rPr>
                <w:rFonts w:ascii="Arial" w:cs="Arial" w:eastAsia="Arial" w:hAnsi="Arial"/>
                <w:sz w:val="16"/>
                <w:szCs w:val="16"/>
                <w:color w:val="auto"/>
              </w:rPr>
              <w:t>12</w:t>
            </w:r>
          </w:p>
        </w:tc>
        <w:tc>
          <w:tcPr>
            <w:tcW w:w="300" w:type="dxa"/>
            <w:vAlign w:val="bottom"/>
            <w:tcBorders>
              <w:bottom w:val="single" w:sz="8" w:color="auto"/>
            </w:tcBorders>
            <w:shd w:val="clear" w:color="auto" w:fill="D4F1F5"/>
          </w:tcPr>
          <w:p>
            <w:pPr>
              <w:jc w:val="right"/>
              <w:ind w:right="59"/>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shd w:val="clear" w:color="auto" w:fill="D4F1F5"/>
          </w:tcPr>
          <w:p>
            <w:pPr>
              <w:jc w:val="right"/>
              <w:ind w:right="1"/>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auto"/>
            </w:tcBorders>
            <w:shd w:val="clear" w:color="auto" w:fill="D4F1F5"/>
          </w:tcPr>
          <w:p>
            <w:pPr>
              <w:jc w:val="right"/>
              <w:ind w:right="3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shd w:val="clear" w:color="auto" w:fill="D4F1F5"/>
          </w:tcPr>
          <w:p>
            <w:pPr>
              <w:jc w:val="right"/>
              <w:ind w:right="4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auto"/>
            </w:tcBorders>
            <w:shd w:val="clear" w:color="auto" w:fill="D4F1F5"/>
          </w:tcPr>
          <w:p>
            <w:pPr>
              <w:jc w:val="right"/>
              <w:ind w:right="59"/>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shd w:val="clear" w:color="auto" w:fill="D4F1F5"/>
          </w:tcPr>
          <w:p>
            <w:pPr>
              <w:jc w:val="right"/>
              <w:spacing w:after="0"/>
              <w:rPr>
                <w:sz w:val="20"/>
                <w:szCs w:val="20"/>
                <w:color w:val="auto"/>
              </w:rPr>
            </w:pPr>
            <w:r>
              <w:rPr>
                <w:rFonts w:ascii="Arial" w:cs="Arial" w:eastAsia="Arial" w:hAnsi="Arial"/>
                <w:sz w:val="16"/>
                <w:szCs w:val="16"/>
                <w:color w:val="auto"/>
              </w:rPr>
              <w:t>12</w:t>
            </w:r>
          </w:p>
        </w:tc>
        <w:tc>
          <w:tcPr>
            <w:tcW w:w="0" w:type="dxa"/>
            <w:vAlign w:val="bottom"/>
          </w:tcPr>
          <w:p>
            <w:pPr>
              <w:spacing w:after="0"/>
              <w:rPr>
                <w:sz w:val="1"/>
                <w:szCs w:val="1"/>
                <w:color w:val="auto"/>
              </w:rPr>
            </w:pPr>
          </w:p>
        </w:tc>
      </w:tr>
      <w:tr>
        <w:trPr>
          <w:trHeight w:val="209"/>
        </w:trPr>
        <w:tc>
          <w:tcPr>
            <w:tcW w:w="5280" w:type="dxa"/>
            <w:vAlign w:val="bottom"/>
            <w:tcBorders>
              <w:bottom w:val="single" w:sz="8" w:color="D4F1F5"/>
            </w:tcBorders>
            <w:gridSpan w:val="2"/>
          </w:tcPr>
          <w:p>
            <w:pPr>
              <w:ind w:left="20"/>
              <w:spacing w:after="0"/>
              <w:rPr>
                <w:sz w:val="20"/>
                <w:szCs w:val="20"/>
                <w:color w:val="auto"/>
              </w:rPr>
            </w:pPr>
            <w:r>
              <w:rPr>
                <w:rFonts w:ascii="Arial" w:cs="Arial" w:eastAsia="Arial" w:hAnsi="Arial"/>
                <w:sz w:val="16"/>
                <w:szCs w:val="16"/>
                <w:color w:val="auto"/>
              </w:rPr>
              <w:t>Equity securities</w:t>
            </w:r>
          </w:p>
        </w:tc>
        <w:tc>
          <w:tcPr>
            <w:tcW w:w="96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69</w:t>
            </w:r>
          </w:p>
        </w:tc>
        <w:tc>
          <w:tcPr>
            <w:tcW w:w="3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221</w:t>
            </w:r>
          </w:p>
        </w:tc>
        <w:tc>
          <w:tcPr>
            <w:tcW w:w="3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w:t>
            </w:r>
          </w:p>
        </w:tc>
        <w:tc>
          <w:tcPr>
            <w:tcW w:w="3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288</w:t>
            </w:r>
          </w:p>
        </w:tc>
        <w:tc>
          <w:tcPr>
            <w:tcW w:w="0" w:type="dxa"/>
            <w:vAlign w:val="bottom"/>
          </w:tcPr>
          <w:p>
            <w:pPr>
              <w:spacing w:after="0"/>
              <w:rPr>
                <w:sz w:val="1"/>
                <w:szCs w:val="1"/>
                <w:color w:val="auto"/>
              </w:rPr>
            </w:pPr>
          </w:p>
        </w:tc>
      </w:tr>
      <w:tr>
        <w:trPr>
          <w:trHeight w:val="210"/>
        </w:trPr>
        <w:tc>
          <w:tcPr>
            <w:tcW w:w="5280" w:type="dxa"/>
            <w:vAlign w:val="bottom"/>
            <w:gridSpan w:val="2"/>
            <w:shd w:val="clear" w:color="auto" w:fill="D4F1F5"/>
          </w:tcPr>
          <w:p>
            <w:pPr>
              <w:ind w:left="20"/>
              <w:spacing w:after="0"/>
              <w:rPr>
                <w:sz w:val="20"/>
                <w:szCs w:val="20"/>
                <w:color w:val="auto"/>
              </w:rPr>
            </w:pPr>
            <w:r>
              <w:rPr>
                <w:rFonts w:ascii="Arial" w:cs="Arial" w:eastAsia="Arial" w:hAnsi="Arial"/>
                <w:sz w:val="16"/>
                <w:szCs w:val="16"/>
                <w:color w:val="auto"/>
              </w:rPr>
              <w:t>Debt securities:</w:t>
            </w:r>
          </w:p>
        </w:tc>
        <w:tc>
          <w:tcPr>
            <w:tcW w:w="960" w:type="dxa"/>
            <w:vAlign w:val="bottom"/>
            <w:shd w:val="clear" w:color="auto" w:fill="D4F1F5"/>
          </w:tcPr>
          <w:p>
            <w:pPr>
              <w:spacing w:after="0"/>
              <w:rPr>
                <w:sz w:val="18"/>
                <w:szCs w:val="18"/>
                <w:color w:val="auto"/>
              </w:rPr>
            </w:pPr>
          </w:p>
        </w:tc>
        <w:tc>
          <w:tcPr>
            <w:tcW w:w="500" w:type="dxa"/>
            <w:vAlign w:val="bottom"/>
            <w:shd w:val="clear" w:color="auto" w:fill="D4F1F5"/>
          </w:tcPr>
          <w:p>
            <w:pPr>
              <w:spacing w:after="0"/>
              <w:rPr>
                <w:sz w:val="18"/>
                <w:szCs w:val="18"/>
                <w:color w:val="auto"/>
              </w:rPr>
            </w:pPr>
          </w:p>
        </w:tc>
        <w:tc>
          <w:tcPr>
            <w:tcW w:w="300" w:type="dxa"/>
            <w:vAlign w:val="bottom"/>
            <w:shd w:val="clear" w:color="auto" w:fill="D4F1F5"/>
          </w:tcPr>
          <w:p>
            <w:pPr>
              <w:spacing w:after="0"/>
              <w:rPr>
                <w:sz w:val="18"/>
                <w:szCs w:val="18"/>
                <w:color w:val="auto"/>
              </w:rPr>
            </w:pPr>
          </w:p>
        </w:tc>
        <w:tc>
          <w:tcPr>
            <w:tcW w:w="1180" w:type="dxa"/>
            <w:vAlign w:val="bottom"/>
            <w:shd w:val="clear" w:color="auto" w:fill="D4F1F5"/>
          </w:tcPr>
          <w:p>
            <w:pPr>
              <w:spacing w:after="0"/>
              <w:rPr>
                <w:sz w:val="18"/>
                <w:szCs w:val="18"/>
                <w:color w:val="auto"/>
              </w:rPr>
            </w:pPr>
          </w:p>
        </w:tc>
        <w:tc>
          <w:tcPr>
            <w:tcW w:w="320" w:type="dxa"/>
            <w:vAlign w:val="bottom"/>
            <w:shd w:val="clear" w:color="auto" w:fill="D4F1F5"/>
          </w:tcPr>
          <w:p>
            <w:pPr>
              <w:spacing w:after="0"/>
              <w:rPr>
                <w:sz w:val="18"/>
                <w:szCs w:val="18"/>
                <w:color w:val="auto"/>
              </w:rPr>
            </w:pPr>
          </w:p>
        </w:tc>
        <w:tc>
          <w:tcPr>
            <w:tcW w:w="1220" w:type="dxa"/>
            <w:vAlign w:val="bottom"/>
            <w:shd w:val="clear" w:color="auto" w:fill="D4F1F5"/>
          </w:tcPr>
          <w:p>
            <w:pPr>
              <w:spacing w:after="0"/>
              <w:rPr>
                <w:sz w:val="18"/>
                <w:szCs w:val="18"/>
                <w:color w:val="auto"/>
              </w:rPr>
            </w:pPr>
          </w:p>
        </w:tc>
        <w:tc>
          <w:tcPr>
            <w:tcW w:w="320" w:type="dxa"/>
            <w:vAlign w:val="bottom"/>
            <w:shd w:val="clear" w:color="auto" w:fill="D4F1F5"/>
          </w:tcPr>
          <w:p>
            <w:pPr>
              <w:spacing w:after="0"/>
              <w:rPr>
                <w:sz w:val="18"/>
                <w:szCs w:val="18"/>
                <w:color w:val="auto"/>
              </w:rPr>
            </w:pPr>
          </w:p>
        </w:tc>
        <w:tc>
          <w:tcPr>
            <w:tcW w:w="1160" w:type="dxa"/>
            <w:vAlign w:val="bottom"/>
            <w:shd w:val="clear" w:color="auto" w:fill="D4F1F5"/>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180" w:type="dxa"/>
            <w:vAlign w:val="bottom"/>
          </w:tcPr>
          <w:p>
            <w:pPr>
              <w:spacing w:after="0"/>
              <w:rPr>
                <w:sz w:val="14"/>
                <w:szCs w:val="14"/>
                <w:color w:val="auto"/>
              </w:rPr>
            </w:pPr>
          </w:p>
        </w:tc>
        <w:tc>
          <w:tcPr>
            <w:tcW w:w="5100" w:type="dxa"/>
            <w:vAlign w:val="bottom"/>
          </w:tcPr>
          <w:p>
            <w:pPr>
              <w:ind w:left="40"/>
              <w:spacing w:after="0" w:line="162" w:lineRule="exact"/>
              <w:rPr>
                <w:sz w:val="20"/>
                <w:szCs w:val="20"/>
                <w:color w:val="auto"/>
              </w:rPr>
            </w:pPr>
            <w:r>
              <w:rPr>
                <w:rFonts w:ascii="Arial" w:cs="Arial" w:eastAsia="Arial" w:hAnsi="Arial"/>
                <w:sz w:val="16"/>
                <w:szCs w:val="16"/>
                <w:color w:val="auto"/>
              </w:rPr>
              <w:t>Debt securities issued by the U.S. Treasury and other U.S.</w:t>
            </w:r>
          </w:p>
        </w:tc>
        <w:tc>
          <w:tcPr>
            <w:tcW w:w="960" w:type="dxa"/>
            <w:vAlign w:val="bottom"/>
          </w:tcPr>
          <w:p>
            <w:pPr>
              <w:spacing w:after="0"/>
              <w:rPr>
                <w:sz w:val="14"/>
                <w:szCs w:val="14"/>
                <w:color w:val="auto"/>
              </w:rPr>
            </w:pPr>
          </w:p>
        </w:tc>
        <w:tc>
          <w:tcPr>
            <w:tcW w:w="500" w:type="dxa"/>
            <w:vAlign w:val="bottom"/>
            <w:vMerge w:val="restart"/>
          </w:tcPr>
          <w:p>
            <w:pPr>
              <w:jc w:val="right"/>
              <w:ind w:right="39"/>
              <w:spacing w:after="0"/>
              <w:rPr>
                <w:sz w:val="20"/>
                <w:szCs w:val="20"/>
                <w:color w:val="auto"/>
              </w:rPr>
            </w:pPr>
            <w:r>
              <w:rPr>
                <w:rFonts w:ascii="Arial" w:cs="Arial" w:eastAsia="Arial" w:hAnsi="Arial"/>
                <w:sz w:val="16"/>
                <w:szCs w:val="16"/>
                <w:color w:val="auto"/>
              </w:rPr>
              <w:t>46</w:t>
            </w:r>
          </w:p>
        </w:tc>
        <w:tc>
          <w:tcPr>
            <w:tcW w:w="300" w:type="dxa"/>
            <w:vAlign w:val="bottom"/>
          </w:tcPr>
          <w:p>
            <w:pPr>
              <w:spacing w:after="0"/>
              <w:rPr>
                <w:sz w:val="14"/>
                <w:szCs w:val="14"/>
                <w:color w:val="auto"/>
              </w:rPr>
            </w:pPr>
          </w:p>
        </w:tc>
        <w:tc>
          <w:tcPr>
            <w:tcW w:w="1180" w:type="dxa"/>
            <w:vAlign w:val="bottom"/>
            <w:vMerge w:val="restart"/>
          </w:tcPr>
          <w:p>
            <w:pPr>
              <w:jc w:val="right"/>
              <w:ind w:right="1"/>
              <w:spacing w:after="0"/>
              <w:rPr>
                <w:sz w:val="20"/>
                <w:szCs w:val="20"/>
                <w:color w:val="auto"/>
              </w:rPr>
            </w:pPr>
            <w:r>
              <w:rPr>
                <w:rFonts w:ascii="Arial" w:cs="Arial" w:eastAsia="Arial" w:hAnsi="Arial"/>
                <w:sz w:val="16"/>
                <w:szCs w:val="16"/>
                <w:color w:val="auto"/>
              </w:rPr>
              <w:t>1</w:t>
            </w:r>
          </w:p>
        </w:tc>
        <w:tc>
          <w:tcPr>
            <w:tcW w:w="320" w:type="dxa"/>
            <w:vAlign w:val="bottom"/>
          </w:tcPr>
          <w:p>
            <w:pPr>
              <w:spacing w:after="0"/>
              <w:rPr>
                <w:sz w:val="14"/>
                <w:szCs w:val="14"/>
                <w:color w:val="auto"/>
              </w:rPr>
            </w:pPr>
          </w:p>
        </w:tc>
        <w:tc>
          <w:tcPr>
            <w:tcW w:w="1220" w:type="dxa"/>
            <w:vAlign w:val="bottom"/>
            <w:vMerge w:val="restart"/>
          </w:tcPr>
          <w:p>
            <w:pPr>
              <w:jc w:val="right"/>
              <w:ind w:right="4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4"/>
                <w:szCs w:val="14"/>
                <w:color w:val="auto"/>
              </w:rPr>
            </w:pPr>
          </w:p>
        </w:tc>
        <w:tc>
          <w:tcPr>
            <w:tcW w:w="1160" w:type="dxa"/>
            <w:vAlign w:val="bottom"/>
            <w:vMerge w:val="restart"/>
          </w:tcPr>
          <w:p>
            <w:pPr>
              <w:jc w:val="right"/>
              <w:spacing w:after="0"/>
              <w:rPr>
                <w:sz w:val="20"/>
                <w:szCs w:val="20"/>
                <w:color w:val="auto"/>
              </w:rPr>
            </w:pPr>
            <w:r>
              <w:rPr>
                <w:rFonts w:ascii="Arial" w:cs="Arial" w:eastAsia="Arial" w:hAnsi="Arial"/>
                <w:sz w:val="16"/>
                <w:szCs w:val="16"/>
                <w:color w:val="auto"/>
              </w:rPr>
              <w:t>47</w:t>
            </w:r>
          </w:p>
        </w:tc>
        <w:tc>
          <w:tcPr>
            <w:tcW w:w="0" w:type="dxa"/>
            <w:vAlign w:val="bottom"/>
          </w:tcPr>
          <w:p>
            <w:pPr>
              <w:spacing w:after="0"/>
              <w:rPr>
                <w:sz w:val="1"/>
                <w:szCs w:val="1"/>
                <w:color w:val="auto"/>
              </w:rPr>
            </w:pPr>
          </w:p>
        </w:tc>
      </w:tr>
      <w:tr>
        <w:trPr>
          <w:trHeight w:val="215"/>
        </w:trPr>
        <w:tc>
          <w:tcPr>
            <w:tcW w:w="180" w:type="dxa"/>
            <w:vAlign w:val="bottom"/>
          </w:tcPr>
          <w:p>
            <w:pPr>
              <w:spacing w:after="0"/>
              <w:rPr>
                <w:sz w:val="18"/>
                <w:szCs w:val="18"/>
                <w:color w:val="auto"/>
              </w:rPr>
            </w:pPr>
          </w:p>
        </w:tc>
        <w:tc>
          <w:tcPr>
            <w:tcW w:w="5100" w:type="dxa"/>
            <w:vAlign w:val="bottom"/>
          </w:tcPr>
          <w:p>
            <w:pPr>
              <w:ind w:left="220"/>
              <w:spacing w:after="0"/>
              <w:rPr>
                <w:sz w:val="20"/>
                <w:szCs w:val="20"/>
                <w:color w:val="auto"/>
              </w:rPr>
            </w:pPr>
            <w:r>
              <w:rPr>
                <w:rFonts w:ascii="Arial" w:cs="Arial" w:eastAsia="Arial" w:hAnsi="Arial"/>
                <w:sz w:val="16"/>
                <w:szCs w:val="16"/>
                <w:color w:val="auto"/>
              </w:rPr>
              <w:t>government corporations and agencies</w:t>
            </w:r>
          </w:p>
        </w:tc>
        <w:tc>
          <w:tcPr>
            <w:tcW w:w="960" w:type="dxa"/>
            <w:vAlign w:val="bottom"/>
          </w:tcPr>
          <w:p>
            <w:pPr>
              <w:spacing w:after="0"/>
              <w:rPr>
                <w:sz w:val="18"/>
                <w:szCs w:val="18"/>
                <w:color w:val="auto"/>
              </w:rPr>
            </w:pPr>
          </w:p>
        </w:tc>
        <w:tc>
          <w:tcPr>
            <w:tcW w:w="500" w:type="dxa"/>
            <w:vAlign w:val="bottom"/>
            <w:vMerge w:val="continue"/>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vMerge w:val="continue"/>
          </w:tcPr>
          <w:p>
            <w:pPr>
              <w:spacing w:after="0"/>
              <w:rPr>
                <w:sz w:val="18"/>
                <w:szCs w:val="18"/>
                <w:color w:val="auto"/>
              </w:rPr>
            </w:pPr>
          </w:p>
        </w:tc>
        <w:tc>
          <w:tcPr>
            <w:tcW w:w="320" w:type="dxa"/>
            <w:vAlign w:val="bottom"/>
          </w:tcPr>
          <w:p>
            <w:pPr>
              <w:spacing w:after="0"/>
              <w:rPr>
                <w:sz w:val="18"/>
                <w:szCs w:val="18"/>
                <w:color w:val="auto"/>
              </w:rPr>
            </w:pPr>
          </w:p>
        </w:tc>
        <w:tc>
          <w:tcPr>
            <w:tcW w:w="1220" w:type="dxa"/>
            <w:vAlign w:val="bottom"/>
            <w:vMerge w:val="continue"/>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180" w:type="dxa"/>
            <w:vAlign w:val="bottom"/>
            <w:shd w:val="clear" w:color="auto" w:fill="D4F1F5"/>
          </w:tcPr>
          <w:p>
            <w:pPr>
              <w:spacing w:after="0"/>
              <w:rPr>
                <w:sz w:val="18"/>
                <w:szCs w:val="18"/>
                <w:color w:val="auto"/>
              </w:rPr>
            </w:pPr>
          </w:p>
        </w:tc>
        <w:tc>
          <w:tcPr>
            <w:tcW w:w="5100" w:type="dxa"/>
            <w:vAlign w:val="bottom"/>
            <w:shd w:val="clear" w:color="auto" w:fill="D4F1F5"/>
          </w:tcPr>
          <w:p>
            <w:pPr>
              <w:ind w:left="40"/>
              <w:spacing w:after="0"/>
              <w:rPr>
                <w:sz w:val="20"/>
                <w:szCs w:val="20"/>
                <w:color w:val="auto"/>
              </w:rPr>
            </w:pPr>
            <w:r>
              <w:rPr>
                <w:rFonts w:ascii="Arial" w:cs="Arial" w:eastAsia="Arial" w:hAnsi="Arial"/>
                <w:sz w:val="16"/>
                <w:szCs w:val="16"/>
                <w:color w:val="auto"/>
              </w:rPr>
              <w:t>Municipal bonds</w:t>
            </w:r>
          </w:p>
        </w:tc>
        <w:tc>
          <w:tcPr>
            <w:tcW w:w="960" w:type="dxa"/>
            <w:vAlign w:val="bottom"/>
            <w:shd w:val="clear" w:color="auto" w:fill="D4F1F5"/>
          </w:tcPr>
          <w:p>
            <w:pPr>
              <w:spacing w:after="0"/>
              <w:rPr>
                <w:sz w:val="18"/>
                <w:szCs w:val="18"/>
                <w:color w:val="auto"/>
              </w:rPr>
            </w:pPr>
          </w:p>
        </w:tc>
        <w:tc>
          <w:tcPr>
            <w:tcW w:w="500" w:type="dxa"/>
            <w:vAlign w:val="bottom"/>
            <w:shd w:val="clear" w:color="auto" w:fill="D4F1F5"/>
          </w:tcPr>
          <w:p>
            <w:pPr>
              <w:jc w:val="right"/>
              <w:ind w:right="39"/>
              <w:spacing w:after="0"/>
              <w:rPr>
                <w:sz w:val="20"/>
                <w:szCs w:val="20"/>
                <w:color w:val="auto"/>
              </w:rPr>
            </w:pPr>
            <w:r>
              <w:rPr>
                <w:rFonts w:ascii="Arial" w:cs="Arial" w:eastAsia="Arial" w:hAnsi="Arial"/>
                <w:sz w:val="16"/>
                <w:szCs w:val="16"/>
                <w:color w:val="auto"/>
              </w:rPr>
              <w:t>301</w:t>
            </w:r>
          </w:p>
        </w:tc>
        <w:tc>
          <w:tcPr>
            <w:tcW w:w="300" w:type="dxa"/>
            <w:vAlign w:val="bottom"/>
            <w:shd w:val="clear" w:color="auto" w:fill="D4F1F5"/>
          </w:tcPr>
          <w:p>
            <w:pPr>
              <w:spacing w:after="0"/>
              <w:rPr>
                <w:sz w:val="18"/>
                <w:szCs w:val="18"/>
                <w:color w:val="auto"/>
              </w:rPr>
            </w:pPr>
          </w:p>
        </w:tc>
        <w:tc>
          <w:tcPr>
            <w:tcW w:w="1180" w:type="dxa"/>
            <w:vAlign w:val="bottom"/>
            <w:shd w:val="clear" w:color="auto" w:fill="D4F1F5"/>
          </w:tcPr>
          <w:p>
            <w:pPr>
              <w:jc w:val="right"/>
              <w:ind w:right="1"/>
              <w:spacing w:after="0"/>
              <w:rPr>
                <w:sz w:val="20"/>
                <w:szCs w:val="20"/>
                <w:color w:val="auto"/>
              </w:rPr>
            </w:pPr>
            <w:r>
              <w:rPr>
                <w:rFonts w:ascii="Arial" w:cs="Arial" w:eastAsia="Arial" w:hAnsi="Arial"/>
                <w:sz w:val="16"/>
                <w:szCs w:val="16"/>
                <w:color w:val="auto"/>
              </w:rPr>
              <w:t>4</w:t>
            </w:r>
          </w:p>
        </w:tc>
        <w:tc>
          <w:tcPr>
            <w:tcW w:w="320" w:type="dxa"/>
            <w:vAlign w:val="bottom"/>
            <w:shd w:val="clear" w:color="auto" w:fill="D4F1F5"/>
          </w:tcPr>
          <w:p>
            <w:pPr>
              <w:spacing w:after="0"/>
              <w:rPr>
                <w:sz w:val="18"/>
                <w:szCs w:val="18"/>
                <w:color w:val="auto"/>
              </w:rPr>
            </w:pPr>
          </w:p>
        </w:tc>
        <w:tc>
          <w:tcPr>
            <w:tcW w:w="1220" w:type="dxa"/>
            <w:vAlign w:val="bottom"/>
            <w:shd w:val="clear" w:color="auto" w:fill="D4F1F5"/>
          </w:tcPr>
          <w:p>
            <w:pPr>
              <w:jc w:val="right"/>
              <w:spacing w:after="0"/>
              <w:rPr>
                <w:sz w:val="20"/>
                <w:szCs w:val="20"/>
                <w:color w:val="auto"/>
              </w:rPr>
            </w:pPr>
            <w:r>
              <w:rPr>
                <w:rFonts w:ascii="Arial" w:cs="Arial" w:eastAsia="Arial" w:hAnsi="Arial"/>
                <w:sz w:val="16"/>
                <w:szCs w:val="16"/>
                <w:color w:val="auto"/>
              </w:rPr>
              <w:t>(5)</w:t>
            </w:r>
          </w:p>
        </w:tc>
        <w:tc>
          <w:tcPr>
            <w:tcW w:w="320" w:type="dxa"/>
            <w:vAlign w:val="bottom"/>
            <w:shd w:val="clear" w:color="auto" w:fill="D4F1F5"/>
          </w:tcPr>
          <w:p>
            <w:pPr>
              <w:spacing w:after="0"/>
              <w:rPr>
                <w:sz w:val="18"/>
                <w:szCs w:val="18"/>
                <w:color w:val="auto"/>
              </w:rPr>
            </w:pPr>
          </w:p>
        </w:tc>
        <w:tc>
          <w:tcPr>
            <w:tcW w:w="1160" w:type="dxa"/>
            <w:vAlign w:val="bottom"/>
            <w:shd w:val="clear" w:color="auto" w:fill="D4F1F5"/>
          </w:tcPr>
          <w:p>
            <w:pPr>
              <w:jc w:val="right"/>
              <w:spacing w:after="0"/>
              <w:rPr>
                <w:sz w:val="20"/>
                <w:szCs w:val="20"/>
                <w:color w:val="auto"/>
              </w:rPr>
            </w:pPr>
            <w:r>
              <w:rPr>
                <w:rFonts w:ascii="Arial" w:cs="Arial" w:eastAsia="Arial" w:hAnsi="Arial"/>
                <w:sz w:val="16"/>
                <w:szCs w:val="16"/>
                <w:color w:val="auto"/>
              </w:rPr>
              <w:t>300</w:t>
            </w:r>
          </w:p>
        </w:tc>
        <w:tc>
          <w:tcPr>
            <w:tcW w:w="0" w:type="dxa"/>
            <w:vAlign w:val="bottom"/>
          </w:tcPr>
          <w:p>
            <w:pPr>
              <w:spacing w:after="0"/>
              <w:rPr>
                <w:sz w:val="1"/>
                <w:szCs w:val="1"/>
                <w:color w:val="auto"/>
              </w:rPr>
            </w:pPr>
          </w:p>
        </w:tc>
      </w:tr>
      <w:tr>
        <w:trPr>
          <w:trHeight w:val="215"/>
        </w:trPr>
        <w:tc>
          <w:tcPr>
            <w:tcW w:w="180" w:type="dxa"/>
            <w:vAlign w:val="bottom"/>
            <w:tcBorders>
              <w:bottom w:val="single" w:sz="8" w:color="D4F1F5"/>
            </w:tcBorders>
          </w:tcPr>
          <w:p>
            <w:pPr>
              <w:spacing w:after="0"/>
              <w:rPr>
                <w:sz w:val="18"/>
                <w:szCs w:val="18"/>
                <w:color w:val="auto"/>
              </w:rPr>
            </w:pPr>
          </w:p>
        </w:tc>
        <w:tc>
          <w:tcPr>
            <w:tcW w:w="5100" w:type="dxa"/>
            <w:vAlign w:val="bottom"/>
            <w:tcBorders>
              <w:bottom w:val="single" w:sz="8" w:color="D4F1F5"/>
            </w:tcBorders>
          </w:tcPr>
          <w:p>
            <w:pPr>
              <w:ind w:left="40"/>
              <w:spacing w:after="0"/>
              <w:rPr>
                <w:sz w:val="20"/>
                <w:szCs w:val="20"/>
                <w:color w:val="auto"/>
              </w:rPr>
            </w:pPr>
            <w:r>
              <w:rPr>
                <w:rFonts w:ascii="Arial" w:cs="Arial" w:eastAsia="Arial" w:hAnsi="Arial"/>
                <w:sz w:val="16"/>
                <w:szCs w:val="16"/>
                <w:color w:val="auto"/>
              </w:rPr>
              <w:t>Other securities</w:t>
            </w:r>
          </w:p>
        </w:tc>
        <w:tc>
          <w:tcPr>
            <w:tcW w:w="96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253</w:t>
            </w:r>
          </w:p>
        </w:tc>
        <w:tc>
          <w:tcPr>
            <w:tcW w:w="3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5</w:t>
            </w:r>
          </w:p>
        </w:tc>
        <w:tc>
          <w:tcPr>
            <w:tcW w:w="3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w:t>
            </w:r>
          </w:p>
        </w:tc>
        <w:tc>
          <w:tcPr>
            <w:tcW w:w="3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255</w:t>
            </w:r>
          </w:p>
        </w:tc>
        <w:tc>
          <w:tcPr>
            <w:tcW w:w="0" w:type="dxa"/>
            <w:vAlign w:val="bottom"/>
          </w:tcPr>
          <w:p>
            <w:pPr>
              <w:spacing w:after="0"/>
              <w:rPr>
                <w:sz w:val="1"/>
                <w:szCs w:val="1"/>
                <w:color w:val="auto"/>
              </w:rPr>
            </w:pPr>
          </w:p>
        </w:tc>
      </w:tr>
      <w:tr>
        <w:trPr>
          <w:trHeight w:val="210"/>
        </w:trPr>
        <w:tc>
          <w:tcPr>
            <w:tcW w:w="5280" w:type="dxa"/>
            <w:vAlign w:val="bottom"/>
            <w:gridSpan w:val="2"/>
            <w:shd w:val="clear" w:color="auto" w:fill="D4F1F5"/>
          </w:tcPr>
          <w:p>
            <w:pPr>
              <w:ind w:left="20"/>
              <w:spacing w:after="0"/>
              <w:rPr>
                <w:sz w:val="20"/>
                <w:szCs w:val="20"/>
                <w:color w:val="auto"/>
              </w:rPr>
            </w:pPr>
            <w:r>
              <w:rPr>
                <w:rFonts w:ascii="Arial" w:cs="Arial" w:eastAsia="Arial" w:hAnsi="Arial"/>
                <w:sz w:val="16"/>
                <w:szCs w:val="16"/>
                <w:color w:val="auto"/>
              </w:rPr>
              <w:t>Total debt securities</w:t>
            </w:r>
          </w:p>
        </w:tc>
        <w:tc>
          <w:tcPr>
            <w:tcW w:w="960" w:type="dxa"/>
            <w:vAlign w:val="bottom"/>
            <w:tcBorders>
              <w:bottom w:val="single" w:sz="8" w:color="auto"/>
            </w:tcBorders>
            <w:shd w:val="clear" w:color="auto" w:fill="D4F1F5"/>
          </w:tcPr>
          <w:p>
            <w:pPr>
              <w:spacing w:after="0"/>
              <w:rPr>
                <w:sz w:val="18"/>
                <w:szCs w:val="18"/>
                <w:color w:val="auto"/>
              </w:rPr>
            </w:pPr>
          </w:p>
        </w:tc>
        <w:tc>
          <w:tcPr>
            <w:tcW w:w="500" w:type="dxa"/>
            <w:vAlign w:val="bottom"/>
            <w:tcBorders>
              <w:bottom w:val="single" w:sz="8" w:color="auto"/>
            </w:tcBorders>
            <w:shd w:val="clear" w:color="auto" w:fill="D4F1F5"/>
          </w:tcPr>
          <w:p>
            <w:pPr>
              <w:jc w:val="right"/>
              <w:ind w:right="39"/>
              <w:spacing w:after="0"/>
              <w:rPr>
                <w:sz w:val="20"/>
                <w:szCs w:val="20"/>
                <w:color w:val="auto"/>
              </w:rPr>
            </w:pPr>
            <w:r>
              <w:rPr>
                <w:rFonts w:ascii="Arial" w:cs="Arial" w:eastAsia="Arial" w:hAnsi="Arial"/>
                <w:sz w:val="16"/>
                <w:szCs w:val="16"/>
                <w:color w:val="auto"/>
              </w:rPr>
              <w:t>600</w:t>
            </w:r>
          </w:p>
        </w:tc>
        <w:tc>
          <w:tcPr>
            <w:tcW w:w="300" w:type="dxa"/>
            <w:vAlign w:val="bottom"/>
            <w:tcBorders>
              <w:bottom w:val="single" w:sz="8" w:color="auto"/>
            </w:tcBorders>
            <w:shd w:val="clear" w:color="auto" w:fill="D4F1F5"/>
          </w:tcPr>
          <w:p>
            <w:pPr>
              <w:spacing w:after="0"/>
              <w:rPr>
                <w:sz w:val="18"/>
                <w:szCs w:val="18"/>
                <w:color w:val="auto"/>
              </w:rPr>
            </w:pPr>
          </w:p>
        </w:tc>
        <w:tc>
          <w:tcPr>
            <w:tcW w:w="1180" w:type="dxa"/>
            <w:vAlign w:val="bottom"/>
            <w:tcBorders>
              <w:bottom w:val="single" w:sz="8" w:color="auto"/>
            </w:tcBorders>
            <w:shd w:val="clear" w:color="auto" w:fill="D4F1F5"/>
          </w:tcPr>
          <w:p>
            <w:pPr>
              <w:jc w:val="right"/>
              <w:ind w:right="1"/>
              <w:spacing w:after="0"/>
              <w:rPr>
                <w:sz w:val="20"/>
                <w:szCs w:val="20"/>
                <w:color w:val="auto"/>
              </w:rPr>
            </w:pPr>
            <w:r>
              <w:rPr>
                <w:rFonts w:ascii="Arial" w:cs="Arial" w:eastAsia="Arial" w:hAnsi="Arial"/>
                <w:sz w:val="16"/>
                <w:szCs w:val="16"/>
                <w:color w:val="auto"/>
              </w:rPr>
              <w:t>10</w:t>
            </w:r>
          </w:p>
        </w:tc>
        <w:tc>
          <w:tcPr>
            <w:tcW w:w="320" w:type="dxa"/>
            <w:vAlign w:val="bottom"/>
            <w:tcBorders>
              <w:bottom w:val="single" w:sz="8" w:color="auto"/>
            </w:tcBorders>
            <w:shd w:val="clear" w:color="auto" w:fill="D4F1F5"/>
          </w:tcPr>
          <w:p>
            <w:pPr>
              <w:spacing w:after="0"/>
              <w:rPr>
                <w:sz w:val="18"/>
                <w:szCs w:val="18"/>
                <w:color w:val="auto"/>
              </w:rPr>
            </w:pPr>
          </w:p>
        </w:tc>
        <w:tc>
          <w:tcPr>
            <w:tcW w:w="1220" w:type="dxa"/>
            <w:vAlign w:val="bottom"/>
            <w:tcBorders>
              <w:bottom w:val="single" w:sz="8" w:color="auto"/>
            </w:tcBorders>
            <w:shd w:val="clear" w:color="auto" w:fill="D4F1F5"/>
          </w:tcPr>
          <w:p>
            <w:pPr>
              <w:jc w:val="right"/>
              <w:spacing w:after="0"/>
              <w:rPr>
                <w:sz w:val="20"/>
                <w:szCs w:val="20"/>
                <w:color w:val="auto"/>
              </w:rPr>
            </w:pPr>
            <w:r>
              <w:rPr>
                <w:rFonts w:ascii="Arial" w:cs="Arial" w:eastAsia="Arial" w:hAnsi="Arial"/>
                <w:sz w:val="16"/>
                <w:szCs w:val="16"/>
                <w:color w:val="auto"/>
              </w:rPr>
              <w:t>(8)</w:t>
            </w:r>
          </w:p>
        </w:tc>
        <w:tc>
          <w:tcPr>
            <w:tcW w:w="320" w:type="dxa"/>
            <w:vAlign w:val="bottom"/>
            <w:tcBorders>
              <w:bottom w:val="single" w:sz="8" w:color="auto"/>
            </w:tcBorders>
            <w:shd w:val="clear" w:color="auto" w:fill="D4F1F5"/>
          </w:tcPr>
          <w:p>
            <w:pPr>
              <w:spacing w:after="0"/>
              <w:rPr>
                <w:sz w:val="18"/>
                <w:szCs w:val="18"/>
                <w:color w:val="auto"/>
              </w:rPr>
            </w:pPr>
          </w:p>
        </w:tc>
        <w:tc>
          <w:tcPr>
            <w:tcW w:w="1160" w:type="dxa"/>
            <w:vAlign w:val="bottom"/>
            <w:tcBorders>
              <w:bottom w:val="single" w:sz="8" w:color="auto"/>
            </w:tcBorders>
            <w:shd w:val="clear" w:color="auto" w:fill="D4F1F5"/>
          </w:tcPr>
          <w:p>
            <w:pPr>
              <w:jc w:val="right"/>
              <w:spacing w:after="0"/>
              <w:rPr>
                <w:sz w:val="20"/>
                <w:szCs w:val="20"/>
                <w:color w:val="auto"/>
              </w:rPr>
            </w:pPr>
            <w:r>
              <w:rPr>
                <w:rFonts w:ascii="Arial" w:cs="Arial" w:eastAsia="Arial" w:hAnsi="Arial"/>
                <w:sz w:val="16"/>
                <w:szCs w:val="16"/>
                <w:color w:val="auto"/>
              </w:rPr>
              <w:t>602</w:t>
            </w:r>
          </w:p>
        </w:tc>
        <w:tc>
          <w:tcPr>
            <w:tcW w:w="0" w:type="dxa"/>
            <w:vAlign w:val="bottom"/>
          </w:tcPr>
          <w:p>
            <w:pPr>
              <w:spacing w:after="0"/>
              <w:rPr>
                <w:sz w:val="1"/>
                <w:szCs w:val="1"/>
                <w:color w:val="auto"/>
              </w:rPr>
            </w:pPr>
          </w:p>
        </w:tc>
      </w:tr>
      <w:tr>
        <w:trPr>
          <w:trHeight w:val="209"/>
        </w:trPr>
        <w:tc>
          <w:tcPr>
            <w:tcW w:w="5280" w:type="dxa"/>
            <w:vAlign w:val="bottom"/>
            <w:tcBorders>
              <w:bottom w:val="single" w:sz="8" w:color="D4F1F5"/>
            </w:tcBorders>
            <w:gridSpan w:val="2"/>
          </w:tcPr>
          <w:p>
            <w:pPr>
              <w:ind w:left="20"/>
              <w:spacing w:after="0"/>
              <w:rPr>
                <w:sz w:val="20"/>
                <w:szCs w:val="20"/>
                <w:color w:val="auto"/>
              </w:rPr>
            </w:pPr>
            <w:r>
              <w:rPr>
                <w:rFonts w:ascii="Arial" w:cs="Arial" w:eastAsia="Arial" w:hAnsi="Arial"/>
                <w:sz w:val="16"/>
                <w:szCs w:val="16"/>
                <w:color w:val="auto"/>
              </w:rPr>
              <w:t>Receivables (payables), net</w:t>
            </w:r>
          </w:p>
        </w:tc>
        <w:tc>
          <w:tcPr>
            <w:tcW w:w="96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w:t>
            </w:r>
          </w:p>
        </w:tc>
        <w:tc>
          <w:tcPr>
            <w:tcW w:w="3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17"/>
        </w:trPr>
        <w:tc>
          <w:tcPr>
            <w:tcW w:w="180" w:type="dxa"/>
            <w:vAlign w:val="bottom"/>
            <w:tcBorders>
              <w:bottom w:val="single" w:sz="8" w:color="auto"/>
            </w:tcBorders>
            <w:shd w:val="clear" w:color="auto" w:fill="D4F1F5"/>
          </w:tcPr>
          <w:p>
            <w:pPr>
              <w:spacing w:after="0"/>
              <w:rPr>
                <w:sz w:val="18"/>
                <w:szCs w:val="18"/>
                <w:color w:val="auto"/>
              </w:rPr>
            </w:pPr>
          </w:p>
        </w:tc>
        <w:tc>
          <w:tcPr>
            <w:tcW w:w="5100" w:type="dxa"/>
            <w:vAlign w:val="bottom"/>
            <w:tcBorders>
              <w:bottom w:val="single" w:sz="8" w:color="auto"/>
            </w:tcBorders>
            <w:shd w:val="clear" w:color="auto" w:fill="D4F1F5"/>
          </w:tcPr>
          <w:p>
            <w:pPr>
              <w:ind w:left="40"/>
              <w:spacing w:after="0"/>
              <w:rPr>
                <w:sz w:val="20"/>
                <w:szCs w:val="20"/>
                <w:color w:val="auto"/>
              </w:rPr>
            </w:pPr>
            <w:r>
              <w:rPr>
                <w:rFonts w:ascii="Arial" w:cs="Arial" w:eastAsia="Arial" w:hAnsi="Arial"/>
                <w:sz w:val="16"/>
                <w:szCs w:val="16"/>
                <w:color w:val="auto"/>
              </w:rPr>
              <w:t>Total</w:t>
            </w:r>
          </w:p>
        </w:tc>
        <w:tc>
          <w:tcPr>
            <w:tcW w:w="960" w:type="dxa"/>
            <w:vAlign w:val="bottom"/>
            <w:tcBorders>
              <w:bottom w:val="single" w:sz="8" w:color="auto"/>
            </w:tcBorders>
            <w:shd w:val="clear" w:color="auto" w:fill="D4F1F5"/>
          </w:tcPr>
          <w:p>
            <w:pPr>
              <w:jc w:val="right"/>
              <w:ind w:right="761"/>
              <w:spacing w:after="0"/>
              <w:rPr>
                <w:sz w:val="20"/>
                <w:szCs w:val="20"/>
                <w:color w:val="auto"/>
              </w:rPr>
            </w:pPr>
            <w:r>
              <w:rPr>
                <w:rFonts w:ascii="Arial" w:cs="Arial" w:eastAsia="Arial" w:hAnsi="Arial"/>
                <w:sz w:val="16"/>
                <w:szCs w:val="16"/>
                <w:color w:val="auto"/>
              </w:rPr>
              <w:t>$</w:t>
            </w:r>
          </w:p>
        </w:tc>
        <w:tc>
          <w:tcPr>
            <w:tcW w:w="500" w:type="dxa"/>
            <w:vAlign w:val="bottom"/>
            <w:tcBorders>
              <w:bottom w:val="single" w:sz="8" w:color="auto"/>
            </w:tcBorders>
            <w:shd w:val="clear" w:color="auto" w:fill="D4F1F5"/>
          </w:tcPr>
          <w:p>
            <w:pPr>
              <w:jc w:val="right"/>
              <w:ind w:right="39"/>
              <w:spacing w:after="0"/>
              <w:rPr>
                <w:sz w:val="20"/>
                <w:szCs w:val="20"/>
                <w:color w:val="auto"/>
              </w:rPr>
            </w:pPr>
            <w:r>
              <w:rPr>
                <w:rFonts w:ascii="Arial" w:cs="Arial" w:eastAsia="Arial" w:hAnsi="Arial"/>
                <w:sz w:val="16"/>
                <w:szCs w:val="16"/>
                <w:color w:val="auto"/>
              </w:rPr>
              <w:t>678</w:t>
            </w:r>
          </w:p>
        </w:tc>
        <w:tc>
          <w:tcPr>
            <w:tcW w:w="300" w:type="dxa"/>
            <w:vAlign w:val="bottom"/>
            <w:tcBorders>
              <w:bottom w:val="single" w:sz="8" w:color="auto"/>
            </w:tcBorders>
            <w:shd w:val="clear" w:color="auto" w:fill="D4F1F5"/>
          </w:tcPr>
          <w:p>
            <w:pPr>
              <w:jc w:val="right"/>
              <w:ind w:right="59"/>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shd w:val="clear" w:color="auto" w:fill="D4F1F5"/>
          </w:tcPr>
          <w:p>
            <w:pPr>
              <w:jc w:val="right"/>
              <w:ind w:right="1"/>
              <w:spacing w:after="0"/>
              <w:rPr>
                <w:sz w:val="20"/>
                <w:szCs w:val="20"/>
                <w:color w:val="auto"/>
              </w:rPr>
            </w:pPr>
            <w:r>
              <w:rPr>
                <w:rFonts w:ascii="Arial" w:cs="Arial" w:eastAsia="Arial" w:hAnsi="Arial"/>
                <w:sz w:val="16"/>
                <w:szCs w:val="16"/>
                <w:color w:val="auto"/>
              </w:rPr>
              <w:t>231</w:t>
            </w:r>
          </w:p>
        </w:tc>
        <w:tc>
          <w:tcPr>
            <w:tcW w:w="320" w:type="dxa"/>
            <w:vAlign w:val="bottom"/>
            <w:tcBorders>
              <w:bottom w:val="single" w:sz="8" w:color="auto"/>
            </w:tcBorders>
            <w:shd w:val="clear" w:color="auto" w:fill="D4F1F5"/>
          </w:tcPr>
          <w:p>
            <w:pPr>
              <w:jc w:val="right"/>
              <w:ind w:right="3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shd w:val="clear" w:color="auto" w:fill="D4F1F5"/>
          </w:tcPr>
          <w:p>
            <w:pPr>
              <w:jc w:val="right"/>
              <w:spacing w:after="0"/>
              <w:rPr>
                <w:sz w:val="20"/>
                <w:szCs w:val="20"/>
                <w:color w:val="auto"/>
              </w:rPr>
            </w:pPr>
            <w:r>
              <w:rPr>
                <w:rFonts w:ascii="Arial" w:cs="Arial" w:eastAsia="Arial" w:hAnsi="Arial"/>
                <w:sz w:val="16"/>
                <w:szCs w:val="16"/>
                <w:color w:val="auto"/>
              </w:rPr>
              <w:t>(10)</w:t>
            </w:r>
          </w:p>
        </w:tc>
        <w:tc>
          <w:tcPr>
            <w:tcW w:w="320" w:type="dxa"/>
            <w:vAlign w:val="bottom"/>
            <w:tcBorders>
              <w:bottom w:val="single" w:sz="8" w:color="auto"/>
            </w:tcBorders>
            <w:shd w:val="clear" w:color="auto" w:fill="D4F1F5"/>
          </w:tcPr>
          <w:p>
            <w:pPr>
              <w:jc w:val="right"/>
              <w:ind w:right="59"/>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shd w:val="clear" w:color="auto" w:fill="D4F1F5"/>
          </w:tcPr>
          <w:p>
            <w:pPr>
              <w:jc w:val="right"/>
              <w:spacing w:after="0"/>
              <w:rPr>
                <w:sz w:val="20"/>
                <w:szCs w:val="20"/>
                <w:color w:val="auto"/>
              </w:rPr>
            </w:pPr>
            <w:r>
              <w:rPr>
                <w:rFonts w:ascii="Arial" w:cs="Arial" w:eastAsia="Arial" w:hAnsi="Arial"/>
                <w:sz w:val="16"/>
                <w:szCs w:val="16"/>
                <w:color w:val="auto"/>
              </w:rPr>
              <w:t>899</w:t>
            </w:r>
          </w:p>
        </w:tc>
        <w:tc>
          <w:tcPr>
            <w:tcW w:w="0" w:type="dxa"/>
            <w:vAlign w:val="bottom"/>
          </w:tcPr>
          <w:p>
            <w:pPr>
              <w:spacing w:after="0"/>
              <w:rPr>
                <w:sz w:val="1"/>
                <w:szCs w:val="1"/>
                <w:color w:val="auto"/>
              </w:rPr>
            </w:pPr>
          </w:p>
        </w:tc>
      </w:tr>
      <w:tr>
        <w:trPr>
          <w:trHeight w:val="277"/>
        </w:trPr>
        <w:tc>
          <w:tcPr>
            <w:tcW w:w="180" w:type="dxa"/>
            <w:vAlign w:val="bottom"/>
          </w:tcPr>
          <w:p>
            <w:pPr>
              <w:spacing w:after="0"/>
              <w:rPr>
                <w:sz w:val="20"/>
                <w:szCs w:val="20"/>
                <w:color w:val="auto"/>
              </w:rPr>
            </w:pPr>
            <w:r>
              <w:rPr>
                <w:rFonts w:ascii="Arial" w:cs="Arial" w:eastAsia="Arial" w:hAnsi="Arial"/>
                <w:sz w:val="11"/>
                <w:szCs w:val="11"/>
                <w:i w:val="1"/>
                <w:iCs w:val="1"/>
                <w:color w:val="auto"/>
              </w:rPr>
              <w:t>(1)</w:t>
            </w:r>
          </w:p>
        </w:tc>
        <w:tc>
          <w:tcPr>
            <w:tcW w:w="5100" w:type="dxa"/>
            <w:vAlign w:val="bottom"/>
            <w:vMerge w:val="restart"/>
          </w:tcPr>
          <w:p>
            <w:pPr>
              <w:ind w:left="120"/>
              <w:spacing w:after="0"/>
              <w:rPr>
                <w:sz w:val="20"/>
                <w:szCs w:val="20"/>
                <w:color w:val="auto"/>
              </w:rPr>
            </w:pPr>
            <w:r>
              <w:rPr>
                <w:rFonts w:ascii="Arial" w:cs="Arial" w:eastAsia="Arial" w:hAnsi="Arial"/>
                <w:sz w:val="14"/>
                <w:szCs w:val="14"/>
                <w:i w:val="1"/>
                <w:iCs w:val="1"/>
                <w:color w:val="auto"/>
              </w:rPr>
              <w:t>Maturity dates are 2027</w:t>
            </w:r>
            <w:r>
              <w:rPr>
                <w:rFonts w:ascii="Arial" w:cs="Arial" w:eastAsia="Arial" w:hAnsi="Arial"/>
                <w:sz w:val="16"/>
                <w:szCs w:val="16"/>
                <w:color w:val="auto"/>
              </w:rPr>
              <w:t>-</w:t>
            </w:r>
            <w:r>
              <w:rPr>
                <w:rFonts w:ascii="Arial" w:cs="Arial" w:eastAsia="Arial" w:hAnsi="Arial"/>
                <w:sz w:val="14"/>
                <w:szCs w:val="14"/>
                <w:i w:val="1"/>
                <w:iCs w:val="1"/>
                <w:color w:val="auto"/>
              </w:rPr>
              <w:t>2056.</w:t>
            </w:r>
          </w:p>
        </w:tc>
        <w:tc>
          <w:tcPr>
            <w:tcW w:w="9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180" w:type="dxa"/>
            <w:vAlign w:val="bottom"/>
          </w:tcPr>
          <w:p>
            <w:pPr>
              <w:spacing w:after="0"/>
              <w:rPr>
                <w:sz w:val="6"/>
                <w:szCs w:val="6"/>
                <w:color w:val="auto"/>
              </w:rPr>
            </w:pPr>
          </w:p>
        </w:tc>
        <w:tc>
          <w:tcPr>
            <w:tcW w:w="5100" w:type="dxa"/>
            <w:vAlign w:val="bottom"/>
            <w:vMerge w:val="continue"/>
          </w:tcPr>
          <w:p>
            <w:pPr>
              <w:spacing w:after="0"/>
              <w:rPr>
                <w:sz w:val="6"/>
                <w:szCs w:val="6"/>
                <w:color w:val="auto"/>
              </w:rPr>
            </w:pPr>
          </w:p>
        </w:tc>
        <w:tc>
          <w:tcPr>
            <w:tcW w:w="960" w:type="dxa"/>
            <w:vAlign w:val="bottom"/>
          </w:tcPr>
          <w:p>
            <w:pPr>
              <w:spacing w:after="0"/>
              <w:rPr>
                <w:sz w:val="6"/>
                <w:szCs w:val="6"/>
                <w:color w:val="auto"/>
              </w:rPr>
            </w:pPr>
          </w:p>
        </w:tc>
        <w:tc>
          <w:tcPr>
            <w:tcW w:w="500" w:type="dxa"/>
            <w:vAlign w:val="bottom"/>
          </w:tcPr>
          <w:p>
            <w:pPr>
              <w:spacing w:after="0"/>
              <w:rPr>
                <w:sz w:val="6"/>
                <w:szCs w:val="6"/>
                <w:color w:val="auto"/>
              </w:rPr>
            </w:pPr>
          </w:p>
        </w:tc>
        <w:tc>
          <w:tcPr>
            <w:tcW w:w="300" w:type="dxa"/>
            <w:vAlign w:val="bottom"/>
          </w:tcPr>
          <w:p>
            <w:pPr>
              <w:spacing w:after="0"/>
              <w:rPr>
                <w:sz w:val="6"/>
                <w:szCs w:val="6"/>
                <w:color w:val="auto"/>
              </w:rPr>
            </w:pPr>
          </w:p>
        </w:tc>
        <w:tc>
          <w:tcPr>
            <w:tcW w:w="1180" w:type="dxa"/>
            <w:vAlign w:val="bottom"/>
          </w:tcPr>
          <w:p>
            <w:pPr>
              <w:spacing w:after="0"/>
              <w:rPr>
                <w:sz w:val="6"/>
                <w:szCs w:val="6"/>
                <w:color w:val="auto"/>
              </w:rPr>
            </w:pPr>
          </w:p>
        </w:tc>
        <w:tc>
          <w:tcPr>
            <w:tcW w:w="320" w:type="dxa"/>
            <w:vAlign w:val="bottom"/>
          </w:tcPr>
          <w:p>
            <w:pPr>
              <w:spacing w:after="0"/>
              <w:rPr>
                <w:sz w:val="6"/>
                <w:szCs w:val="6"/>
                <w:color w:val="auto"/>
              </w:rPr>
            </w:pPr>
          </w:p>
        </w:tc>
        <w:tc>
          <w:tcPr>
            <w:tcW w:w="1220" w:type="dxa"/>
            <w:vAlign w:val="bottom"/>
          </w:tcPr>
          <w:p>
            <w:pPr>
              <w:spacing w:after="0"/>
              <w:rPr>
                <w:sz w:val="6"/>
                <w:szCs w:val="6"/>
                <w:color w:val="auto"/>
              </w:rPr>
            </w:pPr>
          </w:p>
        </w:tc>
        <w:tc>
          <w:tcPr>
            <w:tcW w:w="320" w:type="dxa"/>
            <w:vAlign w:val="bottom"/>
          </w:tcPr>
          <w:p>
            <w:pPr>
              <w:spacing w:after="0"/>
              <w:rPr>
                <w:sz w:val="6"/>
                <w:szCs w:val="6"/>
                <w:color w:val="auto"/>
              </w:rPr>
            </w:pPr>
          </w:p>
        </w:tc>
        <w:tc>
          <w:tcPr>
            <w:tcW w:w="116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143"/>
        </w:trPr>
        <w:tc>
          <w:tcPr>
            <w:tcW w:w="220" w:type="dxa"/>
            <w:vAlign w:val="bottom"/>
          </w:tcPr>
          <w:p>
            <w:pPr>
              <w:jc w:val="right"/>
              <w:ind w:right="27"/>
              <w:spacing w:after="0"/>
              <w:rPr>
                <w:sz w:val="20"/>
                <w:szCs w:val="20"/>
                <w:color w:val="auto"/>
              </w:rPr>
            </w:pPr>
            <w:r>
              <w:rPr>
                <w:rFonts w:ascii="Arial" w:cs="Arial" w:eastAsia="Arial" w:hAnsi="Arial"/>
                <w:sz w:val="11"/>
                <w:szCs w:val="11"/>
                <w:i w:val="1"/>
                <w:iCs w:val="1"/>
                <w:color w:val="auto"/>
                <w:w w:val="88"/>
              </w:rPr>
              <w:t>(2)</w:t>
            </w:r>
          </w:p>
        </w:tc>
        <w:tc>
          <w:tcPr>
            <w:tcW w:w="2000" w:type="dxa"/>
            <w:vAlign w:val="bottom"/>
            <w:vMerge w:val="restart"/>
          </w:tcPr>
          <w:p>
            <w:pPr>
              <w:ind w:left="80"/>
              <w:spacing w:after="0"/>
              <w:rPr>
                <w:sz w:val="20"/>
                <w:szCs w:val="20"/>
                <w:color w:val="auto"/>
              </w:rPr>
            </w:pPr>
            <w:r>
              <w:rPr>
                <w:rFonts w:ascii="Arial" w:cs="Arial" w:eastAsia="Arial" w:hAnsi="Arial"/>
                <w:sz w:val="14"/>
                <w:szCs w:val="14"/>
                <w:i w:val="1"/>
                <w:iCs w:val="1"/>
                <w:color w:val="auto"/>
              </w:rPr>
              <w:t>Maturity dates are 2026</w:t>
            </w:r>
            <w:r>
              <w:rPr>
                <w:rFonts w:ascii="Arial" w:cs="Arial" w:eastAsia="Arial" w:hAnsi="Arial"/>
                <w:sz w:val="16"/>
                <w:szCs w:val="16"/>
                <w:color w:val="auto"/>
              </w:rPr>
              <w:t>-</w:t>
            </w:r>
            <w:r>
              <w:rPr>
                <w:rFonts w:ascii="Arial" w:cs="Arial" w:eastAsia="Arial" w:hAnsi="Arial"/>
                <w:sz w:val="14"/>
                <w:szCs w:val="14"/>
                <w:i w:val="1"/>
                <w:iCs w:val="1"/>
                <w:color w:val="auto"/>
              </w:rPr>
              <w:t>2065.</w:t>
            </w:r>
          </w:p>
        </w:tc>
        <w:tc>
          <w:tcPr>
            <w:tcW w:w="0" w:type="dxa"/>
            <w:vAlign w:val="bottom"/>
          </w:tcPr>
          <w:p>
            <w:pPr>
              <w:spacing w:after="0"/>
              <w:rPr>
                <w:sz w:val="1"/>
                <w:szCs w:val="1"/>
                <w:color w:val="auto"/>
              </w:rPr>
            </w:pPr>
          </w:p>
        </w:tc>
      </w:tr>
      <w:tr>
        <w:trPr>
          <w:trHeight w:val="72"/>
        </w:trPr>
        <w:tc>
          <w:tcPr>
            <w:tcW w:w="220" w:type="dxa"/>
            <w:vAlign w:val="bottom"/>
          </w:tcPr>
          <w:p>
            <w:pPr>
              <w:spacing w:after="0"/>
              <w:rPr>
                <w:sz w:val="6"/>
                <w:szCs w:val="6"/>
                <w:color w:val="auto"/>
              </w:rPr>
            </w:pPr>
          </w:p>
        </w:tc>
        <w:tc>
          <w:tcPr>
            <w:tcW w:w="20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8"/>
        </w:trPr>
        <w:tc>
          <w:tcPr>
            <w:tcW w:w="220" w:type="dxa"/>
            <w:vAlign w:val="bottom"/>
          </w:tcPr>
          <w:p>
            <w:pPr>
              <w:jc w:val="right"/>
              <w:ind w:right="27"/>
              <w:spacing w:after="0"/>
              <w:rPr>
                <w:sz w:val="20"/>
                <w:szCs w:val="20"/>
                <w:color w:val="auto"/>
              </w:rPr>
            </w:pPr>
            <w:r>
              <w:rPr>
                <w:rFonts w:ascii="Arial" w:cs="Arial" w:eastAsia="Arial" w:hAnsi="Arial"/>
                <w:sz w:val="11"/>
                <w:szCs w:val="11"/>
                <w:i w:val="1"/>
                <w:iCs w:val="1"/>
                <w:color w:val="auto"/>
                <w:w w:val="88"/>
              </w:rPr>
              <w:t>(3)</w:t>
            </w:r>
          </w:p>
        </w:tc>
        <w:tc>
          <w:tcPr>
            <w:tcW w:w="2000" w:type="dxa"/>
            <w:vAlign w:val="bottom"/>
            <w:vMerge w:val="restart"/>
          </w:tcPr>
          <w:p>
            <w:pPr>
              <w:ind w:left="80"/>
              <w:spacing w:after="0"/>
              <w:rPr>
                <w:sz w:val="20"/>
                <w:szCs w:val="20"/>
                <w:color w:val="auto"/>
              </w:rPr>
            </w:pPr>
            <w:r>
              <w:rPr>
                <w:rFonts w:ascii="Arial" w:cs="Arial" w:eastAsia="Arial" w:hAnsi="Arial"/>
                <w:sz w:val="14"/>
                <w:szCs w:val="14"/>
                <w:i w:val="1"/>
                <w:iCs w:val="1"/>
                <w:color w:val="auto"/>
              </w:rPr>
              <w:t>Maturity dates are 2026</w:t>
            </w:r>
            <w:r>
              <w:rPr>
                <w:rFonts w:ascii="Arial" w:cs="Arial" w:eastAsia="Arial" w:hAnsi="Arial"/>
                <w:sz w:val="16"/>
                <w:szCs w:val="16"/>
                <w:color w:val="auto"/>
              </w:rPr>
              <w:t>-</w:t>
            </w:r>
            <w:r>
              <w:rPr>
                <w:rFonts w:ascii="Arial" w:cs="Arial" w:eastAsia="Arial" w:hAnsi="Arial"/>
                <w:sz w:val="14"/>
                <w:szCs w:val="14"/>
                <w:i w:val="1"/>
                <w:iCs w:val="1"/>
                <w:color w:val="auto"/>
              </w:rPr>
              <w:t>2071.</w:t>
            </w:r>
          </w:p>
        </w:tc>
        <w:tc>
          <w:tcPr>
            <w:tcW w:w="0" w:type="dxa"/>
            <w:vAlign w:val="bottom"/>
          </w:tcPr>
          <w:p>
            <w:pPr>
              <w:spacing w:after="0"/>
              <w:rPr>
                <w:sz w:val="1"/>
                <w:szCs w:val="1"/>
                <w:color w:val="auto"/>
              </w:rPr>
            </w:pPr>
          </w:p>
        </w:tc>
      </w:tr>
      <w:tr>
        <w:trPr>
          <w:trHeight w:val="72"/>
        </w:trPr>
        <w:tc>
          <w:tcPr>
            <w:tcW w:w="220" w:type="dxa"/>
            <w:vAlign w:val="bottom"/>
          </w:tcPr>
          <w:p>
            <w:pPr>
              <w:spacing w:after="0"/>
              <w:rPr>
                <w:sz w:val="6"/>
                <w:szCs w:val="6"/>
                <w:color w:val="auto"/>
              </w:rPr>
            </w:pPr>
          </w:p>
        </w:tc>
        <w:tc>
          <w:tcPr>
            <w:tcW w:w="20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bl>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shows the proceeds from sales of securities in the NDT and gross realized gains and losses on those sales.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111760</wp:posOffset>
            </wp:positionV>
            <wp:extent cx="7132320" cy="3003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32320" cy="300355"/>
                    </a:xfrm>
                    <a:prstGeom prst="rect">
                      <a:avLst/>
                    </a:prstGeom>
                    <a:noFill/>
                  </pic:spPr>
                </pic:pic>
              </a:graphicData>
            </a:graphic>
          </wp:anchor>
        </w:drawing>
      </w:r>
    </w:p>
    <w:p>
      <w:pPr>
        <w:spacing w:after="0" w:line="169"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FFFFFF"/>
        </w:rPr>
        <w:t>SALES OF SECURITIES IN THE NUCLEAR DECOMMISSIONING TRUSTS</w:t>
      </w:r>
    </w:p>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8220" w:type="dxa"/>
            <w:vAlign w:val="bottom"/>
          </w:tcPr>
          <w:p>
            <w:pPr>
              <w:ind w:left="20"/>
              <w:spacing w:after="0"/>
              <w:rPr>
                <w:sz w:val="20"/>
                <w:szCs w:val="20"/>
                <w:color w:val="auto"/>
              </w:rPr>
            </w:pPr>
            <w:r>
              <w:rPr>
                <w:rFonts w:ascii="Arial" w:cs="Arial" w:eastAsia="Arial" w:hAnsi="Arial"/>
                <w:sz w:val="14"/>
                <w:szCs w:val="14"/>
                <w:i w:val="1"/>
                <w:iCs w:val="1"/>
                <w:color w:val="FFFFFF"/>
              </w:rPr>
              <w:t>(Dollars in millions)</w:t>
            </w:r>
          </w:p>
        </w:tc>
        <w:tc>
          <w:tcPr>
            <w:tcW w:w="10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420" w:type="dxa"/>
            <w:vAlign w:val="bottom"/>
          </w:tcPr>
          <w:p>
            <w:pPr>
              <w:spacing w:after="0"/>
              <w:rPr>
                <w:sz w:val="16"/>
                <w:szCs w:val="16"/>
                <w:color w:val="auto"/>
              </w:rPr>
            </w:pPr>
          </w:p>
        </w:tc>
      </w:tr>
      <w:tr>
        <w:trPr>
          <w:trHeight w:val="234"/>
        </w:trPr>
        <w:tc>
          <w:tcPr>
            <w:tcW w:w="8220" w:type="dxa"/>
            <w:vAlign w:val="bottom"/>
          </w:tcPr>
          <w:p>
            <w:pPr>
              <w:spacing w:after="0"/>
              <w:rPr>
                <w:sz w:val="20"/>
                <w:szCs w:val="20"/>
                <w:color w:val="auto"/>
              </w:rPr>
            </w:pPr>
          </w:p>
        </w:tc>
        <w:tc>
          <w:tcPr>
            <w:tcW w:w="2600" w:type="dxa"/>
            <w:vAlign w:val="bottom"/>
            <w:tcBorders>
              <w:bottom w:val="single" w:sz="8" w:color="auto"/>
            </w:tcBorders>
            <w:gridSpan w:val="3"/>
          </w:tcPr>
          <w:p>
            <w:pPr>
              <w:jc w:val="right"/>
              <w:ind w:right="4"/>
              <w:spacing w:after="0"/>
              <w:rPr>
                <w:sz w:val="20"/>
                <w:szCs w:val="20"/>
                <w:color w:val="auto"/>
              </w:rPr>
            </w:pPr>
            <w:r>
              <w:rPr>
                <w:rFonts w:ascii="Arial" w:cs="Arial" w:eastAsia="Arial" w:hAnsi="Arial"/>
                <w:sz w:val="14"/>
                <w:szCs w:val="14"/>
                <w:color w:val="auto"/>
              </w:rPr>
              <w:t>Three months ended March 31,</w:t>
            </w:r>
          </w:p>
        </w:tc>
        <w:tc>
          <w:tcPr>
            <w:tcW w:w="420" w:type="dxa"/>
            <w:vAlign w:val="bottom"/>
            <w:tcBorders>
              <w:bottom w:val="single" w:sz="8" w:color="auto"/>
            </w:tcBorders>
          </w:tcPr>
          <w:p>
            <w:pPr>
              <w:spacing w:after="0"/>
              <w:rPr>
                <w:sz w:val="20"/>
                <w:szCs w:val="20"/>
                <w:color w:val="auto"/>
              </w:rPr>
            </w:pPr>
          </w:p>
        </w:tc>
      </w:tr>
      <w:tr>
        <w:trPr>
          <w:trHeight w:val="209"/>
        </w:trPr>
        <w:tc>
          <w:tcPr>
            <w:tcW w:w="82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45"/>
              <w:spacing w:after="0"/>
              <w:rPr>
                <w:sz w:val="20"/>
                <w:szCs w:val="20"/>
                <w:color w:val="auto"/>
              </w:rPr>
            </w:pPr>
            <w:r>
              <w:rPr>
                <w:rFonts w:ascii="Arial" w:cs="Arial" w:eastAsia="Arial" w:hAnsi="Arial"/>
                <w:sz w:val="14"/>
                <w:szCs w:val="14"/>
                <w:color w:val="auto"/>
              </w:rPr>
              <w:t>2026</w:t>
            </w:r>
          </w:p>
        </w:tc>
        <w:tc>
          <w:tcPr>
            <w:tcW w:w="4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64"/>
              <w:spacing w:after="0"/>
              <w:rPr>
                <w:sz w:val="20"/>
                <w:szCs w:val="20"/>
                <w:color w:val="auto"/>
              </w:rPr>
            </w:pPr>
            <w:r>
              <w:rPr>
                <w:rFonts w:ascii="Arial" w:cs="Arial" w:eastAsia="Arial" w:hAnsi="Arial"/>
                <w:sz w:val="14"/>
                <w:szCs w:val="14"/>
                <w:color w:val="auto"/>
              </w:rPr>
              <w:t>2025</w:t>
            </w:r>
          </w:p>
        </w:tc>
        <w:tc>
          <w:tcPr>
            <w:tcW w:w="420" w:type="dxa"/>
            <w:vAlign w:val="bottom"/>
            <w:tcBorders>
              <w:bottom w:val="single" w:sz="8" w:color="auto"/>
            </w:tcBorders>
          </w:tcPr>
          <w:p>
            <w:pPr>
              <w:spacing w:after="0"/>
              <w:rPr>
                <w:sz w:val="18"/>
                <w:szCs w:val="18"/>
                <w:color w:val="auto"/>
              </w:rPr>
            </w:pPr>
          </w:p>
        </w:tc>
      </w:tr>
      <w:tr>
        <w:trPr>
          <w:trHeight w:val="214"/>
        </w:trPr>
        <w:tc>
          <w:tcPr>
            <w:tcW w:w="8220" w:type="dxa"/>
            <w:vAlign w:val="bottom"/>
            <w:shd w:val="clear" w:color="auto" w:fill="D4F1F5"/>
          </w:tcPr>
          <w:p>
            <w:pPr>
              <w:ind w:left="20"/>
              <w:spacing w:after="0"/>
              <w:rPr>
                <w:sz w:val="20"/>
                <w:szCs w:val="20"/>
                <w:color w:val="auto"/>
              </w:rPr>
            </w:pPr>
            <w:r>
              <w:rPr>
                <w:rFonts w:ascii="Arial" w:cs="Arial" w:eastAsia="Arial" w:hAnsi="Arial"/>
                <w:sz w:val="16"/>
                <w:szCs w:val="16"/>
                <w:color w:val="auto"/>
              </w:rPr>
              <w:t>Proceeds from sales</w:t>
            </w:r>
          </w:p>
        </w:tc>
        <w:tc>
          <w:tcPr>
            <w:tcW w:w="1000" w:type="dxa"/>
            <w:vAlign w:val="bottom"/>
            <w:shd w:val="clear" w:color="auto" w:fill="D4F1F5"/>
          </w:tcPr>
          <w:p>
            <w:pPr>
              <w:jc w:val="right"/>
              <w:ind w:right="825"/>
              <w:spacing w:after="0"/>
              <w:rPr>
                <w:sz w:val="20"/>
                <w:szCs w:val="20"/>
                <w:color w:val="auto"/>
              </w:rPr>
            </w:pPr>
            <w:r>
              <w:rPr>
                <w:rFonts w:ascii="Arial" w:cs="Arial" w:eastAsia="Arial" w:hAnsi="Arial"/>
                <w:sz w:val="16"/>
                <w:szCs w:val="16"/>
                <w:color w:val="auto"/>
                <w:w w:val="89"/>
              </w:rPr>
              <w:t>$</w:t>
            </w:r>
          </w:p>
        </w:tc>
        <w:tc>
          <w:tcPr>
            <w:tcW w:w="480" w:type="dxa"/>
            <w:vAlign w:val="bottom"/>
            <w:shd w:val="clear" w:color="auto" w:fill="D4F1F5"/>
          </w:tcPr>
          <w:p>
            <w:pPr>
              <w:jc w:val="right"/>
              <w:ind w:right="19"/>
              <w:spacing w:after="0"/>
              <w:rPr>
                <w:sz w:val="20"/>
                <w:szCs w:val="20"/>
                <w:color w:val="auto"/>
              </w:rPr>
            </w:pPr>
            <w:r>
              <w:rPr>
                <w:rFonts w:ascii="Arial" w:cs="Arial" w:eastAsia="Arial" w:hAnsi="Arial"/>
                <w:sz w:val="16"/>
                <w:szCs w:val="16"/>
                <w:color w:val="auto"/>
              </w:rPr>
              <w:t>291</w:t>
            </w:r>
          </w:p>
        </w:tc>
        <w:tc>
          <w:tcPr>
            <w:tcW w:w="1120" w:type="dxa"/>
            <w:vAlign w:val="bottom"/>
            <w:shd w:val="clear" w:color="auto" w:fill="D4F1F5"/>
          </w:tcPr>
          <w:p>
            <w:pPr>
              <w:jc w:val="right"/>
              <w:ind w:right="844"/>
              <w:spacing w:after="0"/>
              <w:rPr>
                <w:sz w:val="20"/>
                <w:szCs w:val="20"/>
                <w:color w:val="auto"/>
              </w:rPr>
            </w:pPr>
            <w:r>
              <w:rPr>
                <w:rFonts w:ascii="Arial" w:cs="Arial" w:eastAsia="Arial" w:hAnsi="Arial"/>
                <w:sz w:val="16"/>
                <w:szCs w:val="16"/>
                <w:color w:val="auto"/>
              </w:rPr>
              <w:t>$</w:t>
            </w:r>
          </w:p>
        </w:tc>
        <w:tc>
          <w:tcPr>
            <w:tcW w:w="420" w:type="dxa"/>
            <w:vAlign w:val="bottom"/>
            <w:shd w:val="clear" w:color="auto" w:fill="D4F1F5"/>
          </w:tcPr>
          <w:p>
            <w:pPr>
              <w:jc w:val="right"/>
              <w:spacing w:after="0"/>
              <w:rPr>
                <w:sz w:val="20"/>
                <w:szCs w:val="20"/>
                <w:color w:val="auto"/>
              </w:rPr>
            </w:pPr>
            <w:r>
              <w:rPr>
                <w:rFonts w:ascii="Arial" w:cs="Arial" w:eastAsia="Arial" w:hAnsi="Arial"/>
                <w:sz w:val="16"/>
                <w:szCs w:val="16"/>
                <w:color w:val="auto"/>
              </w:rPr>
              <w:t>274</w:t>
            </w:r>
          </w:p>
        </w:tc>
      </w:tr>
      <w:tr>
        <w:trPr>
          <w:trHeight w:val="215"/>
        </w:trPr>
        <w:tc>
          <w:tcPr>
            <w:tcW w:w="8220" w:type="dxa"/>
            <w:vAlign w:val="bottom"/>
          </w:tcPr>
          <w:p>
            <w:pPr>
              <w:ind w:left="20"/>
              <w:spacing w:after="0"/>
              <w:rPr>
                <w:sz w:val="20"/>
                <w:szCs w:val="20"/>
                <w:color w:val="auto"/>
              </w:rPr>
            </w:pPr>
            <w:r>
              <w:rPr>
                <w:rFonts w:ascii="Arial" w:cs="Arial" w:eastAsia="Arial" w:hAnsi="Arial"/>
                <w:sz w:val="16"/>
                <w:szCs w:val="16"/>
                <w:color w:val="auto"/>
              </w:rPr>
              <w:t>Gross realized gains</w:t>
            </w:r>
          </w:p>
        </w:tc>
        <w:tc>
          <w:tcPr>
            <w:tcW w:w="1000" w:type="dxa"/>
            <w:vAlign w:val="bottom"/>
          </w:tcPr>
          <w:p>
            <w:pPr>
              <w:spacing w:after="0"/>
              <w:rPr>
                <w:sz w:val="18"/>
                <w:szCs w:val="18"/>
                <w:color w:val="auto"/>
              </w:rPr>
            </w:pPr>
          </w:p>
        </w:tc>
        <w:tc>
          <w:tcPr>
            <w:tcW w:w="480" w:type="dxa"/>
            <w:vAlign w:val="bottom"/>
          </w:tcPr>
          <w:p>
            <w:pPr>
              <w:jc w:val="right"/>
              <w:ind w:right="19"/>
              <w:spacing w:after="0"/>
              <w:rPr>
                <w:sz w:val="20"/>
                <w:szCs w:val="20"/>
                <w:color w:val="auto"/>
              </w:rPr>
            </w:pPr>
            <w:r>
              <w:rPr>
                <w:rFonts w:ascii="Arial" w:cs="Arial" w:eastAsia="Arial" w:hAnsi="Arial"/>
                <w:sz w:val="16"/>
                <w:szCs w:val="16"/>
                <w:color w:val="auto"/>
              </w:rPr>
              <w:t>9</w:t>
            </w:r>
          </w:p>
        </w:tc>
        <w:tc>
          <w:tcPr>
            <w:tcW w:w="11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10</w:t>
            </w:r>
          </w:p>
        </w:tc>
      </w:tr>
      <w:tr>
        <w:trPr>
          <w:trHeight w:val="224"/>
        </w:trPr>
        <w:tc>
          <w:tcPr>
            <w:tcW w:w="8220" w:type="dxa"/>
            <w:vAlign w:val="bottom"/>
            <w:tcBorders>
              <w:bottom w:val="single" w:sz="8" w:color="ACACAC"/>
            </w:tcBorders>
            <w:shd w:val="clear" w:color="auto" w:fill="D4F1F5"/>
          </w:tcPr>
          <w:p>
            <w:pPr>
              <w:ind w:left="20"/>
              <w:spacing w:after="0"/>
              <w:rPr>
                <w:sz w:val="20"/>
                <w:szCs w:val="20"/>
                <w:color w:val="auto"/>
              </w:rPr>
            </w:pPr>
            <w:r>
              <w:rPr>
                <w:rFonts w:ascii="Arial" w:cs="Arial" w:eastAsia="Arial" w:hAnsi="Arial"/>
                <w:sz w:val="16"/>
                <w:szCs w:val="16"/>
                <w:color w:val="auto"/>
              </w:rPr>
              <w:t>Gross realized losses</w:t>
            </w:r>
          </w:p>
        </w:tc>
        <w:tc>
          <w:tcPr>
            <w:tcW w:w="1000" w:type="dxa"/>
            <w:vAlign w:val="bottom"/>
            <w:tcBorders>
              <w:bottom w:val="single" w:sz="8" w:color="ACACAC"/>
            </w:tcBorders>
            <w:shd w:val="clear" w:color="auto" w:fill="D4F1F5"/>
          </w:tcPr>
          <w:p>
            <w:pPr>
              <w:spacing w:after="0"/>
              <w:rPr>
                <w:sz w:val="19"/>
                <w:szCs w:val="19"/>
                <w:color w:val="auto"/>
              </w:rPr>
            </w:pPr>
          </w:p>
        </w:tc>
        <w:tc>
          <w:tcPr>
            <w:tcW w:w="480" w:type="dxa"/>
            <w:vAlign w:val="bottom"/>
            <w:tcBorders>
              <w:bottom w:val="single" w:sz="8" w:color="ACACAC"/>
            </w:tcBorders>
            <w:shd w:val="clear" w:color="auto" w:fill="D4F1F5"/>
          </w:tcPr>
          <w:p>
            <w:pPr>
              <w:jc w:val="right"/>
              <w:ind w:right="19"/>
              <w:spacing w:after="0"/>
              <w:rPr>
                <w:sz w:val="20"/>
                <w:szCs w:val="20"/>
                <w:color w:val="auto"/>
              </w:rPr>
            </w:pPr>
            <w:r>
              <w:rPr>
                <w:rFonts w:ascii="Arial" w:cs="Arial" w:eastAsia="Arial" w:hAnsi="Arial"/>
                <w:sz w:val="16"/>
                <w:szCs w:val="16"/>
                <w:color w:val="auto"/>
              </w:rPr>
              <w:t>2</w:t>
            </w:r>
          </w:p>
        </w:tc>
        <w:tc>
          <w:tcPr>
            <w:tcW w:w="1120" w:type="dxa"/>
            <w:vAlign w:val="bottom"/>
            <w:tcBorders>
              <w:bottom w:val="single" w:sz="8" w:color="ACACAC"/>
            </w:tcBorders>
            <w:shd w:val="clear" w:color="auto" w:fill="D4F1F5"/>
          </w:tcPr>
          <w:p>
            <w:pPr>
              <w:spacing w:after="0"/>
              <w:rPr>
                <w:sz w:val="19"/>
                <w:szCs w:val="19"/>
                <w:color w:val="auto"/>
              </w:rPr>
            </w:pPr>
          </w:p>
        </w:tc>
        <w:tc>
          <w:tcPr>
            <w:tcW w:w="420" w:type="dxa"/>
            <w:vAlign w:val="bottom"/>
            <w:tcBorders>
              <w:bottom w:val="single" w:sz="8" w:color="ACACAC"/>
            </w:tcBorders>
            <w:shd w:val="clear" w:color="auto" w:fill="D4F1F5"/>
          </w:tcPr>
          <w:p>
            <w:pPr>
              <w:jc w:val="right"/>
              <w:spacing w:after="0"/>
              <w:rPr>
                <w:sz w:val="20"/>
                <w:szCs w:val="20"/>
                <w:color w:val="auto"/>
              </w:rPr>
            </w:pPr>
            <w:r>
              <w:rPr>
                <w:rFonts w:ascii="Arial" w:cs="Arial" w:eastAsia="Arial" w:hAnsi="Arial"/>
                <w:sz w:val="16"/>
                <w:szCs w:val="16"/>
                <w:color w:val="auto"/>
              </w:rPr>
              <w:t>2</w:t>
            </w:r>
          </w:p>
        </w:tc>
      </w:tr>
    </w:tbl>
    <w:p>
      <w:pPr>
        <w:spacing w:after="0" w:line="238" w:lineRule="exact"/>
        <w:rPr>
          <w:sz w:val="20"/>
          <w:szCs w:val="20"/>
          <w:color w:val="auto"/>
        </w:rPr>
      </w:pPr>
    </w:p>
    <w:p>
      <w:pPr>
        <w:jc w:val="both"/>
        <w:ind w:right="260"/>
        <w:spacing w:after="0" w:line="312" w:lineRule="auto"/>
        <w:rPr>
          <w:sz w:val="20"/>
          <w:szCs w:val="20"/>
          <w:color w:val="auto"/>
        </w:rPr>
      </w:pPr>
      <w:r>
        <w:rPr>
          <w:rFonts w:ascii="Times New Roman" w:cs="Times New Roman" w:eastAsia="Times New Roman" w:hAnsi="Times New Roman"/>
          <w:sz w:val="17"/>
          <w:szCs w:val="17"/>
          <w:color w:val="auto"/>
        </w:rPr>
        <w:t>Net unrealized gains and losses, as well as realized gains and losses that are reinvested in the NDT, are included in noncurrent Regulatory Liabilities on Sempra’s and SDG&amp;E’s Condensed Consolidated Balance Sheets. We determine the cost of securities in the trusts on the basis of specific identification.</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ASSET RETIREMENT OBLIGATION</w:t>
      </w:r>
    </w:p>
    <w:p>
      <w:pPr>
        <w:spacing w:after="0" w:line="118" w:lineRule="exact"/>
        <w:rPr>
          <w:sz w:val="20"/>
          <w:szCs w:val="20"/>
          <w:color w:val="auto"/>
        </w:rPr>
      </w:pPr>
    </w:p>
    <w:p>
      <w:pPr>
        <w:ind w:right="280"/>
        <w:spacing w:after="0" w:line="297" w:lineRule="auto"/>
        <w:rPr>
          <w:sz w:val="20"/>
          <w:szCs w:val="20"/>
          <w:color w:val="auto"/>
        </w:rPr>
      </w:pPr>
      <w:r>
        <w:rPr>
          <w:rFonts w:ascii="Times New Roman" w:cs="Times New Roman" w:eastAsia="Times New Roman" w:hAnsi="Times New Roman"/>
          <w:sz w:val="18"/>
          <w:szCs w:val="18"/>
          <w:color w:val="auto"/>
        </w:rPr>
        <w:t>The present value of SDG&amp;E’s ARO related to decommissioning costs for all three SONGS units was $443 million at March 31, 2026 and is based on a cost study prepared in 2024, which is pending CPUC approval. SDG&amp;E expects to receive an FD in the second half of 2026.</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74" w:name="page75"/>
    <w:bookmarkEnd w:id="7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711835</wp:posOffset>
            </wp:positionV>
            <wp:extent cx="7115175"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20"/>
          <w:szCs w:val="20"/>
          <w:color w:val="auto"/>
        </w:rPr>
        <w:t>NOTE 13. COMMITMENTS, CONTINGENCIES AND GUARANTEES</w:t>
      </w:r>
    </w:p>
    <w:p>
      <w:pPr>
        <w:spacing w:after="0" w:line="3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PROCEEDINGS</w:t>
      </w:r>
    </w:p>
    <w:p>
      <w:pPr>
        <w:spacing w:after="0" w:line="118"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We accrue losses for a legal proceeding when it is probable that a loss has been incurred and the amount of the loss can be reasonably estimated. However, the uncertainties inherent in legal proceedings make it difficult to reasonably estimate the costs and effects of resolving these matters. Accordingly, actual costs incurred may differ materially from amounts accrued, may exceed, and in some cases have exceeded, applicable insurance coverage and could materially adversely affect our business, results of operations, financial condition, cash flows and/or prospects. Unless otherwise indicated, we are unable to reasonably estimate possible losses or a range of losses in excess of any amounts accrued.</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March 31, 2026, loss contingency accruals for legal matters that are probable and estimable are $48 million for Sempra and $33 million for SoCalGas.</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SDG&amp;E</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City of San Diego Franchise Agreements</w:t>
      </w:r>
    </w:p>
    <w:p>
      <w:pPr>
        <w:spacing w:after="0" w:line="45" w:lineRule="exact"/>
        <w:rPr>
          <w:sz w:val="20"/>
          <w:szCs w:val="20"/>
          <w:color w:val="auto"/>
        </w:rPr>
      </w:pPr>
    </w:p>
    <w:p>
      <w:pPr>
        <w:ind w:right="60"/>
        <w:spacing w:after="0" w:line="267" w:lineRule="auto"/>
        <w:rPr>
          <w:sz w:val="20"/>
          <w:szCs w:val="20"/>
          <w:color w:val="auto"/>
        </w:rPr>
      </w:pPr>
      <w:r>
        <w:rPr>
          <w:rFonts w:ascii="Times New Roman" w:cs="Times New Roman" w:eastAsia="Times New Roman" w:hAnsi="Times New Roman"/>
          <w:sz w:val="18"/>
          <w:szCs w:val="18"/>
          <w:b w:val="1"/>
          <w:bCs w:val="1"/>
          <w:color w:val="auto"/>
        </w:rPr>
        <w:t xml:space="preserve">Pending. </w:t>
      </w:r>
      <w:r>
        <w:rPr>
          <w:rFonts w:ascii="Times New Roman" w:cs="Times New Roman" w:eastAsia="Times New Roman" w:hAnsi="Times New Roman"/>
          <w:sz w:val="18"/>
          <w:szCs w:val="18"/>
          <w:color w:val="auto"/>
        </w:rPr>
        <w:t>In 2021, a lawsuit was filed in the California Superior Court challenging various aspects of the natural gas and electric franchise agreements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granted by the City of San Diego to SDG&amp;E. The lawsuit is seeking to void the franchise agreements. In October 2023, the court ruled in favor of SDG&amp;E and the City of San Diego, upholding all terms of the franchise agreements, except for the two-thirds City Council vote requirement for termination if the City decides to terminate under certain circumstances. Under the court’s ruling, the City can instead terminate on a majority vote, so long as it satisfies repayment provisions under the franchise agreements. Both sides have appealed the ruling.</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SoCalGas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LA Fires</w:t>
      </w:r>
    </w:p>
    <w:p>
      <w:pPr>
        <w:spacing w:after="0" w:line="45" w:lineRule="exact"/>
        <w:rPr>
          <w:sz w:val="20"/>
          <w:szCs w:val="20"/>
          <w:color w:val="auto"/>
        </w:rPr>
      </w:pPr>
    </w:p>
    <w:p>
      <w:pPr>
        <w:ind w:right="40"/>
        <w:spacing w:after="0" w:line="267" w:lineRule="auto"/>
        <w:rPr>
          <w:sz w:val="20"/>
          <w:szCs w:val="20"/>
          <w:color w:val="auto"/>
        </w:rPr>
      </w:pPr>
      <w:r>
        <w:rPr>
          <w:rFonts w:ascii="Times New Roman" w:cs="Times New Roman" w:eastAsia="Times New Roman" w:hAnsi="Times New Roman"/>
          <w:sz w:val="18"/>
          <w:szCs w:val="18"/>
          <w:b w:val="1"/>
          <w:bCs w:val="1"/>
          <w:color w:val="auto"/>
        </w:rPr>
        <w:t xml:space="preserve">Palisades Fire Litigation - Pending. </w:t>
      </w:r>
      <w:r>
        <w:rPr>
          <w:rFonts w:ascii="Times New Roman" w:cs="Times New Roman" w:eastAsia="Times New Roman" w:hAnsi="Times New Roman"/>
          <w:sz w:val="18"/>
          <w:szCs w:val="18"/>
          <w:color w:val="auto"/>
        </w:rPr>
        <w:t>There is a consolidated legal action pending in Los Angeles County Superior Court related to the January 2025</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Palisades fire. Various plaintiffs named nineteen defendants in a December 2025 master complaint, including but not limited to SoCalGas, Sempra, Edison, Edison International, the J. Paul Getty Trust, the City of Los Angeles, Los Angeles County, and the State of California (collectively, the Palisades Defendants). At this early stage of the legal process, it is unclear how many plaintiffs are asserting claims against the Palisades Defendants. The plaintiffs seek an award of economic and noneconomic damages, punitive damages, attorneys’ fees, litigation costs and pre-judgment interest.</w:t>
      </w:r>
    </w:p>
    <w:p>
      <w:pPr>
        <w:spacing w:after="0" w:line="77"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b w:val="1"/>
          <w:bCs w:val="1"/>
          <w:color w:val="auto"/>
        </w:rPr>
        <w:t xml:space="preserve">Eaton Fire Litigation - Pending. </w:t>
      </w:r>
      <w:r>
        <w:rPr>
          <w:rFonts w:ascii="Times New Roman" w:cs="Times New Roman" w:eastAsia="Times New Roman" w:hAnsi="Times New Roman"/>
          <w:sz w:val="18"/>
          <w:szCs w:val="18"/>
          <w:color w:val="auto"/>
        </w:rPr>
        <w:t>There is a separate consolidated legal action pending in Los Angeles County Superior Court related to the January 2025</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Eaton fire. The first of these lawsuits was filed against Edison in January 2025. In January 2026, Edison and Edison International filed cross-complaints in Los Angeles County Superior Court against more than a dozen defendants, including but not limited to SoCalGas, the City of Pasadena, Pasadena Water and Power, Los Angeles County, and Genasys Inc. (collectively, the Eaton Cross-Defendants) in connection with underlying litigation related to the January 2025 Eaton fire. The Edison cross-complaints against the Eaton Cross-Defendants seek indemnity, compensatory damages, attorneys’ fees, litigation costs and pre-judgment interest. In April 2026, SoCalGas filed a cross-complaint against Edison seeking compensatory damages for damage to SoCalGas’ infrastructure and costs associated with service restoration, attorneys’ fees, litigation costs and pre-judgment interest.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Other Sempra</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Energía Costa Azul</w:t>
      </w:r>
    </w:p>
    <w:p>
      <w:pPr>
        <w:spacing w:after="0" w:line="49" w:lineRule="exact"/>
        <w:rPr>
          <w:sz w:val="20"/>
          <w:szCs w:val="20"/>
          <w:color w:val="auto"/>
        </w:rPr>
      </w:pPr>
    </w:p>
    <w:p>
      <w:pPr>
        <w:ind w:right="140"/>
        <w:spacing w:after="0" w:line="271" w:lineRule="auto"/>
        <w:rPr>
          <w:sz w:val="20"/>
          <w:szCs w:val="20"/>
          <w:color w:val="auto"/>
        </w:rPr>
      </w:pPr>
      <w:r>
        <w:rPr>
          <w:rFonts w:ascii="Times New Roman" w:cs="Times New Roman" w:eastAsia="Times New Roman" w:hAnsi="Times New Roman"/>
          <w:sz w:val="18"/>
          <w:szCs w:val="18"/>
          <w:color w:val="auto"/>
        </w:rPr>
        <w:t>We describe below a land dispute and permit challenges that may affect our ECA Regas Facility or ECA LNG liquefaction facilities under construction or in development. One or more unfavorable conclusions on these disputes or challenges could materially adversely affect our existing natural gas regasification operations and proposed natural gas liquefaction projects at the site of the ECA Regas Facility and have a material adverse effect on Sempra’s business, results of operations, financial condition, cash flows and/or prospects.</w:t>
      </w:r>
    </w:p>
    <w:p>
      <w:pPr>
        <w:spacing w:after="0" w:line="60" w:lineRule="exact"/>
        <w:rPr>
          <w:sz w:val="20"/>
          <w:szCs w:val="20"/>
          <w:color w:val="auto"/>
        </w:rPr>
      </w:pPr>
    </w:p>
    <w:p>
      <w:pPr>
        <w:spacing w:after="0" w:line="302" w:lineRule="auto"/>
        <w:rPr>
          <w:sz w:val="20"/>
          <w:szCs w:val="20"/>
          <w:color w:val="auto"/>
        </w:rPr>
      </w:pPr>
      <w:r>
        <w:rPr>
          <w:rFonts w:ascii="Times New Roman" w:cs="Times New Roman" w:eastAsia="Times New Roman" w:hAnsi="Times New Roman"/>
          <w:sz w:val="18"/>
          <w:szCs w:val="18"/>
          <w:b w:val="1"/>
          <w:bCs w:val="1"/>
          <w:color w:val="auto"/>
        </w:rPr>
        <w:t xml:space="preserve">Land Dispute - Pending. </w:t>
      </w:r>
      <w:r>
        <w:rPr>
          <w:rFonts w:ascii="Times New Roman" w:cs="Times New Roman" w:eastAsia="Times New Roman" w:hAnsi="Times New Roman"/>
          <w:sz w:val="18"/>
          <w:szCs w:val="18"/>
          <w:color w:val="auto"/>
        </w:rPr>
        <w:t>Energía Costa Azul, S. de R.L. de C.V. LNG has been engaged in a long-running land dispute relating to property adjacent to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owned by its ECA Regas Facility (the facility, however, is not situated on the land that is the subject of</w:t>
      </w: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150495</wp:posOffset>
            </wp:positionV>
            <wp:extent cx="7157720" cy="425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ind w:right="60"/>
        <w:spacing w:after="0" w:line="271" w:lineRule="auto"/>
        <w:rPr>
          <w:sz w:val="20"/>
          <w:szCs w:val="20"/>
          <w:color w:val="auto"/>
        </w:rPr>
      </w:pPr>
      <w:r>
        <w:rPr>
          <w:rFonts w:ascii="Times New Roman" w:cs="Times New Roman" w:eastAsia="Times New Roman" w:hAnsi="Times New Roman"/>
          <w:sz w:val="18"/>
          <w:szCs w:val="18"/>
          <w:color w:val="auto"/>
        </w:rPr>
        <w:t>this dispute). A claimant to the adjacent property filed suit to reinitiate an administrative procedure at SEDATU to obtain the property title for the disputed property, which title had previously been issued in a ruling by the federal Agrarian Court and subsequently reversed by a federal court in Mexico. In April 2021, the proceeding in the Agrarian Court concluded with the court ordering that the administrative procedure be restarted. The administrative procedure at SEDATU may continue if SEDATU decides to reopen the matter.</w:t>
      </w:r>
    </w:p>
    <w:p>
      <w:pPr>
        <w:spacing w:after="0" w:line="20" w:lineRule="exact"/>
        <w:rPr>
          <w:sz w:val="20"/>
          <w:szCs w:val="20"/>
          <w:color w:val="auto"/>
        </w:rPr>
      </w:pPr>
    </w:p>
    <w:p>
      <w:pPr>
        <w:ind w:right="260"/>
        <w:spacing w:after="0" w:line="267" w:lineRule="auto"/>
        <w:rPr>
          <w:sz w:val="20"/>
          <w:szCs w:val="20"/>
          <w:color w:val="auto"/>
        </w:rPr>
      </w:pPr>
      <w:r>
        <w:rPr>
          <w:rFonts w:ascii="Times New Roman" w:cs="Times New Roman" w:eastAsia="Times New Roman" w:hAnsi="Times New Roman"/>
          <w:sz w:val="18"/>
          <w:szCs w:val="18"/>
          <w:b w:val="1"/>
          <w:bCs w:val="1"/>
          <w:color w:val="auto"/>
        </w:rPr>
        <w:t xml:space="preserve">Environmental and Social Impact Permits - Pending. </w:t>
      </w:r>
      <w:r>
        <w:rPr>
          <w:rFonts w:ascii="Times New Roman" w:cs="Times New Roman" w:eastAsia="Times New Roman" w:hAnsi="Times New Roman"/>
          <w:sz w:val="18"/>
          <w:szCs w:val="18"/>
          <w:color w:val="auto"/>
        </w:rPr>
        <w:t>Several administrative challenges are pending before Mexico’s Secretariat of Environment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Natural Resources (the Mexican environmental protection agency) and Federal Tax and Administrative Courts, seeking revocation of the environmental impact authorization issued to the ECA Regas Facility in 2003. These cases generally allege that the conditions and mitigation measures in the environmental impact authorization are inadequate and challenge findings that the activities of the terminal are consistent with regional development guidelines.</w:t>
      </w:r>
    </w:p>
    <w:p>
      <w:pPr>
        <w:spacing w:after="0" w:line="81"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In addition, a group of residents filed an administrative appeal in June 2021 against various federal and state authorities alleging deficiencies in the public consultation process for the environmental and social impact permits issued by each of ASEA and SENER to ECA LNG authorizing natural gas liquefaction activities at the ECA Regas Facility. The request for an administrative appeal was denied. The claimants appealed this ruling via a constitutional challenge (an amparo trial) but were not successful. The lower court’s ruling was favorable to the ECA Regas Facility, as the court determined that no harm has been caused to the plaintiffs and dismissed the lawsuit. The claimants appealed the rulings via the Second Federal Collegiate Court, and the appeal is yet to be resolved.</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Port Arthur LNG I</w:t>
      </w:r>
    </w:p>
    <w:p>
      <w:pPr>
        <w:spacing w:after="0" w:line="45"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b w:val="1"/>
          <w:bCs w:val="1"/>
          <w:color w:val="auto"/>
        </w:rPr>
        <w:t xml:space="preserve">Construction Incident - Pending. </w:t>
      </w:r>
      <w:r>
        <w:rPr>
          <w:rFonts w:ascii="Times New Roman" w:cs="Times New Roman" w:eastAsia="Times New Roman" w:hAnsi="Times New Roman"/>
          <w:sz w:val="18"/>
          <w:szCs w:val="18"/>
          <w:color w:val="auto"/>
        </w:rPr>
        <w:t>In April 2025, an incident occurred at the site of the PA LNG Phase 1 project that resulted in the deaths of three Bechtel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employees and injuries to two Bechtel employees. In November 2025, the cases were transferred to a multidistrict litigation pretrial court and, in March 2026, the cases were assigned to a judge to oversee pretrial proceedings. As of May 4, 2026, there are two pending lawsuits filed by 17 plaintiffs in the 172nd Judicial District Court in Jefferson County, Texas and the 295th Judicial District Court in Harris County, Texas. The complaints collectively name as defendants Port Arthur LNG I, SI Partners, Sempra and/or other Sempra affiliates, Bechtel and/or Bechtel Corporation, and ConocoPhillips. Plaintiffs assert negligence and gross negligence and additional causes of action for wrongful death, survival and bystander claims and are seeking compensatory and punitive damages, lost wages and attorneys’ fees.</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Bechtel is providing indemnity pursuant to the terms of Port Arthur LNG I’s EPC contract and is continuing construction of the PA LNG Phase 1 project.</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Ordinary Course Litigation</w:t>
      </w:r>
    </w:p>
    <w:p>
      <w:pPr>
        <w:spacing w:after="0" w:line="49" w:lineRule="exact"/>
        <w:rPr>
          <w:sz w:val="20"/>
          <w:szCs w:val="20"/>
          <w:color w:val="auto"/>
        </w:rPr>
      </w:pPr>
    </w:p>
    <w:p>
      <w:pPr>
        <w:ind w:right="80"/>
        <w:spacing w:after="0" w:line="274" w:lineRule="auto"/>
        <w:rPr>
          <w:sz w:val="20"/>
          <w:szCs w:val="20"/>
          <w:color w:val="auto"/>
        </w:rPr>
      </w:pPr>
      <w:r>
        <w:rPr>
          <w:rFonts w:ascii="Times New Roman" w:cs="Times New Roman" w:eastAsia="Times New Roman" w:hAnsi="Times New Roman"/>
          <w:sz w:val="18"/>
          <w:szCs w:val="18"/>
          <w:color w:val="auto"/>
        </w:rPr>
        <w:t>We are also defendants in ordinary routine litigation incidental to our businesses, including personal injury, employment litigation, product liability, property damage and other claims. Juries have demonstrated an increasing willingness to grant large awards, including punitive damages, in these types of cases.</w:t>
      </w:r>
    </w:p>
    <w:p>
      <w:pPr>
        <w:spacing w:after="0" w:line="3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LEASES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discuss leases further in Note 16 of the Notes to Consolidated Financial Statements in the Annual Report.</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Lessee Accounting</w:t>
      </w:r>
    </w:p>
    <w:p>
      <w:pPr>
        <w:spacing w:after="0" w:line="49" w:lineRule="exact"/>
        <w:rPr>
          <w:sz w:val="20"/>
          <w:szCs w:val="20"/>
          <w:color w:val="auto"/>
        </w:rPr>
      </w:pPr>
    </w:p>
    <w:p>
      <w:pPr>
        <w:ind w:right="720"/>
        <w:spacing w:after="0" w:line="282" w:lineRule="auto"/>
        <w:rPr>
          <w:sz w:val="20"/>
          <w:szCs w:val="20"/>
          <w:color w:val="auto"/>
        </w:rPr>
      </w:pPr>
      <w:r>
        <w:rPr>
          <w:rFonts w:ascii="Times New Roman" w:cs="Times New Roman" w:eastAsia="Times New Roman" w:hAnsi="Times New Roman"/>
          <w:sz w:val="18"/>
          <w:szCs w:val="18"/>
          <w:color w:val="auto"/>
        </w:rPr>
        <w:t>We have operating and finance leases for real and personal property (including office space, land, fleet vehicles, aircraft, tugboats, machinery and equipment, warehouses and other operational facilities) and PPAs with renewable energy, energy storage and peaker plant facilities.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Leases That Have Not Yet Commenced</w:t>
      </w:r>
    </w:p>
    <w:p>
      <w:pPr>
        <w:spacing w:after="0" w:line="49" w:lineRule="exact"/>
        <w:rPr>
          <w:sz w:val="20"/>
          <w:szCs w:val="20"/>
          <w:color w:val="auto"/>
        </w:rPr>
      </w:pPr>
    </w:p>
    <w:p>
      <w:pPr>
        <w:jc w:val="both"/>
        <w:ind w:right="280"/>
        <w:spacing w:after="0" w:line="274" w:lineRule="auto"/>
        <w:rPr>
          <w:sz w:val="20"/>
          <w:szCs w:val="20"/>
          <w:color w:val="auto"/>
        </w:rPr>
      </w:pPr>
      <w:r>
        <w:rPr>
          <w:rFonts w:ascii="Times New Roman" w:cs="Times New Roman" w:eastAsia="Times New Roman" w:hAnsi="Times New Roman"/>
          <w:sz w:val="18"/>
          <w:szCs w:val="18"/>
          <w:color w:val="auto"/>
        </w:rPr>
        <w:t>SDG&amp;E has four PPAs, of which SDG&amp;E expects three will commence in 2027 and one will commence in 2028. SDG&amp;E expects the future minimum lease payments to be $12 million in 2027, $23 million in 2028, $25 million in each of 2029 and 2030 and $290 million thereafter (through expiration in 2043).</w:t>
      </w:r>
    </w:p>
    <w:p>
      <w:pPr>
        <w:spacing w:after="0" w:line="74" w:lineRule="exact"/>
        <w:rPr>
          <w:sz w:val="20"/>
          <w:szCs w:val="20"/>
          <w:color w:val="auto"/>
        </w:rPr>
      </w:pPr>
    </w:p>
    <w:p>
      <w:pPr>
        <w:jc w:val="both"/>
        <w:ind w:right="340"/>
        <w:spacing w:after="0" w:line="271" w:lineRule="auto"/>
        <w:rPr>
          <w:sz w:val="20"/>
          <w:szCs w:val="20"/>
          <w:color w:val="auto"/>
        </w:rPr>
      </w:pPr>
      <w:r>
        <w:rPr>
          <w:rFonts w:ascii="Times New Roman" w:cs="Times New Roman" w:eastAsia="Times New Roman" w:hAnsi="Times New Roman"/>
          <w:sz w:val="18"/>
          <w:szCs w:val="18"/>
          <w:color w:val="auto"/>
        </w:rPr>
        <w:t>SI Partners has a lease agreement for tugboat services for the Port Arthur LNG liquefaction project that it expects will commence in 2027. SI Partners expects the future minimum lease payments to be $10 million in 2027, $12 million in each of 2028 through 2030, and $186 million thereafter (through expiration in 2047, exclusive of certain renewal options) and total future minimum fixed payments for operation and maintenance services to be $184 million.</w:t>
      </w:r>
    </w:p>
    <w:p>
      <w:pPr>
        <w:spacing w:after="0" w:line="200" w:lineRule="exact"/>
        <w:rPr>
          <w:sz w:val="20"/>
          <w:szCs w:val="20"/>
          <w:color w:val="auto"/>
        </w:rPr>
      </w:pPr>
    </w:p>
    <w:p>
      <w:pPr>
        <w:spacing w:after="0" w:line="35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150495</wp:posOffset>
            </wp:positionV>
            <wp:extent cx="7157720" cy="425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Lessor Accounting</w:t>
      </w:r>
    </w:p>
    <w:p>
      <w:pPr>
        <w:spacing w:after="0" w:line="49" w:lineRule="exact"/>
        <w:rPr>
          <w:sz w:val="20"/>
          <w:szCs w:val="20"/>
          <w:color w:val="auto"/>
        </w:rPr>
      </w:pPr>
    </w:p>
    <w:p>
      <w:pPr>
        <w:ind w:right="520"/>
        <w:spacing w:after="0" w:line="297" w:lineRule="auto"/>
        <w:rPr>
          <w:sz w:val="20"/>
          <w:szCs w:val="20"/>
          <w:color w:val="auto"/>
        </w:rPr>
      </w:pPr>
      <w:r>
        <w:rPr>
          <w:rFonts w:ascii="Times New Roman" w:cs="Times New Roman" w:eastAsia="Times New Roman" w:hAnsi="Times New Roman"/>
          <w:sz w:val="18"/>
          <w:szCs w:val="18"/>
          <w:color w:val="auto"/>
        </w:rPr>
        <w:t>SI Partners is a lessor for certain of its natural gas and ethane pipelines, compressor stations, liquid petroleum gas storage facilities, a rail facility and refined products terminals, which we account for as operating or sales-type leases.</w:t>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provide information below for leases for which we are the lessor.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111760</wp:posOffset>
            </wp:positionV>
            <wp:extent cx="7132320" cy="3257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32320" cy="325755"/>
                    </a:xfrm>
                    <a:prstGeom prst="rect">
                      <a:avLst/>
                    </a:prstGeom>
                    <a:noFill/>
                  </pic:spPr>
                </pic:pic>
              </a:graphicData>
            </a:graphic>
          </wp:anchor>
        </w:drawing>
      </w:r>
    </w:p>
    <w:p>
      <w:pPr>
        <w:spacing w:after="0" w:line="209"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FFFFFF"/>
        </w:rPr>
        <w:t>LESSOR INFORMATION ON THE CONDENSED CONSOLIDATED STATEMENTS OF OPERATIONS</w:t>
      </w:r>
    </w:p>
    <w:p>
      <w:pPr>
        <w:spacing w:after="0" w:line="66" w:lineRule="exact"/>
        <w:rPr>
          <w:sz w:val="20"/>
          <w:szCs w:val="20"/>
          <w:color w:val="auto"/>
        </w:rPr>
      </w:pPr>
    </w:p>
    <w:p>
      <w:pPr>
        <w:ind w:left="20"/>
        <w:spacing w:after="0"/>
        <w:rPr>
          <w:sz w:val="20"/>
          <w:szCs w:val="20"/>
          <w:color w:val="auto"/>
        </w:rPr>
      </w:pPr>
      <w:r>
        <w:rPr>
          <w:rFonts w:ascii="Arial" w:cs="Arial" w:eastAsia="Arial" w:hAnsi="Arial"/>
          <w:sz w:val="14"/>
          <w:szCs w:val="14"/>
          <w:i w:val="1"/>
          <w:iCs w:val="1"/>
          <w:color w:val="FFFFFF"/>
        </w:rPr>
        <w:t>(Dollars in millions)</w:t>
      </w:r>
    </w:p>
    <w:p>
      <w:pPr>
        <w:spacing w:after="0" w:line="67" w:lineRule="exact"/>
        <w:rPr>
          <w:sz w:val="20"/>
          <w:szCs w:val="20"/>
          <w:color w:val="auto"/>
        </w:rPr>
      </w:pPr>
    </w:p>
    <w:p>
      <w:pPr>
        <w:jc w:val="center"/>
        <w:ind w:left="8280"/>
        <w:spacing w:after="0"/>
        <w:rPr>
          <w:sz w:val="20"/>
          <w:szCs w:val="20"/>
          <w:color w:val="auto"/>
        </w:rPr>
      </w:pPr>
      <w:r>
        <w:rPr>
          <w:rFonts w:ascii="Arial" w:cs="Arial" w:eastAsia="Arial" w:hAnsi="Arial"/>
          <w:sz w:val="14"/>
          <w:szCs w:val="14"/>
          <w:color w:val="auto"/>
        </w:rPr>
        <w:t>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5268595</wp:posOffset>
            </wp:positionH>
            <wp:positionV relativeFrom="paragraph">
              <wp:posOffset>23495</wp:posOffset>
            </wp:positionV>
            <wp:extent cx="1868805"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1868805" cy="8255"/>
                    </a:xfrm>
                    <a:prstGeom prst="rect">
                      <a:avLst/>
                    </a:prstGeom>
                    <a:noFill/>
                  </pic:spPr>
                </pic:pic>
              </a:graphicData>
            </a:graphic>
          </wp:anchor>
        </w:drawing>
      </w:r>
    </w:p>
    <w:p>
      <w:pPr>
        <w:spacing w:after="0" w:line="49" w:lineRule="exact"/>
        <w:rPr>
          <w:sz w:val="20"/>
          <w:szCs w:val="20"/>
          <w:color w:val="auto"/>
        </w:rPr>
      </w:pPr>
    </w:p>
    <w:p>
      <w:pPr>
        <w:ind w:left="8840"/>
        <w:spacing w:after="0"/>
        <w:tabs>
          <w:tab w:leader="none" w:pos="10360" w:val="left"/>
        </w:tabs>
        <w:rPr>
          <w:sz w:val="20"/>
          <w:szCs w:val="20"/>
          <w:color w:val="auto"/>
        </w:rPr>
      </w:pPr>
      <w:r>
        <w:rPr>
          <w:rFonts w:ascii="Arial" w:cs="Arial" w:eastAsia="Arial" w:hAnsi="Arial"/>
          <w:sz w:val="14"/>
          <w:szCs w:val="14"/>
          <w:color w:val="auto"/>
        </w:rPr>
        <w:t>2026</w:t>
      </w:r>
      <w:r>
        <w:rPr>
          <w:sz w:val="20"/>
          <w:szCs w:val="20"/>
          <w:color w:val="auto"/>
        </w:rPr>
        <w:tab/>
      </w:r>
      <w:r>
        <w:rPr>
          <w:rFonts w:ascii="Arial" w:cs="Arial" w:eastAsia="Arial" w:hAnsi="Arial"/>
          <w:sz w:val="14"/>
          <w:szCs w:val="14"/>
          <w:color w:val="auto"/>
        </w:rPr>
        <w:t>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14541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p>
      <w:pPr>
        <w:spacing w:after="0" w:line="50"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Sempra – Sales-type leases:</w:t>
      </w:r>
    </w:p>
    <w:p>
      <w:pPr>
        <w:spacing w:after="0" w:line="39" w:lineRule="exact"/>
        <w:rPr>
          <w:sz w:val="20"/>
          <w:szCs w:val="20"/>
          <w:color w:val="auto"/>
        </w:rPr>
      </w:pPr>
    </w:p>
    <w:p>
      <w:pPr>
        <w:ind w:left="20"/>
        <w:spacing w:after="0"/>
        <w:rPr>
          <w:sz w:val="20"/>
          <w:szCs w:val="20"/>
          <w:color w:val="auto"/>
        </w:rPr>
      </w:pPr>
      <w:r>
        <w:rPr>
          <w:rFonts w:ascii="Arial" w:cs="Arial" w:eastAsia="Arial" w:hAnsi="Arial"/>
          <w:sz w:val="16"/>
          <w:szCs w:val="16"/>
          <w:color w:val="auto"/>
        </w:rPr>
        <w:t>Interest income</w:t>
      </w:r>
    </w:p>
    <w:p>
      <w:pPr>
        <w:spacing w:after="0" w:line="52" w:lineRule="exact"/>
        <w:rPr>
          <w:sz w:val="20"/>
          <w:szCs w:val="20"/>
          <w:color w:val="auto"/>
        </w:rPr>
      </w:pPr>
    </w:p>
    <w:p>
      <w:pPr>
        <w:ind w:left="140"/>
        <w:spacing w:after="0"/>
        <w:rPr>
          <w:sz w:val="20"/>
          <w:szCs w:val="20"/>
          <w:color w:val="auto"/>
        </w:rPr>
      </w:pPr>
      <w:r>
        <w:rPr>
          <w:rFonts w:ascii="Arial" w:cs="Arial" w:eastAsia="Arial" w:hAnsi="Arial"/>
          <w:sz w:val="15"/>
          <w:szCs w:val="15"/>
          <w:color w:val="auto"/>
        </w:rPr>
        <w:t>Total revenues from sales-type leases</w:t>
      </w:r>
      <w:r>
        <w:rPr>
          <w:rFonts w:ascii="Arial" w:cs="Arial" w:eastAsia="Arial" w:hAnsi="Arial"/>
          <w:sz w:val="20"/>
          <w:szCs w:val="20"/>
          <w:color w:val="auto"/>
          <w:vertAlign w:val="superscript"/>
        </w:rPr>
        <w:t>(1)</w:t>
      </w:r>
    </w:p>
    <w:p>
      <w:pPr>
        <w:spacing w:after="0" w:line="202"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Sempra – Operating leases:</w:t>
      </w:r>
    </w:p>
    <w:p>
      <w:pPr>
        <w:spacing w:after="0" w:line="39" w:lineRule="exact"/>
        <w:rPr>
          <w:sz w:val="20"/>
          <w:szCs w:val="20"/>
          <w:color w:val="auto"/>
        </w:rPr>
      </w:pPr>
    </w:p>
    <w:p>
      <w:pPr>
        <w:ind w:left="20"/>
        <w:spacing w:after="0"/>
        <w:rPr>
          <w:sz w:val="20"/>
          <w:szCs w:val="20"/>
          <w:color w:val="auto"/>
        </w:rPr>
      </w:pPr>
      <w:r>
        <w:rPr>
          <w:rFonts w:ascii="Arial" w:cs="Arial" w:eastAsia="Arial" w:hAnsi="Arial"/>
          <w:sz w:val="16"/>
          <w:szCs w:val="16"/>
          <w:color w:val="auto"/>
        </w:rPr>
        <w:t>Fixed lease payments</w:t>
      </w:r>
    </w:p>
    <w:p>
      <w:pPr>
        <w:spacing w:after="0" w:line="25" w:lineRule="exact"/>
        <w:rPr>
          <w:sz w:val="20"/>
          <w:szCs w:val="20"/>
          <w:color w:val="auto"/>
        </w:rPr>
      </w:pPr>
    </w:p>
    <w:p>
      <w:pPr>
        <w:ind w:left="20"/>
        <w:spacing w:after="0"/>
        <w:rPr>
          <w:sz w:val="20"/>
          <w:szCs w:val="20"/>
          <w:color w:val="auto"/>
        </w:rPr>
      </w:pPr>
      <w:r>
        <w:rPr>
          <w:rFonts w:ascii="Arial" w:cs="Arial" w:eastAsia="Arial" w:hAnsi="Arial"/>
          <w:sz w:val="16"/>
          <w:szCs w:val="16"/>
          <w:color w:val="auto"/>
        </w:rPr>
        <w:t>Variable lease payments</w:t>
      </w:r>
    </w:p>
    <w:p>
      <w:pPr>
        <w:spacing w:after="0" w:line="59" w:lineRule="exact"/>
        <w:rPr>
          <w:sz w:val="20"/>
          <w:szCs w:val="20"/>
          <w:color w:val="auto"/>
        </w:rPr>
      </w:pPr>
    </w:p>
    <w:p>
      <w:pPr>
        <w:ind w:left="140"/>
        <w:spacing w:after="0"/>
        <w:rPr>
          <w:sz w:val="20"/>
          <w:szCs w:val="20"/>
          <w:color w:val="auto"/>
        </w:rPr>
      </w:pPr>
      <w:r>
        <w:rPr>
          <w:rFonts w:ascii="Arial" w:cs="Arial" w:eastAsia="Arial" w:hAnsi="Arial"/>
          <w:sz w:val="16"/>
          <w:szCs w:val="16"/>
          <w:color w:val="auto"/>
        </w:rPr>
        <w:t>Total revenues from operating leases</w:t>
      </w:r>
      <w:r>
        <w:rPr>
          <w:rFonts w:ascii="Arial" w:cs="Arial" w:eastAsia="Arial" w:hAnsi="Arial"/>
          <w:sz w:val="21"/>
          <w:szCs w:val="21"/>
          <w:color w:val="auto"/>
          <w:vertAlign w:val="superscript"/>
        </w:rPr>
        <w:t>(1)</w:t>
      </w:r>
    </w:p>
    <w:p>
      <w:pPr>
        <w:spacing w:after="0" w:line="191" w:lineRule="exact"/>
        <w:rPr>
          <w:sz w:val="20"/>
          <w:szCs w:val="20"/>
          <w:color w:val="auto"/>
        </w:rPr>
      </w:pPr>
    </w:p>
    <w:p>
      <w:pPr>
        <w:ind w:left="20"/>
        <w:spacing w:after="0"/>
        <w:rPr>
          <w:sz w:val="20"/>
          <w:szCs w:val="20"/>
          <w:color w:val="auto"/>
        </w:rPr>
      </w:pPr>
      <w:r>
        <w:rPr>
          <w:rFonts w:ascii="Arial" w:cs="Arial" w:eastAsia="Arial" w:hAnsi="Arial"/>
          <w:sz w:val="16"/>
          <w:szCs w:val="16"/>
          <w:color w:val="auto"/>
        </w:rPr>
        <w:t>Depreciation expense</w:t>
      </w:r>
      <w:r>
        <w:rPr>
          <w:rFonts w:ascii="Arial" w:cs="Arial" w:eastAsia="Arial" w:hAnsi="Arial"/>
          <w:sz w:val="21"/>
          <w:szCs w:val="21"/>
          <w:color w:val="auto"/>
          <w:vertAlign w:val="superscript"/>
        </w:rPr>
        <w:t>(2)</w:t>
      </w:r>
    </w:p>
    <w:p>
      <w:pPr>
        <w:spacing w:after="0" w:line="20" w:lineRule="exact"/>
        <w:rPr>
          <w:sz w:val="20"/>
          <w:szCs w:val="20"/>
          <w:color w:val="auto"/>
        </w:rPr>
      </w:pPr>
      <w:r>
        <w:rPr>
          <w:sz w:val="20"/>
          <w:szCs w:val="20"/>
          <w:color w:val="auto"/>
        </w:rPr>
        <w:br w:type="column"/>
      </w:r>
    </w:p>
    <w:p>
      <w:pPr>
        <w:spacing w:after="0" w:line="24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70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r>
      <w:tr>
        <w:trPr>
          <w:trHeight w:val="217"/>
        </w:trPr>
        <w:tc>
          <w:tcPr>
            <w:tcW w:w="70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r>
      <w:tr>
        <w:trPr>
          <w:trHeight w:val="633"/>
        </w:trPr>
        <w:tc>
          <w:tcPr>
            <w:tcW w:w="700" w:type="dxa"/>
            <w:vAlign w:val="bottom"/>
          </w:tcPr>
          <w:p>
            <w:pPr>
              <w:jc w:val="right"/>
              <w:ind w:right="399"/>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100</w:t>
            </w:r>
          </w:p>
        </w:tc>
        <w:tc>
          <w:tcPr>
            <w:tcW w:w="720" w:type="dxa"/>
            <w:vAlign w:val="bottom"/>
          </w:tcPr>
          <w:p>
            <w:pPr>
              <w:jc w:val="right"/>
              <w:ind w:right="439"/>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86</w:t>
            </w:r>
          </w:p>
        </w:tc>
      </w:tr>
      <w:tr>
        <w:trPr>
          <w:trHeight w:val="217"/>
        </w:trPr>
        <w:tc>
          <w:tcPr>
            <w:tcW w:w="7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8</w:t>
            </w:r>
          </w:p>
        </w:tc>
        <w:tc>
          <w:tcPr>
            <w:tcW w:w="7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w:t>
            </w:r>
          </w:p>
        </w:tc>
      </w:tr>
      <w:tr>
        <w:trPr>
          <w:trHeight w:val="218"/>
        </w:trPr>
        <w:tc>
          <w:tcPr>
            <w:tcW w:w="70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108</w:t>
            </w:r>
          </w:p>
        </w:tc>
        <w:tc>
          <w:tcPr>
            <w:tcW w:w="72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91</w:t>
            </w:r>
          </w:p>
        </w:tc>
      </w:tr>
      <w:tr>
        <w:trPr>
          <w:trHeight w:val="416"/>
        </w:trPr>
        <w:tc>
          <w:tcPr>
            <w:tcW w:w="700" w:type="dxa"/>
            <w:vAlign w:val="bottom"/>
          </w:tcPr>
          <w:p>
            <w:pPr>
              <w:jc w:val="right"/>
              <w:ind w:right="399"/>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720" w:type="dxa"/>
            <w:vAlign w:val="bottom"/>
          </w:tcPr>
          <w:p>
            <w:pPr>
              <w:jc w:val="right"/>
              <w:ind w:right="439"/>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18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-5188585</wp:posOffset>
            </wp:positionH>
            <wp:positionV relativeFrom="paragraph">
              <wp:posOffset>-1129665</wp:posOffset>
            </wp:positionV>
            <wp:extent cx="7132320" cy="15430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-5188585</wp:posOffset>
            </wp:positionH>
            <wp:positionV relativeFrom="paragraph">
              <wp:posOffset>-838200</wp:posOffset>
            </wp:positionV>
            <wp:extent cx="7132320" cy="13716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-5188585</wp:posOffset>
            </wp:positionH>
            <wp:positionV relativeFrom="paragraph">
              <wp:posOffset>-563880</wp:posOffset>
            </wp:positionV>
            <wp:extent cx="7132320" cy="13716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-5188585</wp:posOffset>
            </wp:positionH>
            <wp:positionV relativeFrom="paragraph">
              <wp:posOffset>-272415</wp:posOffset>
            </wp:positionV>
            <wp:extent cx="7132320" cy="13716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-5188585</wp:posOffset>
            </wp:positionH>
            <wp:positionV relativeFrom="paragraph">
              <wp:posOffset>1270</wp:posOffset>
            </wp:positionV>
            <wp:extent cx="7132320" cy="171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89" w:lineRule="exact"/>
        <w:rPr>
          <w:sz w:val="20"/>
          <w:szCs w:val="20"/>
          <w:color w:val="auto"/>
        </w:rPr>
      </w:pPr>
    </w:p>
    <w:p>
      <w:pPr>
        <w:sectPr>
          <w:pgSz w:w="11900" w:h="16838" w:orient="portrait"/>
          <w:cols w:equalWidth="0" w:num="2">
            <w:col w:w="7460" w:space="720"/>
            <w:col w:w="3060"/>
          </w:cols>
          <w:pgMar w:left="320" w:top="121" w:right="339" w:bottom="1440" w:gutter="0" w:footer="0" w:header="0"/>
          <w:type w:val="continuous"/>
        </w:sectPr>
      </w:pPr>
    </w:p>
    <w:p>
      <w:pPr>
        <w:ind w:left="260" w:hanging="252"/>
        <w:spacing w:after="0"/>
        <w:tabs>
          <w:tab w:leader="none" w:pos="260" w:val="left"/>
        </w:tabs>
        <w:numPr>
          <w:ilvl w:val="0"/>
          <w:numId w:val="38"/>
        </w:numPr>
        <w:rPr>
          <w:rFonts w:ascii="Arial" w:cs="Arial" w:eastAsia="Arial" w:hAnsi="Arial"/>
          <w:sz w:val="21"/>
          <w:szCs w:val="21"/>
          <w:i w:val="1"/>
          <w:iCs w:val="1"/>
          <w:color w:val="auto"/>
          <w:vertAlign w:val="superscript"/>
        </w:rPr>
      </w:pPr>
      <w:r>
        <w:rPr>
          <w:rFonts w:ascii="Arial" w:cs="Arial" w:eastAsia="Arial" w:hAnsi="Arial"/>
          <w:sz w:val="14"/>
          <w:szCs w:val="14"/>
          <w:i w:val="1"/>
          <w:iCs w:val="1"/>
          <w:color w:val="auto"/>
        </w:rPr>
        <w:t>Included in Revenues: Energy-Related Businesses on the Condensed Consolidated Statements of Operations.</w:t>
      </w:r>
    </w:p>
    <w:p>
      <w:pPr>
        <w:spacing w:after="0" w:line="39" w:lineRule="exact"/>
        <w:rPr>
          <w:rFonts w:ascii="Arial" w:cs="Arial" w:eastAsia="Arial" w:hAnsi="Arial"/>
          <w:sz w:val="21"/>
          <w:szCs w:val="21"/>
          <w:i w:val="1"/>
          <w:iCs w:val="1"/>
          <w:color w:val="auto"/>
          <w:vertAlign w:val="superscript"/>
        </w:rPr>
      </w:pPr>
    </w:p>
    <w:p>
      <w:pPr>
        <w:ind w:left="260" w:hanging="252"/>
        <w:spacing w:after="0" w:line="183" w:lineRule="auto"/>
        <w:tabs>
          <w:tab w:leader="none" w:pos="260" w:val="left"/>
        </w:tabs>
        <w:numPr>
          <w:ilvl w:val="0"/>
          <w:numId w:val="38"/>
        </w:numPr>
        <w:rPr>
          <w:rFonts w:ascii="Arial" w:cs="Arial" w:eastAsia="Arial" w:hAnsi="Arial"/>
          <w:sz w:val="20"/>
          <w:szCs w:val="20"/>
          <w:i w:val="1"/>
          <w:iCs w:val="1"/>
          <w:color w:val="auto"/>
          <w:vertAlign w:val="superscript"/>
        </w:rPr>
      </w:pPr>
      <w:r>
        <w:rPr>
          <w:rFonts w:ascii="Arial" w:cs="Arial" w:eastAsia="Arial" w:hAnsi="Arial"/>
          <w:sz w:val="14"/>
          <w:szCs w:val="14"/>
          <w:i w:val="1"/>
          <w:iCs w:val="1"/>
          <w:color w:val="auto"/>
        </w:rPr>
        <w:t>We stopped recording depreciation expense when these assets were classified as held for sale in September 2025.</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COMMITMENTS</w:t>
      </w:r>
    </w:p>
    <w:p>
      <w:pPr>
        <w:spacing w:after="0" w:line="118" w:lineRule="exact"/>
        <w:rPr>
          <w:sz w:val="20"/>
          <w:szCs w:val="20"/>
          <w:color w:val="auto"/>
        </w:rPr>
      </w:pPr>
    </w:p>
    <w:p>
      <w:pPr>
        <w:ind w:right="460"/>
        <w:spacing w:after="0" w:line="297" w:lineRule="auto"/>
        <w:rPr>
          <w:sz w:val="20"/>
          <w:szCs w:val="20"/>
          <w:color w:val="auto"/>
        </w:rPr>
      </w:pPr>
      <w:r>
        <w:rPr>
          <w:rFonts w:ascii="Times New Roman" w:cs="Times New Roman" w:eastAsia="Times New Roman" w:hAnsi="Times New Roman"/>
          <w:sz w:val="18"/>
          <w:szCs w:val="18"/>
          <w:color w:val="auto"/>
        </w:rPr>
        <w:t>We discuss below significant changes in the first three months of 2026 to contractual commitments discussed in Note 16 of the Notes to Consolidated Financial Statements in the Annual Report.</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Natural Gas Contracts</w:t>
      </w:r>
    </w:p>
    <w:p>
      <w:pPr>
        <w:spacing w:after="0" w:line="49" w:lineRule="exact"/>
        <w:rPr>
          <w:sz w:val="20"/>
          <w:szCs w:val="20"/>
          <w:color w:val="auto"/>
        </w:rPr>
      </w:pPr>
    </w:p>
    <w:p>
      <w:pPr>
        <w:ind w:right="40"/>
        <w:spacing w:after="0" w:line="271" w:lineRule="auto"/>
        <w:rPr>
          <w:sz w:val="20"/>
          <w:szCs w:val="20"/>
          <w:color w:val="auto"/>
        </w:rPr>
      </w:pPr>
      <w:r>
        <w:rPr>
          <w:rFonts w:ascii="Times New Roman" w:cs="Times New Roman" w:eastAsia="Times New Roman" w:hAnsi="Times New Roman"/>
          <w:sz w:val="18"/>
          <w:szCs w:val="18"/>
          <w:color w:val="auto"/>
        </w:rPr>
        <w:t>SoCalGas’ natural gas contracts and transportation commitments have increased by approximately $192 million since December 31, 2025, reflecting a decrease related to amounts that settled during the first three months of 2026 and increases from entering into new natural gas transportation contracts in the first three months of 2026. At March 31, 2026, we expect future payments to decrease by $24 million in 2026, and increase by $16 million in 2027, $21 million in 2028, $22 million in each of 2029 and 2030, and $135 million thereafter compared to December 31, 2025.</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LNG Purchase Agreement</w:t>
      </w:r>
    </w:p>
    <w:p>
      <w:pPr>
        <w:spacing w:after="0" w:line="49" w:lineRule="exact"/>
        <w:rPr>
          <w:sz w:val="20"/>
          <w:szCs w:val="20"/>
          <w:color w:val="auto"/>
        </w:rPr>
      </w:pPr>
    </w:p>
    <w:p>
      <w:pPr>
        <w:ind w:right="80"/>
        <w:spacing w:after="0" w:line="283" w:lineRule="auto"/>
        <w:rPr>
          <w:sz w:val="20"/>
          <w:szCs w:val="20"/>
          <w:color w:val="auto"/>
        </w:rPr>
      </w:pPr>
      <w:r>
        <w:rPr>
          <w:rFonts w:ascii="Times New Roman" w:cs="Times New Roman" w:eastAsia="Times New Roman" w:hAnsi="Times New Roman"/>
          <w:sz w:val="17"/>
          <w:szCs w:val="17"/>
          <w:color w:val="auto"/>
        </w:rPr>
        <w:t>SI Partners has an SPA for the supply of LNG to the ECA Regas Facility, which is included within the disposal group that is classified as held for sale. The commitment amount is calculated using a predetermined formula based on estimated forward prices of the index applicable from 2026 to 2029. Although this agreement specifies a number of cargoes to be delivered, under its terms, the supplier may divert certain cargoes, which would reduce amounts paid under the agreement by SI Partners. At March 31, 2026, we expect the commitment amount to decrease by $122 million in 2026, $55 million in 2027, $12 million in 2028 and $14 million in 2029 compared to December 31, 2025, reflecting changes in estimated forward prices since December 31, 2025 and actual transactions in the first three months of 2026. These LNG commitment amounts are based on the assumption that all LNG cargoes under the agreement are delivered, less those already confirmed to be diverted as of March 31, 2026. Actual LNG purchases in the current and prior years have been significantly lower than the maximum amount provided under the agreement due to the supplier electing to divert cargoes as allowed by the agreement.</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PPAs Not Accounted for as Leases</w:t>
      </w:r>
    </w:p>
    <w:p>
      <w:pPr>
        <w:spacing w:after="0" w:line="49" w:lineRule="exact"/>
        <w:rPr>
          <w:sz w:val="20"/>
          <w:szCs w:val="20"/>
          <w:color w:val="auto"/>
        </w:rPr>
      </w:pPr>
    </w:p>
    <w:p>
      <w:pPr>
        <w:ind w:right="440"/>
        <w:spacing w:after="0" w:line="281" w:lineRule="auto"/>
        <w:rPr>
          <w:sz w:val="20"/>
          <w:szCs w:val="20"/>
          <w:color w:val="auto"/>
        </w:rPr>
      </w:pPr>
      <w:r>
        <w:rPr>
          <w:rFonts w:ascii="Times New Roman" w:cs="Times New Roman" w:eastAsia="Times New Roman" w:hAnsi="Times New Roman"/>
          <w:sz w:val="18"/>
          <w:szCs w:val="18"/>
          <w:color w:val="auto"/>
        </w:rPr>
        <w:t>SDG&amp;E’s PPA commitments have increased by approximately $99 million since December 31, 2025, primarily from entering into energy storage agreements in the first three months of 2026. At March 31, 2026, we expect future payments to increase by $5 million in 2026, $4 million in 2027, $6 million in each of 2028 through 2030, and $72 million thereafter compared to December 31, 2025.</w:t>
      </w: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77" w:name="page78"/>
    <w:bookmarkEnd w:id="7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ISSUES</w:t>
      </w:r>
    </w:p>
    <w:p>
      <w:pPr>
        <w:spacing w:after="0" w:line="118" w:lineRule="exact"/>
        <w:rPr>
          <w:sz w:val="20"/>
          <w:szCs w:val="20"/>
          <w:color w:val="auto"/>
        </w:rPr>
      </w:pPr>
    </w:p>
    <w:p>
      <w:pPr>
        <w:ind w:right="220"/>
        <w:spacing w:after="0" w:line="274" w:lineRule="auto"/>
        <w:rPr>
          <w:sz w:val="20"/>
          <w:szCs w:val="20"/>
          <w:color w:val="auto"/>
        </w:rPr>
      </w:pPr>
      <w:r>
        <w:rPr>
          <w:rFonts w:ascii="Times New Roman" w:cs="Times New Roman" w:eastAsia="Times New Roman" w:hAnsi="Times New Roman"/>
          <w:sz w:val="18"/>
          <w:szCs w:val="18"/>
          <w:color w:val="auto"/>
        </w:rPr>
        <w:t>We disclose any proceeding under environmental laws to which a government authority is a party when the potential monetary sanctions, exclusive of interest and costs, exceed the lesser of $1 million or 1% of current assets, which is $362 million for Sempra, $25 million for SDG&amp;E and $15 million for SoCalGas at March 31, 2026.</w:t>
      </w:r>
    </w:p>
    <w:p>
      <w:pPr>
        <w:spacing w:after="0" w:line="3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SEMPRA </w:t>
      </w:r>
      <w:r>
        <w:rPr>
          <w:rFonts w:ascii="Arial" w:cs="Arial" w:eastAsia="Arial" w:hAnsi="Arial"/>
          <w:sz w:val="19"/>
          <w:szCs w:val="19"/>
          <w:color w:val="auto"/>
        </w:rPr>
        <w:t>–</w:t>
      </w:r>
      <w:r>
        <w:rPr>
          <w:rFonts w:ascii="Arial" w:cs="Arial" w:eastAsia="Arial" w:hAnsi="Arial"/>
          <w:sz w:val="18"/>
          <w:szCs w:val="18"/>
          <w:b w:val="1"/>
          <w:bCs w:val="1"/>
          <w:color w:val="auto"/>
        </w:rPr>
        <w:t xml:space="preserve"> GUARANTEES</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Sempra Promissory Note for SDSRA Distribution</w:t>
      </w:r>
    </w:p>
    <w:p>
      <w:pPr>
        <w:spacing w:after="0" w:line="49" w:lineRule="exact"/>
        <w:rPr>
          <w:sz w:val="20"/>
          <w:szCs w:val="20"/>
          <w:color w:val="auto"/>
        </w:rPr>
      </w:pPr>
    </w:p>
    <w:p>
      <w:pPr>
        <w:ind w:right="320"/>
        <w:spacing w:after="0" w:line="264" w:lineRule="auto"/>
        <w:rPr>
          <w:sz w:val="20"/>
          <w:szCs w:val="20"/>
          <w:color w:val="auto"/>
        </w:rPr>
      </w:pPr>
      <w:r>
        <w:rPr>
          <w:rFonts w:ascii="Times New Roman" w:cs="Times New Roman" w:eastAsia="Times New Roman" w:hAnsi="Times New Roman"/>
          <w:sz w:val="18"/>
          <w:szCs w:val="18"/>
          <w:color w:val="auto"/>
        </w:rPr>
        <w:t>Cameron LNG JV’s debt agreements require Cameron LNG JV to maintain the SDSRA, which is an additional reserve account beyond the Senior Debt Service Accrual Account, where funds accumulate from operations to satisfy senior debt obligations due and payable on the next payment date. Both accounts can be funded with cash or authorized investments. In June 2021, Sempra Infrastructure received a distribution of $165 million based on its proportionate share of the SDSRA, for which Sempra provided a promissory note and letters of credit to secure a proportionate share of Cameron LNG JV’s obligation to fund the SDSRA. Sempra’s maximum exposure to loss is replenishment of the amount withdrawn by Sempra Infrastructure from the SDSRA, or $165 million. We recorded a guarantee liability of $22 million in June 2021, with an associated carrying value of $16 million at March 31, 2026, for the fair value of the promissory note, which is being reduced over the duration of the guarantee through Sempra Infrastructure’s investment in Cameron LNG JV. The guarantee will terminate upon full repayment of Cameron LNG JV’s debt, scheduled to occur in 2039, or replenishment of the amount withdrawn by Sempra Infrastructure from the SDSRA.</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guarantee will remain with Sempra after the planned sale of a portion of our equity interest in SI Partners is complete, which we discuss in Note 6.</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Sempra Support Agreement for CFIN</w:t>
      </w:r>
    </w:p>
    <w:p>
      <w:pPr>
        <w:spacing w:after="0" w:line="49" w:lineRule="exact"/>
        <w:rPr>
          <w:sz w:val="20"/>
          <w:szCs w:val="20"/>
          <w:color w:val="auto"/>
        </w:rPr>
      </w:pPr>
    </w:p>
    <w:p>
      <w:pPr>
        <w:ind w:right="120"/>
        <w:spacing w:after="0" w:line="270" w:lineRule="auto"/>
        <w:rPr>
          <w:sz w:val="20"/>
          <w:szCs w:val="20"/>
          <w:color w:val="auto"/>
        </w:rPr>
      </w:pPr>
      <w:r>
        <w:rPr>
          <w:rFonts w:ascii="Times New Roman" w:cs="Times New Roman" w:eastAsia="Times New Roman" w:hAnsi="Times New Roman"/>
          <w:sz w:val="18"/>
          <w:szCs w:val="18"/>
          <w:color w:val="auto"/>
        </w:rPr>
        <w:t>In July 2020, CFIN entered into a financing arrangement with Cameron LNG JV’s four project owners and received aggregate proceeds of $1.5 billion from two project owners and from external lenders on behalf of the other two project owners (collectively, the affiliate loans), based on their proportionate ownership interest in Cameron LNG JV. CFIN used the proceeds from the affiliate loans to provide a loan to Cameron LNG JV. The affiliate loans mature in 2039. Principal and interest are paid from Cameron LNG JV’s project cash flows from its three-train natural gas liquefaction facility. Cameron LNG JV used the proceeds from its loan to return equity to its project owners.</w:t>
      </w:r>
    </w:p>
    <w:p>
      <w:pPr>
        <w:spacing w:after="0" w:line="64" w:lineRule="exact"/>
        <w:rPr>
          <w:sz w:val="20"/>
          <w:szCs w:val="20"/>
          <w:color w:val="auto"/>
        </w:rPr>
      </w:pPr>
    </w:p>
    <w:p>
      <w:pPr>
        <w:spacing w:after="0" w:line="281" w:lineRule="auto"/>
        <w:rPr>
          <w:sz w:val="20"/>
          <w:szCs w:val="20"/>
          <w:color w:val="auto"/>
        </w:rPr>
      </w:pPr>
      <w:r>
        <w:rPr>
          <w:rFonts w:ascii="Times New Roman" w:cs="Times New Roman" w:eastAsia="Times New Roman" w:hAnsi="Times New Roman"/>
          <w:sz w:val="18"/>
          <w:szCs w:val="18"/>
          <w:color w:val="auto"/>
        </w:rPr>
        <w:t>Sempra Infrastructure’s $753 million proportionate share of the affiliate loans, based on SI Partners’ 50.2% ownership interest in Cameron LNG JV, was funded by external lenders comprised of a syndicate of banks (the bank debt) to whom Sempra has provided a guarantee pursuant to the Support Agreement under which:</w:t>
      </w:r>
    </w:p>
    <w:p>
      <w:pPr>
        <w:spacing w:after="0" w:line="2" w:lineRule="exact"/>
        <w:rPr>
          <w:sz w:val="20"/>
          <w:szCs w:val="20"/>
          <w:color w:val="auto"/>
        </w:rPr>
      </w:pPr>
    </w:p>
    <w:p>
      <w:pPr>
        <w:ind w:left="160" w:hanging="152"/>
        <w:spacing w:after="0"/>
        <w:tabs>
          <w:tab w:leader="none" w:pos="1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Sempra has severally guaranteed repayment of the bank debt plus accrued and unpaid interest if CFIN fails to pay the external lenders</w:t>
      </w:r>
    </w:p>
    <w:p>
      <w:pPr>
        <w:spacing w:after="0" w:line="63" w:lineRule="exact"/>
        <w:rPr>
          <w:rFonts w:ascii="Times New Roman" w:cs="Times New Roman" w:eastAsia="Times New Roman" w:hAnsi="Times New Roman"/>
          <w:sz w:val="18"/>
          <w:szCs w:val="18"/>
          <w:color w:val="auto"/>
        </w:rPr>
      </w:pPr>
    </w:p>
    <w:p>
      <w:pPr>
        <w:ind w:left="180" w:right="300" w:hanging="172"/>
        <w:spacing w:after="0" w:line="266" w:lineRule="auto"/>
        <w:tabs>
          <w:tab w:leader="none" w:pos="176"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external lenders may exercise an option to put the bank debt to Sempra Infrastructure upon the occurrence of certain events, including a failure by CFIN to meet its payment obligations under the bank debt</w:t>
      </w:r>
    </w:p>
    <w:p>
      <w:pPr>
        <w:jc w:val="both"/>
        <w:ind w:left="180" w:right="140" w:hanging="172"/>
        <w:spacing w:after="0" w:line="258" w:lineRule="auto"/>
        <w:tabs>
          <w:tab w:leader="none" w:pos="176"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March 28, 2028, March 28, 2030 and March 28, 2035, the agent for the external lenders, on behalf of such external lenders, is obligated to put all of the then outstanding bank debt to Sempra Infrastructure, except to the extent any external lender elects not to participate in the put three months prior to the applicable put exercise date</w:t>
      </w:r>
    </w:p>
    <w:p>
      <w:pPr>
        <w:spacing w:after="0" w:line="7" w:lineRule="exact"/>
        <w:rPr>
          <w:rFonts w:ascii="Times New Roman" w:cs="Times New Roman" w:eastAsia="Times New Roman" w:hAnsi="Times New Roman"/>
          <w:sz w:val="18"/>
          <w:szCs w:val="18"/>
          <w:color w:val="auto"/>
        </w:rPr>
      </w:pPr>
    </w:p>
    <w:p>
      <w:pPr>
        <w:ind w:left="160" w:hanging="152"/>
        <w:spacing w:after="0"/>
        <w:tabs>
          <w:tab w:leader="none" w:pos="1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Sempra Infrastructure also has a right to call the bank debt back from, or to refinance the bank debt with, the external lenders at any time</w:t>
      </w:r>
    </w:p>
    <w:p>
      <w:pPr>
        <w:spacing w:after="0" w:line="63" w:lineRule="exact"/>
        <w:rPr>
          <w:rFonts w:ascii="Times New Roman" w:cs="Times New Roman" w:eastAsia="Times New Roman" w:hAnsi="Times New Roman"/>
          <w:sz w:val="18"/>
          <w:szCs w:val="18"/>
          <w:color w:val="auto"/>
        </w:rPr>
      </w:pPr>
    </w:p>
    <w:p>
      <w:pPr>
        <w:ind w:left="180" w:right="360" w:hanging="172"/>
        <w:spacing w:after="0" w:line="266" w:lineRule="auto"/>
        <w:tabs>
          <w:tab w:leader="none" w:pos="176"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Support Agreement will terminate upon full repayment of the bank debt, including repayment following an event in which the bank debt is put to Sempra Infrastructure</w:t>
      </w:r>
    </w:p>
    <w:p>
      <w:pPr>
        <w:spacing w:after="0" w:line="108" w:lineRule="exact"/>
        <w:rPr>
          <w:sz w:val="20"/>
          <w:szCs w:val="20"/>
          <w:color w:val="auto"/>
        </w:rPr>
      </w:pPr>
    </w:p>
    <w:p>
      <w:pPr>
        <w:ind w:right="60"/>
        <w:spacing w:after="0" w:line="269" w:lineRule="auto"/>
        <w:rPr>
          <w:sz w:val="20"/>
          <w:szCs w:val="20"/>
          <w:color w:val="auto"/>
        </w:rPr>
      </w:pPr>
      <w:r>
        <w:rPr>
          <w:rFonts w:ascii="Times New Roman" w:cs="Times New Roman" w:eastAsia="Times New Roman" w:hAnsi="Times New Roman"/>
          <w:sz w:val="18"/>
          <w:szCs w:val="18"/>
          <w:color w:val="auto"/>
        </w:rPr>
        <w:t>In exchange for this guarantee, the external lenders pay a guarantee fee that is based on the credit rating of Sempra’s long-term senior unsecured non-credit enhanced debt rating, which guarantee fee Sempra Infrastructure recognizes as interest income as earned. Sempra’s maximum exposure to loss is the bank debt plus any accrued and unpaid interest and related fees, subject to a liability cap of 130% of the bank debt, or $979 million. We measure the Support Agreement at fair value, net of related guarantee fees, on a recurring basis (see Note 9). At March 31, 2026, the fair value of the Support Agreement is $41 million, of which $8 million is included in Other Current Assets and $33 million is included in Other Long-Term Assets on Sempra’s Condensed Consolidated Balance Sheet.</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guarantee will remain with Sempra after the planned sale of a portion of our equity interest in SI Partners is complete, which we discuss in Note 6.</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150495</wp:posOffset>
            </wp:positionV>
            <wp:extent cx="7157720" cy="425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SI Partners Credit Support Agreement</w:t>
      </w:r>
    </w:p>
    <w:p>
      <w:pPr>
        <w:spacing w:after="0" w:line="49" w:lineRule="exact"/>
        <w:rPr>
          <w:sz w:val="20"/>
          <w:szCs w:val="20"/>
          <w:color w:val="auto"/>
        </w:rPr>
      </w:pPr>
    </w:p>
    <w:p>
      <w:pPr>
        <w:ind w:right="260"/>
        <w:spacing w:after="0" w:line="274" w:lineRule="auto"/>
        <w:rPr>
          <w:sz w:val="20"/>
          <w:szCs w:val="20"/>
          <w:color w:val="auto"/>
        </w:rPr>
      </w:pPr>
      <w:r>
        <w:rPr>
          <w:rFonts w:ascii="Times New Roman" w:cs="Times New Roman" w:eastAsia="Times New Roman" w:hAnsi="Times New Roman"/>
          <w:sz w:val="18"/>
          <w:szCs w:val="18"/>
          <w:color w:val="auto"/>
        </w:rPr>
        <w:t>In February 2025, SI Partners entered into a 15-month credit support agreement with a third-party financial institution related to a customer’s secured borrowing for repayment of its past due account balance owed to SI Partners. At March 31, 2026, SI Partners’ maximum exposure to loss under this off-balance sheet arrangement is $29 million.</w:t>
      </w:r>
    </w:p>
    <w:p>
      <w:pPr>
        <w:spacing w:after="0" w:line="74" w:lineRule="exact"/>
        <w:rPr>
          <w:sz w:val="20"/>
          <w:szCs w:val="20"/>
          <w:color w:val="auto"/>
        </w:rPr>
      </w:pPr>
    </w:p>
    <w:p>
      <w:pPr>
        <w:ind w:right="60"/>
        <w:spacing w:after="0" w:line="297" w:lineRule="auto"/>
        <w:rPr>
          <w:sz w:val="20"/>
          <w:szCs w:val="20"/>
          <w:color w:val="auto"/>
        </w:rPr>
      </w:pPr>
      <w:r>
        <w:rPr>
          <w:rFonts w:ascii="Times New Roman" w:cs="Times New Roman" w:eastAsia="Times New Roman" w:hAnsi="Times New Roman"/>
          <w:sz w:val="18"/>
          <w:szCs w:val="18"/>
          <w:color w:val="auto"/>
        </w:rPr>
        <w:t>This guarantee, if not yet terminated, will remain with SI Partners after the planned sale of a portion of our equity interest in SI Partners is complete, which we discuss in Note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286385</wp:posOffset>
            </wp:positionV>
            <wp:extent cx="7132320"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spacing w:after="0"/>
        <w:rPr>
          <w:sz w:val="20"/>
          <w:szCs w:val="20"/>
          <w:color w:val="auto"/>
        </w:rPr>
      </w:pPr>
      <w:r>
        <w:rPr>
          <w:rFonts w:ascii="Arial" w:cs="Arial" w:eastAsia="Arial" w:hAnsi="Arial"/>
          <w:sz w:val="20"/>
          <w:szCs w:val="20"/>
          <w:color w:val="auto"/>
        </w:rPr>
        <w:t>NOTE 14. SEGMENT INFORMATION</w:t>
      </w:r>
    </w:p>
    <w:p>
      <w:pPr>
        <w:spacing w:after="0" w:line="3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SEMPRA</w:t>
      </w:r>
    </w:p>
    <w:p>
      <w:pPr>
        <w:spacing w:after="0" w:line="118" w:lineRule="exact"/>
        <w:rPr>
          <w:sz w:val="20"/>
          <w:szCs w:val="20"/>
          <w:color w:val="auto"/>
        </w:rPr>
      </w:pPr>
    </w:p>
    <w:p>
      <w:pPr>
        <w:jc w:val="both"/>
        <w:ind w:right="220"/>
        <w:spacing w:after="0" w:line="274" w:lineRule="auto"/>
        <w:rPr>
          <w:sz w:val="20"/>
          <w:szCs w:val="20"/>
          <w:color w:val="auto"/>
        </w:rPr>
      </w:pPr>
      <w:r>
        <w:rPr>
          <w:rFonts w:ascii="Times New Roman" w:cs="Times New Roman" w:eastAsia="Times New Roman" w:hAnsi="Times New Roman"/>
          <w:sz w:val="18"/>
          <w:szCs w:val="18"/>
          <w:color w:val="auto"/>
        </w:rPr>
        <w:t>Sempra is a holding company whose principal businesses are regulated utilities in California and Texas. Our businesses invest in and operate electric and gas utilities and other energy infrastructure that provide energy services to customers. Sempra has the following three operating and reportable segments, which are managed separately based on services provided, geographic location and regulatory framework:</w:t>
      </w:r>
    </w:p>
    <w:p>
      <w:pPr>
        <w:spacing w:after="0" w:line="72" w:lineRule="exact"/>
        <w:rPr>
          <w:sz w:val="20"/>
          <w:szCs w:val="20"/>
          <w:color w:val="auto"/>
        </w:rPr>
      </w:pPr>
    </w:p>
    <w:p>
      <w:pPr>
        <w:ind w:left="180" w:right="620" w:hanging="172"/>
        <w:spacing w:after="0" w:line="268" w:lineRule="auto"/>
        <w:tabs>
          <w:tab w:leader="none" w:pos="176"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Sempra California </w:t>
      </w:r>
      <w:r>
        <w:rPr>
          <w:rFonts w:ascii="Times New Roman" w:cs="Times New Roman" w:eastAsia="Times New Roman" w:hAnsi="Times New Roman"/>
          <w:sz w:val="18"/>
          <w:szCs w:val="18"/>
          <w:color w:val="auto"/>
        </w:rPr>
        <w:t>provides natural gas and electric service to Southern California and part of central California through Sempra’s wholly owned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subsidiaries, SDG&amp;E and SoCalGas, which are regulated public utilities.</w:t>
      </w:r>
    </w:p>
    <w:p>
      <w:pPr>
        <w:spacing w:after="0" w:line="10" w:lineRule="exact"/>
        <w:rPr>
          <w:rFonts w:ascii="Times New Roman" w:cs="Times New Roman" w:eastAsia="Times New Roman" w:hAnsi="Times New Roman"/>
          <w:sz w:val="18"/>
          <w:szCs w:val="18"/>
          <w:color w:val="auto"/>
        </w:rPr>
      </w:pPr>
    </w:p>
    <w:p>
      <w:pPr>
        <w:ind w:left="180" w:hanging="172"/>
        <w:spacing w:after="0" w:line="273" w:lineRule="auto"/>
        <w:tabs>
          <w:tab w:leader="none" w:pos="176" w:val="left"/>
        </w:tabs>
        <w:numPr>
          <w:ilvl w:val="0"/>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Sempra Texas Utilities </w:t>
      </w:r>
      <w:r>
        <w:rPr>
          <w:rFonts w:ascii="Times New Roman" w:cs="Times New Roman" w:eastAsia="Times New Roman" w:hAnsi="Times New Roman"/>
          <w:sz w:val="17"/>
          <w:szCs w:val="17"/>
          <w:color w:val="auto"/>
        </w:rPr>
        <w:t>holds our equity method investment in Oncor Holdings, which owns an 80.25% interest in Oncor, a regulated electric transmission</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and distribution utility serving customers in the north-central, eastern, western and panhandle regions of Texas; and our equity method investment in Sharyland Holdings, L.P., which owns Sharyland Utilities, a regulated electric transmission utility serving customers near the Texas-Mexico border.</w:t>
      </w:r>
    </w:p>
    <w:p>
      <w:pPr>
        <w:spacing w:after="0" w:line="7" w:lineRule="exact"/>
        <w:rPr>
          <w:rFonts w:ascii="Times New Roman" w:cs="Times New Roman" w:eastAsia="Times New Roman" w:hAnsi="Times New Roman"/>
          <w:sz w:val="17"/>
          <w:szCs w:val="17"/>
          <w:color w:val="auto"/>
        </w:rPr>
      </w:pPr>
    </w:p>
    <w:p>
      <w:pPr>
        <w:ind w:left="180" w:right="180" w:hanging="172"/>
        <w:spacing w:after="0" w:line="251" w:lineRule="auto"/>
        <w:tabs>
          <w:tab w:leader="none" w:pos="176"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Sempra Infrastructure </w:t>
      </w:r>
      <w:r>
        <w:rPr>
          <w:rFonts w:ascii="Times New Roman" w:cs="Times New Roman" w:eastAsia="Times New Roman" w:hAnsi="Times New Roman"/>
          <w:sz w:val="18"/>
          <w:szCs w:val="18"/>
          <w:color w:val="auto"/>
        </w:rPr>
        <w:t>includes the operating companies of SI Partners, in which Sempra Infrastructure owns a 70% interest, as well as a holding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company and certain services companies. Sempra Infrastructure develops, constructs, operates and invests in energy infrastructure to help provide safe, sustainable and reliable access to cleaner energy in markets in the U.S., Mexico and globally.</w:t>
      </w:r>
    </w:p>
    <w:p>
      <w:pPr>
        <w:spacing w:after="0" w:line="136" w:lineRule="exact"/>
        <w:rPr>
          <w:sz w:val="20"/>
          <w:szCs w:val="20"/>
          <w:color w:val="auto"/>
        </w:rPr>
      </w:pPr>
    </w:p>
    <w:p>
      <w:pPr>
        <w:ind w:right="40"/>
        <w:spacing w:after="0" w:line="274" w:lineRule="auto"/>
        <w:rPr>
          <w:sz w:val="20"/>
          <w:szCs w:val="20"/>
          <w:color w:val="auto"/>
        </w:rPr>
      </w:pPr>
      <w:r>
        <w:rPr>
          <w:rFonts w:ascii="Times New Roman" w:cs="Times New Roman" w:eastAsia="Times New Roman" w:hAnsi="Times New Roman"/>
          <w:sz w:val="18"/>
          <w:szCs w:val="18"/>
          <w:color w:val="auto"/>
        </w:rPr>
        <w:t>Sempra’s CODM is its chief executive officer, who utilizes segment earnings attributable to common shares predominantly in the annual financial planning process to assess financial performance. Sempra’s CODM prioritizes resource allocation to each segment in a manner that aligns with Sempra’s capital expenditures plan.</w:t>
      </w:r>
    </w:p>
    <w:p>
      <w:pPr>
        <w:spacing w:after="0" w:line="61" w:lineRule="exact"/>
        <w:rPr>
          <w:sz w:val="20"/>
          <w:szCs w:val="20"/>
          <w:color w:val="auto"/>
        </w:rPr>
      </w:pPr>
    </w:p>
    <w:p>
      <w:pPr>
        <w:ind w:right="220"/>
        <w:spacing w:after="0" w:line="297" w:lineRule="auto"/>
        <w:rPr>
          <w:sz w:val="20"/>
          <w:szCs w:val="20"/>
          <w:color w:val="auto"/>
        </w:rPr>
      </w:pPr>
      <w:r>
        <w:rPr>
          <w:rFonts w:ascii="Times New Roman" w:cs="Times New Roman" w:eastAsia="Times New Roman" w:hAnsi="Times New Roman"/>
          <w:sz w:val="18"/>
          <w:szCs w:val="18"/>
          <w:color w:val="auto"/>
        </w:rPr>
        <w:t>Amounts labeled as “Parent and other,” which does not meet the definition of an operating or reportable segment, consist primarily of activities of parent organizations.</w:t>
      </w: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150495</wp:posOffset>
            </wp:positionV>
            <wp:extent cx="7157720" cy="425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right="380"/>
        <w:spacing w:after="0" w:line="297" w:lineRule="auto"/>
        <w:rPr>
          <w:sz w:val="20"/>
          <w:szCs w:val="20"/>
          <w:color w:val="auto"/>
        </w:rPr>
      </w:pPr>
      <w:r>
        <w:rPr>
          <w:rFonts w:ascii="Times New Roman" w:cs="Times New Roman" w:eastAsia="Times New Roman" w:hAnsi="Times New Roman"/>
          <w:sz w:val="18"/>
          <w:szCs w:val="18"/>
          <w:color w:val="auto"/>
        </w:rPr>
        <w:t>The following tables present selected information by segment and reconciliations of assets, capital expenditures for PP&amp;E, and earnings attributable to common shares to Sempra’s consolidated totals.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55245</wp:posOffset>
            </wp:positionV>
            <wp:extent cx="7132320" cy="3003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32320" cy="300355"/>
                    </a:xfrm>
                    <a:prstGeom prst="rect">
                      <a:avLst/>
                    </a:prstGeom>
                    <a:noFill/>
                  </pic:spPr>
                </pic:pic>
              </a:graphicData>
            </a:graphic>
          </wp:anchor>
        </w:drawing>
      </w:r>
    </w:p>
    <w:p>
      <w:pPr>
        <w:spacing w:after="0" w:line="79"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FFFFFF"/>
        </w:rPr>
        <w:t>SEGMENT INFORMATION</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8160" w:type="dxa"/>
            <w:vAlign w:val="bottom"/>
          </w:tcPr>
          <w:p>
            <w:pPr>
              <w:ind w:left="20"/>
              <w:spacing w:after="0"/>
              <w:rPr>
                <w:sz w:val="20"/>
                <w:szCs w:val="20"/>
                <w:color w:val="auto"/>
              </w:rPr>
            </w:pPr>
            <w:r>
              <w:rPr>
                <w:rFonts w:ascii="Arial" w:cs="Arial" w:eastAsia="Arial" w:hAnsi="Arial"/>
                <w:sz w:val="14"/>
                <w:szCs w:val="14"/>
                <w:i w:val="1"/>
                <w:iCs w:val="1"/>
                <w:color w:val="FFFFFF"/>
              </w:rPr>
              <w:t>(Dollars in millions)</w:t>
            </w:r>
          </w:p>
        </w:tc>
        <w:tc>
          <w:tcPr>
            <w:tcW w:w="260" w:type="dxa"/>
            <w:vAlign w:val="bottom"/>
            <w:shd w:val="clear" w:color="auto" w:fill="001689"/>
          </w:tcPr>
          <w:p>
            <w:pPr>
              <w:spacing w:after="0"/>
              <w:rPr>
                <w:sz w:val="18"/>
                <w:szCs w:val="18"/>
                <w:color w:val="auto"/>
              </w:rPr>
            </w:pPr>
          </w:p>
        </w:tc>
        <w:tc>
          <w:tcPr>
            <w:tcW w:w="1280" w:type="dxa"/>
            <w:vAlign w:val="bottom"/>
            <w:shd w:val="clear" w:color="auto" w:fill="001689"/>
          </w:tcPr>
          <w:p>
            <w:pPr>
              <w:spacing w:after="0"/>
              <w:rPr>
                <w:sz w:val="18"/>
                <w:szCs w:val="18"/>
                <w:color w:val="auto"/>
              </w:rPr>
            </w:pPr>
          </w:p>
        </w:tc>
        <w:tc>
          <w:tcPr>
            <w:tcW w:w="260" w:type="dxa"/>
            <w:vAlign w:val="bottom"/>
            <w:shd w:val="clear" w:color="auto" w:fill="001689"/>
          </w:tcPr>
          <w:p>
            <w:pPr>
              <w:spacing w:after="0"/>
              <w:rPr>
                <w:sz w:val="18"/>
                <w:szCs w:val="18"/>
                <w:color w:val="auto"/>
              </w:rPr>
            </w:pPr>
          </w:p>
        </w:tc>
        <w:tc>
          <w:tcPr>
            <w:tcW w:w="1280" w:type="dxa"/>
            <w:vAlign w:val="bottom"/>
            <w:shd w:val="clear" w:color="auto" w:fill="001689"/>
          </w:tcPr>
          <w:p>
            <w:pPr>
              <w:spacing w:after="0"/>
              <w:rPr>
                <w:sz w:val="18"/>
                <w:szCs w:val="18"/>
                <w:color w:val="auto"/>
              </w:rPr>
            </w:pPr>
          </w:p>
        </w:tc>
      </w:tr>
      <w:tr>
        <w:trPr>
          <w:trHeight w:val="193"/>
        </w:trPr>
        <w:tc>
          <w:tcPr>
            <w:tcW w:w="8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80" w:type="dxa"/>
            <w:vAlign w:val="bottom"/>
          </w:tcPr>
          <w:p>
            <w:pPr>
              <w:jc w:val="right"/>
              <w:ind w:right="400"/>
              <w:spacing w:after="0"/>
              <w:rPr>
                <w:sz w:val="20"/>
                <w:szCs w:val="20"/>
                <w:color w:val="auto"/>
              </w:rPr>
            </w:pPr>
            <w:r>
              <w:rPr>
                <w:rFonts w:ascii="Arial" w:cs="Arial" w:eastAsia="Arial" w:hAnsi="Arial"/>
                <w:sz w:val="14"/>
                <w:szCs w:val="14"/>
                <w:color w:val="auto"/>
              </w:rPr>
              <w:t>March 31,</w:t>
            </w:r>
          </w:p>
        </w:tc>
        <w:tc>
          <w:tcPr>
            <w:tcW w:w="260" w:type="dxa"/>
            <w:vAlign w:val="bottom"/>
          </w:tcPr>
          <w:p>
            <w:pPr>
              <w:spacing w:after="0"/>
              <w:rPr>
                <w:sz w:val="16"/>
                <w:szCs w:val="16"/>
                <w:color w:val="auto"/>
              </w:rPr>
            </w:pPr>
          </w:p>
        </w:tc>
        <w:tc>
          <w:tcPr>
            <w:tcW w:w="1280" w:type="dxa"/>
            <w:vAlign w:val="bottom"/>
          </w:tcPr>
          <w:p>
            <w:pPr>
              <w:jc w:val="right"/>
              <w:ind w:right="220"/>
              <w:spacing w:after="0"/>
              <w:rPr>
                <w:sz w:val="20"/>
                <w:szCs w:val="20"/>
                <w:color w:val="auto"/>
              </w:rPr>
            </w:pPr>
            <w:r>
              <w:rPr>
                <w:rFonts w:ascii="Arial" w:cs="Arial" w:eastAsia="Arial" w:hAnsi="Arial"/>
                <w:sz w:val="14"/>
                <w:szCs w:val="14"/>
                <w:color w:val="auto"/>
              </w:rPr>
              <w:t>December 31,</w:t>
            </w:r>
          </w:p>
        </w:tc>
      </w:tr>
      <w:tr>
        <w:trPr>
          <w:trHeight w:val="194"/>
        </w:trPr>
        <w:tc>
          <w:tcPr>
            <w:tcW w:w="816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60"/>
              <w:spacing w:after="0"/>
              <w:rPr>
                <w:sz w:val="20"/>
                <w:szCs w:val="20"/>
                <w:color w:val="auto"/>
              </w:rPr>
            </w:pPr>
            <w:r>
              <w:rPr>
                <w:rFonts w:ascii="Arial" w:cs="Arial" w:eastAsia="Arial" w:hAnsi="Arial"/>
                <w:sz w:val="14"/>
                <w:szCs w:val="14"/>
                <w:color w:val="auto"/>
              </w:rPr>
              <w:t>2026</w:t>
            </w:r>
          </w:p>
        </w:tc>
        <w:tc>
          <w:tcPr>
            <w:tcW w:w="26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00"/>
              <w:spacing w:after="0"/>
              <w:rPr>
                <w:sz w:val="20"/>
                <w:szCs w:val="20"/>
                <w:color w:val="auto"/>
              </w:rPr>
            </w:pPr>
            <w:r>
              <w:rPr>
                <w:rFonts w:ascii="Arial" w:cs="Arial" w:eastAsia="Arial" w:hAnsi="Arial"/>
                <w:sz w:val="14"/>
                <w:szCs w:val="14"/>
                <w:color w:val="auto"/>
              </w:rPr>
              <w:t>2025</w:t>
            </w:r>
          </w:p>
        </w:tc>
      </w:tr>
      <w:tr>
        <w:trPr>
          <w:trHeight w:val="214"/>
        </w:trPr>
        <w:tc>
          <w:tcPr>
            <w:tcW w:w="8160" w:type="dxa"/>
            <w:vAlign w:val="bottom"/>
            <w:shd w:val="clear" w:color="auto" w:fill="D4F1F5"/>
          </w:tcPr>
          <w:p>
            <w:pPr>
              <w:ind w:left="20"/>
              <w:spacing w:after="0"/>
              <w:rPr>
                <w:sz w:val="20"/>
                <w:szCs w:val="20"/>
                <w:color w:val="auto"/>
              </w:rPr>
            </w:pPr>
            <w:r>
              <w:rPr>
                <w:rFonts w:ascii="Arial" w:cs="Arial" w:eastAsia="Arial" w:hAnsi="Arial"/>
                <w:sz w:val="16"/>
                <w:szCs w:val="16"/>
                <w:color w:val="auto"/>
              </w:rPr>
              <w:t>ASSETS</w:t>
            </w:r>
          </w:p>
        </w:tc>
        <w:tc>
          <w:tcPr>
            <w:tcW w:w="260" w:type="dxa"/>
            <w:vAlign w:val="bottom"/>
            <w:shd w:val="clear" w:color="auto" w:fill="D4F1F5"/>
          </w:tcPr>
          <w:p>
            <w:pPr>
              <w:spacing w:after="0"/>
              <w:rPr>
                <w:sz w:val="18"/>
                <w:szCs w:val="18"/>
                <w:color w:val="auto"/>
              </w:rPr>
            </w:pPr>
          </w:p>
        </w:tc>
        <w:tc>
          <w:tcPr>
            <w:tcW w:w="1280" w:type="dxa"/>
            <w:vAlign w:val="bottom"/>
            <w:shd w:val="clear" w:color="auto" w:fill="D4F1F5"/>
          </w:tcPr>
          <w:p>
            <w:pPr>
              <w:spacing w:after="0"/>
              <w:rPr>
                <w:sz w:val="18"/>
                <w:szCs w:val="18"/>
                <w:color w:val="auto"/>
              </w:rPr>
            </w:pPr>
          </w:p>
        </w:tc>
        <w:tc>
          <w:tcPr>
            <w:tcW w:w="260" w:type="dxa"/>
            <w:vAlign w:val="bottom"/>
            <w:shd w:val="clear" w:color="auto" w:fill="D4F1F5"/>
          </w:tcPr>
          <w:p>
            <w:pPr>
              <w:spacing w:after="0"/>
              <w:rPr>
                <w:sz w:val="18"/>
                <w:szCs w:val="18"/>
                <w:color w:val="auto"/>
              </w:rPr>
            </w:pPr>
          </w:p>
        </w:tc>
        <w:tc>
          <w:tcPr>
            <w:tcW w:w="1280" w:type="dxa"/>
            <w:vAlign w:val="bottom"/>
            <w:shd w:val="clear" w:color="auto" w:fill="D4F1F5"/>
          </w:tcPr>
          <w:p>
            <w:pPr>
              <w:spacing w:after="0"/>
              <w:rPr>
                <w:sz w:val="18"/>
                <w:szCs w:val="18"/>
                <w:color w:val="auto"/>
              </w:rPr>
            </w:pPr>
          </w:p>
        </w:tc>
      </w:tr>
      <w:tr>
        <w:trPr>
          <w:trHeight w:val="215"/>
        </w:trPr>
        <w:tc>
          <w:tcPr>
            <w:tcW w:w="8160" w:type="dxa"/>
            <w:vAlign w:val="bottom"/>
          </w:tcPr>
          <w:p>
            <w:pPr>
              <w:ind w:left="20"/>
              <w:spacing w:after="0"/>
              <w:rPr>
                <w:sz w:val="20"/>
                <w:szCs w:val="20"/>
                <w:color w:val="auto"/>
              </w:rPr>
            </w:pPr>
            <w:r>
              <w:rPr>
                <w:rFonts w:ascii="Arial" w:cs="Arial" w:eastAsia="Arial" w:hAnsi="Arial"/>
                <w:sz w:val="16"/>
                <w:szCs w:val="16"/>
                <w:color w:val="auto"/>
              </w:rPr>
              <w:t>Sempra California</w:t>
            </w: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280" w:type="dxa"/>
            <w:vAlign w:val="bottom"/>
          </w:tcPr>
          <w:p>
            <w:pPr>
              <w:jc w:val="right"/>
              <w:ind w:right="40"/>
              <w:spacing w:after="0"/>
              <w:rPr>
                <w:sz w:val="20"/>
                <w:szCs w:val="20"/>
                <w:color w:val="auto"/>
              </w:rPr>
            </w:pPr>
            <w:r>
              <w:rPr>
                <w:rFonts w:ascii="Arial" w:cs="Arial" w:eastAsia="Arial" w:hAnsi="Arial"/>
                <w:sz w:val="16"/>
                <w:szCs w:val="16"/>
                <w:color w:val="auto"/>
              </w:rPr>
              <w:t>61,138</w:t>
            </w:r>
          </w:p>
        </w:tc>
        <w:tc>
          <w:tcPr>
            <w:tcW w:w="2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60,364</w:t>
            </w:r>
          </w:p>
        </w:tc>
      </w:tr>
      <w:tr>
        <w:trPr>
          <w:trHeight w:val="217"/>
        </w:trPr>
        <w:tc>
          <w:tcPr>
            <w:tcW w:w="8160" w:type="dxa"/>
            <w:vAlign w:val="bottom"/>
            <w:shd w:val="clear" w:color="auto" w:fill="D4F1F5"/>
          </w:tcPr>
          <w:p>
            <w:pPr>
              <w:ind w:left="20"/>
              <w:spacing w:after="0"/>
              <w:rPr>
                <w:sz w:val="20"/>
                <w:szCs w:val="20"/>
                <w:color w:val="auto"/>
              </w:rPr>
            </w:pPr>
            <w:r>
              <w:rPr>
                <w:rFonts w:ascii="Arial" w:cs="Arial" w:eastAsia="Arial" w:hAnsi="Arial"/>
                <w:sz w:val="16"/>
                <w:szCs w:val="16"/>
                <w:color w:val="auto"/>
              </w:rPr>
              <w:t>Sempra Texas Utilities</w:t>
            </w:r>
          </w:p>
        </w:tc>
        <w:tc>
          <w:tcPr>
            <w:tcW w:w="260" w:type="dxa"/>
            <w:vAlign w:val="bottom"/>
            <w:shd w:val="clear" w:color="auto" w:fill="D4F1F5"/>
          </w:tcPr>
          <w:p>
            <w:pPr>
              <w:spacing w:after="0"/>
              <w:rPr>
                <w:sz w:val="18"/>
                <w:szCs w:val="18"/>
                <w:color w:val="auto"/>
              </w:rPr>
            </w:pPr>
          </w:p>
        </w:tc>
        <w:tc>
          <w:tcPr>
            <w:tcW w:w="1280" w:type="dxa"/>
            <w:vAlign w:val="bottom"/>
            <w:shd w:val="clear" w:color="auto" w:fill="D4F1F5"/>
          </w:tcPr>
          <w:p>
            <w:pPr>
              <w:jc w:val="right"/>
              <w:ind w:right="40"/>
              <w:spacing w:after="0"/>
              <w:rPr>
                <w:sz w:val="20"/>
                <w:szCs w:val="20"/>
                <w:color w:val="auto"/>
              </w:rPr>
            </w:pPr>
            <w:r>
              <w:rPr>
                <w:rFonts w:ascii="Arial" w:cs="Arial" w:eastAsia="Arial" w:hAnsi="Arial"/>
                <w:sz w:val="16"/>
                <w:szCs w:val="16"/>
                <w:color w:val="auto"/>
              </w:rPr>
              <w:t>18,555</w:t>
            </w:r>
          </w:p>
        </w:tc>
        <w:tc>
          <w:tcPr>
            <w:tcW w:w="260" w:type="dxa"/>
            <w:vAlign w:val="bottom"/>
            <w:shd w:val="clear" w:color="auto" w:fill="D4F1F5"/>
          </w:tcPr>
          <w:p>
            <w:pPr>
              <w:spacing w:after="0"/>
              <w:rPr>
                <w:sz w:val="18"/>
                <w:szCs w:val="18"/>
                <w:color w:val="auto"/>
              </w:rPr>
            </w:pPr>
          </w:p>
        </w:tc>
        <w:tc>
          <w:tcPr>
            <w:tcW w:w="1280" w:type="dxa"/>
            <w:vAlign w:val="bottom"/>
            <w:shd w:val="clear" w:color="auto" w:fill="D4F1F5"/>
          </w:tcPr>
          <w:p>
            <w:pPr>
              <w:jc w:val="right"/>
              <w:spacing w:after="0"/>
              <w:rPr>
                <w:sz w:val="20"/>
                <w:szCs w:val="20"/>
                <w:color w:val="auto"/>
              </w:rPr>
            </w:pPr>
            <w:r>
              <w:rPr>
                <w:rFonts w:ascii="Arial" w:cs="Arial" w:eastAsia="Arial" w:hAnsi="Arial"/>
                <w:sz w:val="16"/>
                <w:szCs w:val="16"/>
                <w:color w:val="auto"/>
              </w:rPr>
              <w:t>17,733</w:t>
            </w:r>
          </w:p>
        </w:tc>
      </w:tr>
      <w:tr>
        <w:trPr>
          <w:trHeight w:val="215"/>
        </w:trPr>
        <w:tc>
          <w:tcPr>
            <w:tcW w:w="8160" w:type="dxa"/>
            <w:vAlign w:val="bottom"/>
            <w:tcBorders>
              <w:bottom w:val="single" w:sz="8" w:color="D4F1F5"/>
            </w:tcBorders>
          </w:tcPr>
          <w:p>
            <w:pPr>
              <w:ind w:left="20"/>
              <w:spacing w:after="0"/>
              <w:rPr>
                <w:sz w:val="20"/>
                <w:szCs w:val="20"/>
                <w:color w:val="auto"/>
              </w:rPr>
            </w:pPr>
            <w:r>
              <w:rPr>
                <w:rFonts w:ascii="Arial" w:cs="Arial" w:eastAsia="Arial" w:hAnsi="Arial"/>
                <w:sz w:val="16"/>
                <w:szCs w:val="16"/>
                <w:color w:val="auto"/>
              </w:rPr>
              <w:t>Sempra Infrastructure</w:t>
            </w:r>
          </w:p>
        </w:tc>
        <w:tc>
          <w:tcPr>
            <w:tcW w:w="2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33,800</w:t>
            </w:r>
          </w:p>
        </w:tc>
        <w:tc>
          <w:tcPr>
            <w:tcW w:w="2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32,796</w:t>
            </w:r>
          </w:p>
        </w:tc>
      </w:tr>
      <w:tr>
        <w:trPr>
          <w:trHeight w:val="210"/>
        </w:trPr>
        <w:tc>
          <w:tcPr>
            <w:tcW w:w="8160" w:type="dxa"/>
            <w:vAlign w:val="bottom"/>
            <w:shd w:val="clear" w:color="auto" w:fill="D4F1F5"/>
          </w:tcPr>
          <w:p>
            <w:pPr>
              <w:ind w:left="140"/>
              <w:spacing w:after="0"/>
              <w:rPr>
                <w:sz w:val="20"/>
                <w:szCs w:val="20"/>
                <w:color w:val="auto"/>
              </w:rPr>
            </w:pPr>
            <w:r>
              <w:rPr>
                <w:rFonts w:ascii="Arial" w:cs="Arial" w:eastAsia="Arial" w:hAnsi="Arial"/>
                <w:sz w:val="16"/>
                <w:szCs w:val="16"/>
                <w:color w:val="auto"/>
              </w:rPr>
              <w:t>Segment totals</w:t>
            </w:r>
          </w:p>
        </w:tc>
        <w:tc>
          <w:tcPr>
            <w:tcW w:w="260" w:type="dxa"/>
            <w:vAlign w:val="bottom"/>
            <w:shd w:val="clear" w:color="auto" w:fill="D4F1F5"/>
          </w:tcPr>
          <w:p>
            <w:pPr>
              <w:spacing w:after="0"/>
              <w:rPr>
                <w:sz w:val="18"/>
                <w:szCs w:val="18"/>
                <w:color w:val="auto"/>
              </w:rPr>
            </w:pPr>
          </w:p>
        </w:tc>
        <w:tc>
          <w:tcPr>
            <w:tcW w:w="1280" w:type="dxa"/>
            <w:vAlign w:val="bottom"/>
            <w:shd w:val="clear" w:color="auto" w:fill="D4F1F5"/>
          </w:tcPr>
          <w:p>
            <w:pPr>
              <w:jc w:val="right"/>
              <w:ind w:right="40"/>
              <w:spacing w:after="0"/>
              <w:rPr>
                <w:sz w:val="20"/>
                <w:szCs w:val="20"/>
                <w:color w:val="auto"/>
              </w:rPr>
            </w:pPr>
            <w:r>
              <w:rPr>
                <w:rFonts w:ascii="Arial" w:cs="Arial" w:eastAsia="Arial" w:hAnsi="Arial"/>
                <w:sz w:val="16"/>
                <w:szCs w:val="16"/>
                <w:color w:val="auto"/>
              </w:rPr>
              <w:t>113,493</w:t>
            </w:r>
          </w:p>
        </w:tc>
        <w:tc>
          <w:tcPr>
            <w:tcW w:w="260" w:type="dxa"/>
            <w:vAlign w:val="bottom"/>
            <w:shd w:val="clear" w:color="auto" w:fill="D4F1F5"/>
          </w:tcPr>
          <w:p>
            <w:pPr>
              <w:spacing w:after="0"/>
              <w:rPr>
                <w:sz w:val="18"/>
                <w:szCs w:val="18"/>
                <w:color w:val="auto"/>
              </w:rPr>
            </w:pPr>
          </w:p>
        </w:tc>
        <w:tc>
          <w:tcPr>
            <w:tcW w:w="1280" w:type="dxa"/>
            <w:vAlign w:val="bottom"/>
            <w:shd w:val="clear" w:color="auto" w:fill="D4F1F5"/>
          </w:tcPr>
          <w:p>
            <w:pPr>
              <w:jc w:val="right"/>
              <w:spacing w:after="0"/>
              <w:rPr>
                <w:sz w:val="20"/>
                <w:szCs w:val="20"/>
                <w:color w:val="auto"/>
              </w:rPr>
            </w:pPr>
            <w:r>
              <w:rPr>
                <w:rFonts w:ascii="Arial" w:cs="Arial" w:eastAsia="Arial" w:hAnsi="Arial"/>
                <w:sz w:val="16"/>
                <w:szCs w:val="16"/>
                <w:color w:val="auto"/>
              </w:rPr>
              <w:t>110,893</w:t>
            </w:r>
          </w:p>
        </w:tc>
      </w:tr>
      <w:tr>
        <w:trPr>
          <w:trHeight w:val="215"/>
        </w:trPr>
        <w:tc>
          <w:tcPr>
            <w:tcW w:w="8160" w:type="dxa"/>
            <w:vAlign w:val="bottom"/>
          </w:tcPr>
          <w:p>
            <w:pPr>
              <w:ind w:left="20"/>
              <w:spacing w:after="0"/>
              <w:rPr>
                <w:sz w:val="20"/>
                <w:szCs w:val="20"/>
                <w:color w:val="auto"/>
              </w:rPr>
            </w:pPr>
            <w:r>
              <w:rPr>
                <w:rFonts w:ascii="Arial" w:cs="Arial" w:eastAsia="Arial" w:hAnsi="Arial"/>
                <w:sz w:val="16"/>
                <w:szCs w:val="16"/>
                <w:color w:val="auto"/>
              </w:rPr>
              <w:t>Parent and other</w:t>
            </w:r>
          </w:p>
        </w:tc>
        <w:tc>
          <w:tcPr>
            <w:tcW w:w="260" w:type="dxa"/>
            <w:vAlign w:val="bottom"/>
          </w:tcPr>
          <w:p>
            <w:pPr>
              <w:spacing w:after="0"/>
              <w:rPr>
                <w:sz w:val="18"/>
                <w:szCs w:val="18"/>
                <w:color w:val="auto"/>
              </w:rPr>
            </w:pPr>
          </w:p>
        </w:tc>
        <w:tc>
          <w:tcPr>
            <w:tcW w:w="1280" w:type="dxa"/>
            <w:vAlign w:val="bottom"/>
          </w:tcPr>
          <w:p>
            <w:pPr>
              <w:jc w:val="right"/>
              <w:ind w:right="40"/>
              <w:spacing w:after="0"/>
              <w:rPr>
                <w:sz w:val="20"/>
                <w:szCs w:val="20"/>
                <w:color w:val="auto"/>
              </w:rPr>
            </w:pPr>
            <w:r>
              <w:rPr>
                <w:rFonts w:ascii="Arial" w:cs="Arial" w:eastAsia="Arial" w:hAnsi="Arial"/>
                <w:sz w:val="16"/>
                <w:szCs w:val="16"/>
                <w:color w:val="auto"/>
              </w:rPr>
              <w:t>1,191</w:t>
            </w:r>
          </w:p>
        </w:tc>
        <w:tc>
          <w:tcPr>
            <w:tcW w:w="2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1,084</w:t>
            </w:r>
          </w:p>
        </w:tc>
      </w:tr>
      <w:tr>
        <w:trPr>
          <w:trHeight w:val="217"/>
        </w:trPr>
        <w:tc>
          <w:tcPr>
            <w:tcW w:w="8160" w:type="dxa"/>
            <w:vAlign w:val="bottom"/>
            <w:shd w:val="clear" w:color="auto" w:fill="D4F1F5"/>
          </w:tcPr>
          <w:p>
            <w:pPr>
              <w:ind w:left="20"/>
              <w:spacing w:after="0" w:line="217" w:lineRule="exact"/>
              <w:rPr>
                <w:sz w:val="20"/>
                <w:szCs w:val="20"/>
                <w:color w:val="auto"/>
              </w:rPr>
            </w:pPr>
            <w:r>
              <w:rPr>
                <w:rFonts w:ascii="Arial" w:cs="Arial" w:eastAsia="Arial" w:hAnsi="Arial"/>
                <w:sz w:val="16"/>
                <w:szCs w:val="16"/>
                <w:color w:val="auto"/>
              </w:rPr>
              <w:t>Intersegment eliminations</w:t>
            </w:r>
            <w:r>
              <w:rPr>
                <w:rFonts w:ascii="Arial" w:cs="Arial" w:eastAsia="Arial" w:hAnsi="Arial"/>
                <w:sz w:val="21"/>
                <w:szCs w:val="21"/>
                <w:color w:val="auto"/>
                <w:vertAlign w:val="superscript"/>
              </w:rPr>
              <w:t>(1)</w:t>
            </w:r>
          </w:p>
        </w:tc>
        <w:tc>
          <w:tcPr>
            <w:tcW w:w="260" w:type="dxa"/>
            <w:vAlign w:val="bottom"/>
            <w:tcBorders>
              <w:bottom w:val="single" w:sz="8" w:color="auto"/>
            </w:tcBorders>
            <w:shd w:val="clear" w:color="auto" w:fill="D4F1F5"/>
          </w:tcPr>
          <w:p>
            <w:pPr>
              <w:spacing w:after="0"/>
              <w:rPr>
                <w:sz w:val="18"/>
                <w:szCs w:val="18"/>
                <w:color w:val="auto"/>
              </w:rPr>
            </w:pPr>
          </w:p>
        </w:tc>
        <w:tc>
          <w:tcPr>
            <w:tcW w:w="1280" w:type="dxa"/>
            <w:vAlign w:val="bottom"/>
            <w:tcBorders>
              <w:bottom w:val="single" w:sz="8" w:color="auto"/>
            </w:tcBorders>
            <w:shd w:val="clear" w:color="auto" w:fill="D4F1F5"/>
          </w:tcPr>
          <w:p>
            <w:pPr>
              <w:jc w:val="right"/>
              <w:spacing w:after="0"/>
              <w:rPr>
                <w:sz w:val="20"/>
                <w:szCs w:val="20"/>
                <w:color w:val="auto"/>
              </w:rPr>
            </w:pPr>
            <w:r>
              <w:rPr>
                <w:rFonts w:ascii="Arial" w:cs="Arial" w:eastAsia="Arial" w:hAnsi="Arial"/>
                <w:sz w:val="16"/>
                <w:szCs w:val="16"/>
                <w:color w:val="auto"/>
              </w:rPr>
              <w:t>(1,166)</w:t>
            </w:r>
          </w:p>
        </w:tc>
        <w:tc>
          <w:tcPr>
            <w:tcW w:w="260" w:type="dxa"/>
            <w:vAlign w:val="bottom"/>
            <w:tcBorders>
              <w:bottom w:val="single" w:sz="8" w:color="auto"/>
            </w:tcBorders>
            <w:shd w:val="clear" w:color="auto" w:fill="D4F1F5"/>
          </w:tcPr>
          <w:p>
            <w:pPr>
              <w:spacing w:after="0"/>
              <w:rPr>
                <w:sz w:val="18"/>
                <w:szCs w:val="18"/>
                <w:color w:val="auto"/>
              </w:rPr>
            </w:pPr>
          </w:p>
        </w:tc>
        <w:tc>
          <w:tcPr>
            <w:tcW w:w="1280" w:type="dxa"/>
            <w:vAlign w:val="bottom"/>
            <w:tcBorders>
              <w:bottom w:val="single" w:sz="8" w:color="auto"/>
            </w:tcBorders>
            <w:shd w:val="clear" w:color="auto" w:fill="D4F1F5"/>
          </w:tcPr>
          <w:p>
            <w:pPr>
              <w:jc w:val="right"/>
              <w:spacing w:after="0"/>
              <w:rPr>
                <w:sz w:val="20"/>
                <w:szCs w:val="20"/>
                <w:color w:val="auto"/>
              </w:rPr>
            </w:pPr>
            <w:r>
              <w:rPr>
                <w:rFonts w:ascii="Arial" w:cs="Arial" w:eastAsia="Arial" w:hAnsi="Arial"/>
                <w:sz w:val="16"/>
                <w:szCs w:val="16"/>
                <w:color w:val="auto"/>
              </w:rPr>
              <w:t>(1,099)</w:t>
            </w:r>
          </w:p>
        </w:tc>
      </w:tr>
      <w:tr>
        <w:trPr>
          <w:trHeight w:val="217"/>
        </w:trPr>
        <w:tc>
          <w:tcPr>
            <w:tcW w:w="8160" w:type="dxa"/>
            <w:vAlign w:val="bottom"/>
            <w:tcBorders>
              <w:bottom w:val="single" w:sz="8" w:color="auto"/>
            </w:tcBorders>
          </w:tcPr>
          <w:p>
            <w:pPr>
              <w:ind w:left="140"/>
              <w:spacing w:after="0"/>
              <w:rPr>
                <w:sz w:val="20"/>
                <w:szCs w:val="20"/>
                <w:color w:val="auto"/>
              </w:rPr>
            </w:pPr>
            <w:r>
              <w:rPr>
                <w:rFonts w:ascii="Arial" w:cs="Arial" w:eastAsia="Arial" w:hAnsi="Arial"/>
                <w:sz w:val="16"/>
                <w:szCs w:val="16"/>
                <w:color w:val="auto"/>
              </w:rPr>
              <w:t>Total Sempra</w:t>
            </w: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113,518</w:t>
            </w:r>
          </w:p>
        </w:tc>
        <w:tc>
          <w:tcPr>
            <w:tcW w:w="2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110,878</w:t>
            </w:r>
          </w:p>
        </w:tc>
      </w:tr>
      <w:tr>
        <w:trPr>
          <w:trHeight w:val="216"/>
        </w:trPr>
        <w:tc>
          <w:tcPr>
            <w:tcW w:w="8160" w:type="dxa"/>
            <w:vAlign w:val="bottom"/>
            <w:shd w:val="clear" w:color="auto" w:fill="D4F1F5"/>
          </w:tcPr>
          <w:p>
            <w:pPr>
              <w:ind w:left="20"/>
              <w:spacing w:after="0"/>
              <w:rPr>
                <w:sz w:val="20"/>
                <w:szCs w:val="20"/>
                <w:color w:val="auto"/>
              </w:rPr>
            </w:pPr>
            <w:r>
              <w:rPr>
                <w:rFonts w:ascii="Arial" w:cs="Arial" w:eastAsia="Arial" w:hAnsi="Arial"/>
                <w:sz w:val="16"/>
                <w:szCs w:val="16"/>
                <w:color w:val="auto"/>
              </w:rPr>
              <w:t>EQUITY METHOD INVESTMENTS</w:t>
            </w:r>
          </w:p>
        </w:tc>
        <w:tc>
          <w:tcPr>
            <w:tcW w:w="260" w:type="dxa"/>
            <w:vAlign w:val="bottom"/>
            <w:shd w:val="clear" w:color="auto" w:fill="D4F1F5"/>
          </w:tcPr>
          <w:p>
            <w:pPr>
              <w:spacing w:after="0"/>
              <w:rPr>
                <w:sz w:val="18"/>
                <w:szCs w:val="18"/>
                <w:color w:val="auto"/>
              </w:rPr>
            </w:pPr>
          </w:p>
        </w:tc>
        <w:tc>
          <w:tcPr>
            <w:tcW w:w="1280" w:type="dxa"/>
            <w:vAlign w:val="bottom"/>
            <w:shd w:val="clear" w:color="auto" w:fill="D4F1F5"/>
          </w:tcPr>
          <w:p>
            <w:pPr>
              <w:spacing w:after="0"/>
              <w:rPr>
                <w:sz w:val="18"/>
                <w:szCs w:val="18"/>
                <w:color w:val="auto"/>
              </w:rPr>
            </w:pPr>
          </w:p>
        </w:tc>
        <w:tc>
          <w:tcPr>
            <w:tcW w:w="260" w:type="dxa"/>
            <w:vAlign w:val="bottom"/>
            <w:shd w:val="clear" w:color="auto" w:fill="D4F1F5"/>
          </w:tcPr>
          <w:p>
            <w:pPr>
              <w:spacing w:after="0"/>
              <w:rPr>
                <w:sz w:val="18"/>
                <w:szCs w:val="18"/>
                <w:color w:val="auto"/>
              </w:rPr>
            </w:pPr>
          </w:p>
        </w:tc>
        <w:tc>
          <w:tcPr>
            <w:tcW w:w="1280" w:type="dxa"/>
            <w:vAlign w:val="bottom"/>
            <w:shd w:val="clear" w:color="auto" w:fill="D4F1F5"/>
          </w:tcPr>
          <w:p>
            <w:pPr>
              <w:spacing w:after="0"/>
              <w:rPr>
                <w:sz w:val="18"/>
                <w:szCs w:val="18"/>
                <w:color w:val="auto"/>
              </w:rPr>
            </w:pPr>
          </w:p>
        </w:tc>
      </w:tr>
      <w:tr>
        <w:trPr>
          <w:trHeight w:val="215"/>
        </w:trPr>
        <w:tc>
          <w:tcPr>
            <w:tcW w:w="8160" w:type="dxa"/>
            <w:vAlign w:val="bottom"/>
          </w:tcPr>
          <w:p>
            <w:pPr>
              <w:ind w:left="20"/>
              <w:spacing w:after="0"/>
              <w:rPr>
                <w:sz w:val="20"/>
                <w:szCs w:val="20"/>
                <w:color w:val="auto"/>
              </w:rPr>
            </w:pPr>
            <w:r>
              <w:rPr>
                <w:rFonts w:ascii="Arial" w:cs="Arial" w:eastAsia="Arial" w:hAnsi="Arial"/>
                <w:sz w:val="16"/>
                <w:szCs w:val="16"/>
                <w:color w:val="auto"/>
              </w:rPr>
              <w:t>Sempra Texas Utilities</w:t>
            </w: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280" w:type="dxa"/>
            <w:vAlign w:val="bottom"/>
          </w:tcPr>
          <w:p>
            <w:pPr>
              <w:jc w:val="right"/>
              <w:ind w:right="40"/>
              <w:spacing w:after="0"/>
              <w:rPr>
                <w:sz w:val="20"/>
                <w:szCs w:val="20"/>
                <w:color w:val="auto"/>
              </w:rPr>
            </w:pPr>
            <w:r>
              <w:rPr>
                <w:rFonts w:ascii="Arial" w:cs="Arial" w:eastAsia="Arial" w:hAnsi="Arial"/>
                <w:sz w:val="16"/>
                <w:szCs w:val="16"/>
                <w:color w:val="auto"/>
              </w:rPr>
              <w:t>18,374</w:t>
            </w:r>
          </w:p>
        </w:tc>
        <w:tc>
          <w:tcPr>
            <w:tcW w:w="2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17,601</w:t>
            </w:r>
          </w:p>
        </w:tc>
      </w:tr>
      <w:tr>
        <w:trPr>
          <w:trHeight w:val="217"/>
        </w:trPr>
        <w:tc>
          <w:tcPr>
            <w:tcW w:w="8160" w:type="dxa"/>
            <w:vAlign w:val="bottom"/>
            <w:shd w:val="clear" w:color="auto" w:fill="D4F1F5"/>
          </w:tcPr>
          <w:p>
            <w:pPr>
              <w:ind w:left="20"/>
              <w:spacing w:after="0" w:line="217" w:lineRule="exact"/>
              <w:rPr>
                <w:sz w:val="20"/>
                <w:szCs w:val="20"/>
                <w:color w:val="auto"/>
              </w:rPr>
            </w:pPr>
            <w:r>
              <w:rPr>
                <w:rFonts w:ascii="Arial" w:cs="Arial" w:eastAsia="Arial" w:hAnsi="Arial"/>
                <w:sz w:val="16"/>
                <w:szCs w:val="16"/>
                <w:color w:val="auto"/>
              </w:rPr>
              <w:t>Sempra Infrastructure</w:t>
            </w:r>
            <w:r>
              <w:rPr>
                <w:rFonts w:ascii="Arial" w:cs="Arial" w:eastAsia="Arial" w:hAnsi="Arial"/>
                <w:sz w:val="21"/>
                <w:szCs w:val="21"/>
                <w:color w:val="auto"/>
                <w:vertAlign w:val="superscript"/>
              </w:rPr>
              <w:t>(2)</w:t>
            </w:r>
          </w:p>
        </w:tc>
        <w:tc>
          <w:tcPr>
            <w:tcW w:w="260" w:type="dxa"/>
            <w:vAlign w:val="bottom"/>
            <w:tcBorders>
              <w:bottom w:val="single" w:sz="8" w:color="auto"/>
            </w:tcBorders>
            <w:shd w:val="clear" w:color="auto" w:fill="D4F1F5"/>
          </w:tcPr>
          <w:p>
            <w:pPr>
              <w:spacing w:after="0"/>
              <w:rPr>
                <w:sz w:val="18"/>
                <w:szCs w:val="18"/>
                <w:color w:val="auto"/>
              </w:rPr>
            </w:pPr>
          </w:p>
        </w:tc>
        <w:tc>
          <w:tcPr>
            <w:tcW w:w="1280" w:type="dxa"/>
            <w:vAlign w:val="bottom"/>
            <w:tcBorders>
              <w:bottom w:val="single" w:sz="8" w:color="auto"/>
            </w:tcBorders>
            <w:shd w:val="clear" w:color="auto" w:fill="D4F1F5"/>
          </w:tcPr>
          <w:p>
            <w:pPr>
              <w:jc w:val="right"/>
              <w:ind w:right="40"/>
              <w:spacing w:after="0"/>
              <w:rPr>
                <w:sz w:val="20"/>
                <w:szCs w:val="20"/>
                <w:color w:val="auto"/>
              </w:rPr>
            </w:pPr>
            <w:r>
              <w:rPr>
                <w:rFonts w:ascii="Arial" w:cs="Arial" w:eastAsia="Arial" w:hAnsi="Arial"/>
                <w:sz w:val="16"/>
                <w:szCs w:val="16"/>
                <w:color w:val="auto"/>
              </w:rPr>
              <w:t>16</w:t>
            </w:r>
          </w:p>
        </w:tc>
        <w:tc>
          <w:tcPr>
            <w:tcW w:w="260" w:type="dxa"/>
            <w:vAlign w:val="bottom"/>
            <w:tcBorders>
              <w:bottom w:val="single" w:sz="8" w:color="auto"/>
            </w:tcBorders>
            <w:shd w:val="clear" w:color="auto" w:fill="D4F1F5"/>
          </w:tcPr>
          <w:p>
            <w:pPr>
              <w:spacing w:after="0"/>
              <w:rPr>
                <w:sz w:val="18"/>
                <w:szCs w:val="18"/>
                <w:color w:val="auto"/>
              </w:rPr>
            </w:pPr>
          </w:p>
        </w:tc>
        <w:tc>
          <w:tcPr>
            <w:tcW w:w="1280" w:type="dxa"/>
            <w:vAlign w:val="bottom"/>
            <w:tcBorders>
              <w:bottom w:val="single" w:sz="8" w:color="auto"/>
            </w:tcBorders>
            <w:shd w:val="clear" w:color="auto" w:fill="D4F1F5"/>
          </w:tcPr>
          <w:p>
            <w:pPr>
              <w:jc w:val="right"/>
              <w:spacing w:after="0"/>
              <w:rPr>
                <w:sz w:val="20"/>
                <w:szCs w:val="20"/>
                <w:color w:val="auto"/>
              </w:rPr>
            </w:pPr>
            <w:r>
              <w:rPr>
                <w:rFonts w:ascii="Arial" w:cs="Arial" w:eastAsia="Arial" w:hAnsi="Arial"/>
                <w:sz w:val="16"/>
                <w:szCs w:val="16"/>
                <w:color w:val="auto"/>
              </w:rPr>
              <w:t>17</w:t>
            </w:r>
          </w:p>
        </w:tc>
      </w:tr>
      <w:tr>
        <w:trPr>
          <w:trHeight w:val="217"/>
        </w:trPr>
        <w:tc>
          <w:tcPr>
            <w:tcW w:w="81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Segment totals/Total Sempra</w:t>
            </w: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18,390</w:t>
            </w:r>
          </w:p>
        </w:tc>
        <w:tc>
          <w:tcPr>
            <w:tcW w:w="2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17,618</w:t>
            </w:r>
          </w:p>
        </w:tc>
      </w:tr>
      <w:tr>
        <w:trPr>
          <w:trHeight w:val="414"/>
        </w:trPr>
        <w:tc>
          <w:tcPr>
            <w:tcW w:w="816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820" w:type="dxa"/>
            <w:vAlign w:val="bottom"/>
            <w:tcBorders>
              <w:bottom w:val="single" w:sz="8" w:color="auto"/>
            </w:tcBorders>
            <w:gridSpan w:val="3"/>
          </w:tcPr>
          <w:p>
            <w:pPr>
              <w:jc w:val="right"/>
              <w:ind w:right="460"/>
              <w:spacing w:after="0"/>
              <w:rPr>
                <w:sz w:val="20"/>
                <w:szCs w:val="20"/>
                <w:color w:val="auto"/>
              </w:rPr>
            </w:pPr>
            <w:r>
              <w:rPr>
                <w:rFonts w:ascii="Arial" w:cs="Arial" w:eastAsia="Arial" w:hAnsi="Arial"/>
                <w:sz w:val="14"/>
                <w:szCs w:val="14"/>
                <w:color w:val="auto"/>
              </w:rPr>
              <w:t>Three months ended March 31,</w:t>
            </w:r>
          </w:p>
        </w:tc>
      </w:tr>
      <w:tr>
        <w:trPr>
          <w:trHeight w:val="210"/>
        </w:trPr>
        <w:tc>
          <w:tcPr>
            <w:tcW w:w="816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560"/>
              <w:spacing w:after="0"/>
              <w:rPr>
                <w:sz w:val="20"/>
                <w:szCs w:val="20"/>
                <w:color w:val="auto"/>
              </w:rPr>
            </w:pPr>
            <w:r>
              <w:rPr>
                <w:rFonts w:ascii="Arial" w:cs="Arial" w:eastAsia="Arial" w:hAnsi="Arial"/>
                <w:sz w:val="14"/>
                <w:szCs w:val="14"/>
                <w:color w:val="auto"/>
              </w:rPr>
              <w:t>2026</w:t>
            </w:r>
          </w:p>
        </w:tc>
        <w:tc>
          <w:tcPr>
            <w:tcW w:w="2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500"/>
              <w:spacing w:after="0"/>
              <w:rPr>
                <w:sz w:val="20"/>
                <w:szCs w:val="20"/>
                <w:color w:val="auto"/>
              </w:rPr>
            </w:pPr>
            <w:r>
              <w:rPr>
                <w:rFonts w:ascii="Arial" w:cs="Arial" w:eastAsia="Arial" w:hAnsi="Arial"/>
                <w:sz w:val="14"/>
                <w:szCs w:val="14"/>
                <w:color w:val="auto"/>
              </w:rPr>
              <w:t>2025</w:t>
            </w:r>
          </w:p>
        </w:tc>
      </w:tr>
      <w:tr>
        <w:trPr>
          <w:trHeight w:val="213"/>
        </w:trPr>
        <w:tc>
          <w:tcPr>
            <w:tcW w:w="8160" w:type="dxa"/>
            <w:vAlign w:val="bottom"/>
            <w:shd w:val="clear" w:color="auto" w:fill="D4F1F5"/>
          </w:tcPr>
          <w:p>
            <w:pPr>
              <w:ind w:left="20"/>
              <w:spacing w:after="0"/>
              <w:rPr>
                <w:sz w:val="20"/>
                <w:szCs w:val="20"/>
                <w:color w:val="auto"/>
              </w:rPr>
            </w:pPr>
            <w:r>
              <w:rPr>
                <w:rFonts w:ascii="Arial" w:cs="Arial" w:eastAsia="Arial" w:hAnsi="Arial"/>
                <w:sz w:val="16"/>
                <w:szCs w:val="16"/>
                <w:color w:val="auto"/>
              </w:rPr>
              <w:t>EQUITY EARNINGS</w:t>
            </w:r>
          </w:p>
        </w:tc>
        <w:tc>
          <w:tcPr>
            <w:tcW w:w="260" w:type="dxa"/>
            <w:vAlign w:val="bottom"/>
            <w:shd w:val="clear" w:color="auto" w:fill="D4F1F5"/>
          </w:tcPr>
          <w:p>
            <w:pPr>
              <w:spacing w:after="0"/>
              <w:rPr>
                <w:sz w:val="18"/>
                <w:szCs w:val="18"/>
                <w:color w:val="auto"/>
              </w:rPr>
            </w:pPr>
          </w:p>
        </w:tc>
        <w:tc>
          <w:tcPr>
            <w:tcW w:w="1280" w:type="dxa"/>
            <w:vAlign w:val="bottom"/>
            <w:shd w:val="clear" w:color="auto" w:fill="D4F1F5"/>
          </w:tcPr>
          <w:p>
            <w:pPr>
              <w:spacing w:after="0"/>
              <w:rPr>
                <w:sz w:val="18"/>
                <w:szCs w:val="18"/>
                <w:color w:val="auto"/>
              </w:rPr>
            </w:pPr>
          </w:p>
        </w:tc>
        <w:tc>
          <w:tcPr>
            <w:tcW w:w="260" w:type="dxa"/>
            <w:vAlign w:val="bottom"/>
            <w:shd w:val="clear" w:color="auto" w:fill="D4F1F5"/>
          </w:tcPr>
          <w:p>
            <w:pPr>
              <w:spacing w:after="0"/>
              <w:rPr>
                <w:sz w:val="18"/>
                <w:szCs w:val="18"/>
                <w:color w:val="auto"/>
              </w:rPr>
            </w:pPr>
          </w:p>
        </w:tc>
        <w:tc>
          <w:tcPr>
            <w:tcW w:w="1280" w:type="dxa"/>
            <w:vAlign w:val="bottom"/>
            <w:shd w:val="clear" w:color="auto" w:fill="D4F1F5"/>
          </w:tcPr>
          <w:p>
            <w:pPr>
              <w:spacing w:after="0"/>
              <w:rPr>
                <w:sz w:val="18"/>
                <w:szCs w:val="18"/>
                <w:color w:val="auto"/>
              </w:rPr>
            </w:pPr>
          </w:p>
        </w:tc>
      </w:tr>
      <w:tr>
        <w:trPr>
          <w:trHeight w:val="215"/>
        </w:trPr>
        <w:tc>
          <w:tcPr>
            <w:tcW w:w="8160" w:type="dxa"/>
            <w:vAlign w:val="bottom"/>
          </w:tcPr>
          <w:p>
            <w:pPr>
              <w:ind w:left="20"/>
              <w:spacing w:after="0"/>
              <w:rPr>
                <w:sz w:val="20"/>
                <w:szCs w:val="20"/>
                <w:color w:val="auto"/>
              </w:rPr>
            </w:pPr>
            <w:r>
              <w:rPr>
                <w:rFonts w:ascii="Arial" w:cs="Arial" w:eastAsia="Arial" w:hAnsi="Arial"/>
                <w:sz w:val="16"/>
                <w:szCs w:val="16"/>
                <w:color w:val="auto"/>
              </w:rPr>
              <w:t>Equity earnings, before income tax:</w:t>
            </w:r>
          </w:p>
        </w:tc>
        <w:tc>
          <w:tcPr>
            <w:tcW w:w="2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17"/>
        </w:trPr>
        <w:tc>
          <w:tcPr>
            <w:tcW w:w="8160" w:type="dxa"/>
            <w:vAlign w:val="bottom"/>
            <w:shd w:val="clear" w:color="auto" w:fill="D4F1F5"/>
          </w:tcPr>
          <w:p>
            <w:pPr>
              <w:ind w:left="140"/>
              <w:spacing w:after="0"/>
              <w:rPr>
                <w:sz w:val="20"/>
                <w:szCs w:val="20"/>
                <w:color w:val="auto"/>
              </w:rPr>
            </w:pPr>
            <w:r>
              <w:rPr>
                <w:rFonts w:ascii="Arial" w:cs="Arial" w:eastAsia="Arial" w:hAnsi="Arial"/>
                <w:sz w:val="16"/>
                <w:szCs w:val="16"/>
                <w:color w:val="auto"/>
              </w:rPr>
              <w:t>Sempra Texas Utilities</w:t>
            </w:r>
          </w:p>
        </w:tc>
        <w:tc>
          <w:tcPr>
            <w:tcW w:w="260" w:type="dxa"/>
            <w:vAlign w:val="bottom"/>
            <w:shd w:val="clear" w:color="auto" w:fill="D4F1F5"/>
          </w:tcPr>
          <w:p>
            <w:pPr>
              <w:jc w:val="right"/>
              <w:ind w:right="59"/>
              <w:spacing w:after="0"/>
              <w:rPr>
                <w:sz w:val="20"/>
                <w:szCs w:val="20"/>
                <w:color w:val="auto"/>
              </w:rPr>
            </w:pPr>
            <w:r>
              <w:rPr>
                <w:rFonts w:ascii="Arial" w:cs="Arial" w:eastAsia="Arial" w:hAnsi="Arial"/>
                <w:sz w:val="16"/>
                <w:szCs w:val="16"/>
                <w:color w:val="auto"/>
              </w:rPr>
              <w:t>$</w:t>
            </w:r>
          </w:p>
        </w:tc>
        <w:tc>
          <w:tcPr>
            <w:tcW w:w="1280" w:type="dxa"/>
            <w:vAlign w:val="bottom"/>
            <w:shd w:val="clear" w:color="auto" w:fill="D4F1F5"/>
          </w:tcPr>
          <w:p>
            <w:pPr>
              <w:jc w:val="right"/>
              <w:ind w:right="40"/>
              <w:spacing w:after="0"/>
              <w:rPr>
                <w:sz w:val="20"/>
                <w:szCs w:val="20"/>
                <w:color w:val="auto"/>
              </w:rPr>
            </w:pPr>
            <w:r>
              <w:rPr>
                <w:rFonts w:ascii="Arial" w:cs="Arial" w:eastAsia="Arial" w:hAnsi="Arial"/>
                <w:sz w:val="16"/>
                <w:szCs w:val="16"/>
                <w:color w:val="auto"/>
              </w:rPr>
              <w:t>2</w:t>
            </w:r>
          </w:p>
        </w:tc>
        <w:tc>
          <w:tcPr>
            <w:tcW w:w="260" w:type="dxa"/>
            <w:vAlign w:val="bottom"/>
            <w:shd w:val="clear" w:color="auto" w:fill="D4F1F5"/>
          </w:tcPr>
          <w:p>
            <w:pPr>
              <w:jc w:val="right"/>
              <w:ind w:right="19"/>
              <w:spacing w:after="0"/>
              <w:rPr>
                <w:sz w:val="20"/>
                <w:szCs w:val="20"/>
                <w:color w:val="auto"/>
              </w:rPr>
            </w:pPr>
            <w:r>
              <w:rPr>
                <w:rFonts w:ascii="Arial" w:cs="Arial" w:eastAsia="Arial" w:hAnsi="Arial"/>
                <w:sz w:val="16"/>
                <w:szCs w:val="16"/>
                <w:color w:val="auto"/>
              </w:rPr>
              <w:t>$</w:t>
            </w:r>
          </w:p>
        </w:tc>
        <w:tc>
          <w:tcPr>
            <w:tcW w:w="1280" w:type="dxa"/>
            <w:vAlign w:val="bottom"/>
            <w:shd w:val="clear" w:color="auto" w:fill="D4F1F5"/>
          </w:tcPr>
          <w:p>
            <w:pPr>
              <w:jc w:val="right"/>
              <w:spacing w:after="0"/>
              <w:rPr>
                <w:sz w:val="20"/>
                <w:szCs w:val="20"/>
                <w:color w:val="auto"/>
              </w:rPr>
            </w:pPr>
            <w:r>
              <w:rPr>
                <w:rFonts w:ascii="Arial" w:cs="Arial" w:eastAsia="Arial" w:hAnsi="Arial"/>
                <w:sz w:val="16"/>
                <w:szCs w:val="16"/>
                <w:color w:val="auto"/>
              </w:rPr>
              <w:t>2</w:t>
            </w:r>
          </w:p>
        </w:tc>
      </w:tr>
      <w:tr>
        <w:trPr>
          <w:trHeight w:val="215"/>
        </w:trPr>
        <w:tc>
          <w:tcPr>
            <w:tcW w:w="8160" w:type="dxa"/>
            <w:vAlign w:val="bottom"/>
            <w:tcBorders>
              <w:bottom w:val="single" w:sz="8" w:color="D4F1F5"/>
            </w:tcBorders>
          </w:tcPr>
          <w:p>
            <w:pPr>
              <w:ind w:left="140"/>
              <w:spacing w:after="0"/>
              <w:rPr>
                <w:sz w:val="20"/>
                <w:szCs w:val="20"/>
                <w:color w:val="auto"/>
              </w:rPr>
            </w:pPr>
            <w:r>
              <w:rPr>
                <w:rFonts w:ascii="Arial" w:cs="Arial" w:eastAsia="Arial" w:hAnsi="Arial"/>
                <w:sz w:val="16"/>
                <w:szCs w:val="16"/>
                <w:color w:val="auto"/>
              </w:rPr>
              <w:t>Sempra Infrastructure</w:t>
            </w:r>
          </w:p>
        </w:tc>
        <w:tc>
          <w:tcPr>
            <w:tcW w:w="2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146</w:t>
            </w:r>
          </w:p>
        </w:tc>
        <w:tc>
          <w:tcPr>
            <w:tcW w:w="2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139</w:t>
            </w:r>
          </w:p>
        </w:tc>
      </w:tr>
      <w:tr>
        <w:trPr>
          <w:trHeight w:val="210"/>
        </w:trPr>
        <w:tc>
          <w:tcPr>
            <w:tcW w:w="8160" w:type="dxa"/>
            <w:vAlign w:val="bottom"/>
            <w:shd w:val="clear" w:color="auto" w:fill="D4F1F5"/>
          </w:tcPr>
          <w:p>
            <w:pPr>
              <w:ind w:left="240"/>
              <w:spacing w:after="0"/>
              <w:rPr>
                <w:sz w:val="20"/>
                <w:szCs w:val="20"/>
                <w:color w:val="auto"/>
              </w:rPr>
            </w:pPr>
            <w:r>
              <w:rPr>
                <w:rFonts w:ascii="Arial" w:cs="Arial" w:eastAsia="Arial" w:hAnsi="Arial"/>
                <w:sz w:val="16"/>
                <w:szCs w:val="16"/>
                <w:color w:val="auto"/>
              </w:rPr>
              <w:t>Segment totals</w:t>
            </w:r>
          </w:p>
        </w:tc>
        <w:tc>
          <w:tcPr>
            <w:tcW w:w="260" w:type="dxa"/>
            <w:vAlign w:val="bottom"/>
            <w:tcBorders>
              <w:bottom w:val="single" w:sz="8" w:color="auto"/>
            </w:tcBorders>
            <w:shd w:val="clear" w:color="auto" w:fill="D4F1F5"/>
          </w:tcPr>
          <w:p>
            <w:pPr>
              <w:spacing w:after="0"/>
              <w:rPr>
                <w:sz w:val="18"/>
                <w:szCs w:val="18"/>
                <w:color w:val="auto"/>
              </w:rPr>
            </w:pPr>
          </w:p>
        </w:tc>
        <w:tc>
          <w:tcPr>
            <w:tcW w:w="1280" w:type="dxa"/>
            <w:vAlign w:val="bottom"/>
            <w:tcBorders>
              <w:bottom w:val="single" w:sz="8" w:color="auto"/>
            </w:tcBorders>
            <w:shd w:val="clear" w:color="auto" w:fill="D4F1F5"/>
          </w:tcPr>
          <w:p>
            <w:pPr>
              <w:jc w:val="right"/>
              <w:ind w:right="40"/>
              <w:spacing w:after="0"/>
              <w:rPr>
                <w:sz w:val="20"/>
                <w:szCs w:val="20"/>
                <w:color w:val="auto"/>
              </w:rPr>
            </w:pPr>
            <w:r>
              <w:rPr>
                <w:rFonts w:ascii="Arial" w:cs="Arial" w:eastAsia="Arial" w:hAnsi="Arial"/>
                <w:sz w:val="16"/>
                <w:szCs w:val="16"/>
                <w:color w:val="auto"/>
              </w:rPr>
              <w:t>148</w:t>
            </w:r>
          </w:p>
        </w:tc>
        <w:tc>
          <w:tcPr>
            <w:tcW w:w="260" w:type="dxa"/>
            <w:vAlign w:val="bottom"/>
            <w:tcBorders>
              <w:bottom w:val="single" w:sz="8" w:color="auto"/>
            </w:tcBorders>
            <w:shd w:val="clear" w:color="auto" w:fill="D4F1F5"/>
          </w:tcPr>
          <w:p>
            <w:pPr>
              <w:spacing w:after="0"/>
              <w:rPr>
                <w:sz w:val="18"/>
                <w:szCs w:val="18"/>
                <w:color w:val="auto"/>
              </w:rPr>
            </w:pPr>
          </w:p>
        </w:tc>
        <w:tc>
          <w:tcPr>
            <w:tcW w:w="1280" w:type="dxa"/>
            <w:vAlign w:val="bottom"/>
            <w:tcBorders>
              <w:bottom w:val="single" w:sz="8" w:color="auto"/>
            </w:tcBorders>
            <w:shd w:val="clear" w:color="auto" w:fill="D4F1F5"/>
          </w:tcPr>
          <w:p>
            <w:pPr>
              <w:jc w:val="right"/>
              <w:spacing w:after="0"/>
              <w:rPr>
                <w:sz w:val="20"/>
                <w:szCs w:val="20"/>
                <w:color w:val="auto"/>
              </w:rPr>
            </w:pPr>
            <w:r>
              <w:rPr>
                <w:rFonts w:ascii="Arial" w:cs="Arial" w:eastAsia="Arial" w:hAnsi="Arial"/>
                <w:sz w:val="16"/>
                <w:szCs w:val="16"/>
                <w:color w:val="auto"/>
              </w:rPr>
              <w:t>141</w:t>
            </w:r>
          </w:p>
        </w:tc>
      </w:tr>
      <w:tr>
        <w:trPr>
          <w:trHeight w:val="195"/>
        </w:trPr>
        <w:tc>
          <w:tcPr>
            <w:tcW w:w="8160" w:type="dxa"/>
            <w:vAlign w:val="bottom"/>
          </w:tcPr>
          <w:p>
            <w:pPr>
              <w:ind w:left="20"/>
              <w:spacing w:after="0"/>
              <w:rPr>
                <w:sz w:val="20"/>
                <w:szCs w:val="20"/>
                <w:color w:val="auto"/>
              </w:rPr>
            </w:pPr>
            <w:r>
              <w:rPr>
                <w:rFonts w:ascii="Arial" w:cs="Arial" w:eastAsia="Arial" w:hAnsi="Arial"/>
                <w:sz w:val="16"/>
                <w:szCs w:val="16"/>
                <w:color w:val="auto"/>
              </w:rPr>
              <w:t>Equity earnings, net of income tax:</w:t>
            </w:r>
          </w:p>
        </w:tc>
        <w:tc>
          <w:tcPr>
            <w:tcW w:w="26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80" w:type="dxa"/>
            <w:vAlign w:val="bottom"/>
          </w:tcPr>
          <w:p>
            <w:pPr>
              <w:spacing w:after="0"/>
              <w:rPr>
                <w:sz w:val="16"/>
                <w:szCs w:val="16"/>
                <w:color w:val="auto"/>
              </w:rPr>
            </w:pPr>
          </w:p>
        </w:tc>
      </w:tr>
      <w:tr>
        <w:trPr>
          <w:trHeight w:val="217"/>
        </w:trPr>
        <w:tc>
          <w:tcPr>
            <w:tcW w:w="8160" w:type="dxa"/>
            <w:vAlign w:val="bottom"/>
            <w:shd w:val="clear" w:color="auto" w:fill="D4F1F5"/>
          </w:tcPr>
          <w:p>
            <w:pPr>
              <w:ind w:left="140"/>
              <w:spacing w:after="0"/>
              <w:rPr>
                <w:sz w:val="20"/>
                <w:szCs w:val="20"/>
                <w:color w:val="auto"/>
              </w:rPr>
            </w:pPr>
            <w:r>
              <w:rPr>
                <w:rFonts w:ascii="Arial" w:cs="Arial" w:eastAsia="Arial" w:hAnsi="Arial"/>
                <w:sz w:val="16"/>
                <w:szCs w:val="16"/>
                <w:color w:val="auto"/>
              </w:rPr>
              <w:t>Sempra Texas Utilities</w:t>
            </w:r>
          </w:p>
        </w:tc>
        <w:tc>
          <w:tcPr>
            <w:tcW w:w="260" w:type="dxa"/>
            <w:vAlign w:val="bottom"/>
            <w:shd w:val="clear" w:color="auto" w:fill="D4F1F5"/>
          </w:tcPr>
          <w:p>
            <w:pPr>
              <w:spacing w:after="0"/>
              <w:rPr>
                <w:sz w:val="18"/>
                <w:szCs w:val="18"/>
                <w:color w:val="auto"/>
              </w:rPr>
            </w:pPr>
          </w:p>
        </w:tc>
        <w:tc>
          <w:tcPr>
            <w:tcW w:w="1280" w:type="dxa"/>
            <w:vAlign w:val="bottom"/>
            <w:shd w:val="clear" w:color="auto" w:fill="D4F1F5"/>
          </w:tcPr>
          <w:p>
            <w:pPr>
              <w:jc w:val="right"/>
              <w:ind w:right="40"/>
              <w:spacing w:after="0"/>
              <w:rPr>
                <w:sz w:val="20"/>
                <w:szCs w:val="20"/>
                <w:color w:val="auto"/>
              </w:rPr>
            </w:pPr>
            <w:r>
              <w:rPr>
                <w:rFonts w:ascii="Arial" w:cs="Arial" w:eastAsia="Arial" w:hAnsi="Arial"/>
                <w:sz w:val="16"/>
                <w:szCs w:val="16"/>
                <w:color w:val="auto"/>
              </w:rPr>
              <w:t>171</w:t>
            </w:r>
          </w:p>
        </w:tc>
        <w:tc>
          <w:tcPr>
            <w:tcW w:w="260" w:type="dxa"/>
            <w:vAlign w:val="bottom"/>
            <w:shd w:val="clear" w:color="auto" w:fill="D4F1F5"/>
          </w:tcPr>
          <w:p>
            <w:pPr>
              <w:spacing w:after="0"/>
              <w:rPr>
                <w:sz w:val="18"/>
                <w:szCs w:val="18"/>
                <w:color w:val="auto"/>
              </w:rPr>
            </w:pPr>
          </w:p>
        </w:tc>
        <w:tc>
          <w:tcPr>
            <w:tcW w:w="1280" w:type="dxa"/>
            <w:vAlign w:val="bottom"/>
            <w:shd w:val="clear" w:color="auto" w:fill="D4F1F5"/>
          </w:tcPr>
          <w:p>
            <w:pPr>
              <w:jc w:val="right"/>
              <w:spacing w:after="0"/>
              <w:rPr>
                <w:sz w:val="20"/>
                <w:szCs w:val="20"/>
                <w:color w:val="auto"/>
              </w:rPr>
            </w:pPr>
            <w:r>
              <w:rPr>
                <w:rFonts w:ascii="Arial" w:cs="Arial" w:eastAsia="Arial" w:hAnsi="Arial"/>
                <w:sz w:val="16"/>
                <w:szCs w:val="16"/>
                <w:color w:val="auto"/>
              </w:rPr>
              <w:t>146</w:t>
            </w:r>
          </w:p>
        </w:tc>
      </w:tr>
      <w:tr>
        <w:trPr>
          <w:trHeight w:val="215"/>
        </w:trPr>
        <w:tc>
          <w:tcPr>
            <w:tcW w:w="8160" w:type="dxa"/>
            <w:vAlign w:val="bottom"/>
            <w:tcBorders>
              <w:bottom w:val="single" w:sz="8" w:color="D4F1F5"/>
            </w:tcBorders>
          </w:tcPr>
          <w:p>
            <w:pPr>
              <w:ind w:left="140"/>
              <w:spacing w:after="0"/>
              <w:rPr>
                <w:sz w:val="20"/>
                <w:szCs w:val="20"/>
                <w:color w:val="auto"/>
              </w:rPr>
            </w:pPr>
            <w:r>
              <w:rPr>
                <w:rFonts w:ascii="Arial" w:cs="Arial" w:eastAsia="Arial" w:hAnsi="Arial"/>
                <w:sz w:val="16"/>
                <w:szCs w:val="16"/>
                <w:color w:val="auto"/>
              </w:rPr>
              <w:t>Sempra Infrastructure</w:t>
            </w:r>
          </w:p>
        </w:tc>
        <w:tc>
          <w:tcPr>
            <w:tcW w:w="2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48</w:t>
            </w:r>
          </w:p>
        </w:tc>
        <w:tc>
          <w:tcPr>
            <w:tcW w:w="2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w:t>
            </w:r>
          </w:p>
        </w:tc>
      </w:tr>
      <w:tr>
        <w:trPr>
          <w:trHeight w:val="210"/>
        </w:trPr>
        <w:tc>
          <w:tcPr>
            <w:tcW w:w="8160" w:type="dxa"/>
            <w:vAlign w:val="bottom"/>
            <w:shd w:val="clear" w:color="auto" w:fill="D4F1F5"/>
          </w:tcPr>
          <w:p>
            <w:pPr>
              <w:ind w:left="240"/>
              <w:spacing w:after="0"/>
              <w:rPr>
                <w:sz w:val="20"/>
                <w:szCs w:val="20"/>
                <w:color w:val="auto"/>
              </w:rPr>
            </w:pPr>
            <w:r>
              <w:rPr>
                <w:rFonts w:ascii="Arial" w:cs="Arial" w:eastAsia="Arial" w:hAnsi="Arial"/>
                <w:sz w:val="16"/>
                <w:szCs w:val="16"/>
                <w:color w:val="auto"/>
              </w:rPr>
              <w:t>Segment totals</w:t>
            </w:r>
          </w:p>
        </w:tc>
        <w:tc>
          <w:tcPr>
            <w:tcW w:w="260" w:type="dxa"/>
            <w:vAlign w:val="bottom"/>
            <w:tcBorders>
              <w:bottom w:val="single" w:sz="8" w:color="auto"/>
            </w:tcBorders>
            <w:shd w:val="clear" w:color="auto" w:fill="D4F1F5"/>
          </w:tcPr>
          <w:p>
            <w:pPr>
              <w:spacing w:after="0"/>
              <w:rPr>
                <w:sz w:val="18"/>
                <w:szCs w:val="18"/>
                <w:color w:val="auto"/>
              </w:rPr>
            </w:pPr>
          </w:p>
        </w:tc>
        <w:tc>
          <w:tcPr>
            <w:tcW w:w="1280" w:type="dxa"/>
            <w:vAlign w:val="bottom"/>
            <w:tcBorders>
              <w:bottom w:val="single" w:sz="8" w:color="auto"/>
            </w:tcBorders>
            <w:shd w:val="clear" w:color="auto" w:fill="D4F1F5"/>
          </w:tcPr>
          <w:p>
            <w:pPr>
              <w:jc w:val="right"/>
              <w:ind w:right="40"/>
              <w:spacing w:after="0"/>
              <w:rPr>
                <w:sz w:val="20"/>
                <w:szCs w:val="20"/>
                <w:color w:val="auto"/>
              </w:rPr>
            </w:pPr>
            <w:r>
              <w:rPr>
                <w:rFonts w:ascii="Arial" w:cs="Arial" w:eastAsia="Arial" w:hAnsi="Arial"/>
                <w:sz w:val="16"/>
                <w:szCs w:val="16"/>
                <w:color w:val="auto"/>
              </w:rPr>
              <w:t>219</w:t>
            </w:r>
          </w:p>
        </w:tc>
        <w:tc>
          <w:tcPr>
            <w:tcW w:w="260" w:type="dxa"/>
            <w:vAlign w:val="bottom"/>
            <w:tcBorders>
              <w:bottom w:val="single" w:sz="8" w:color="auto"/>
            </w:tcBorders>
            <w:shd w:val="clear" w:color="auto" w:fill="D4F1F5"/>
          </w:tcPr>
          <w:p>
            <w:pPr>
              <w:spacing w:after="0"/>
              <w:rPr>
                <w:sz w:val="18"/>
                <w:szCs w:val="18"/>
                <w:color w:val="auto"/>
              </w:rPr>
            </w:pPr>
          </w:p>
        </w:tc>
        <w:tc>
          <w:tcPr>
            <w:tcW w:w="1280" w:type="dxa"/>
            <w:vAlign w:val="bottom"/>
            <w:tcBorders>
              <w:bottom w:val="single" w:sz="8" w:color="auto"/>
            </w:tcBorders>
            <w:shd w:val="clear" w:color="auto" w:fill="D4F1F5"/>
          </w:tcPr>
          <w:p>
            <w:pPr>
              <w:jc w:val="right"/>
              <w:spacing w:after="0"/>
              <w:rPr>
                <w:sz w:val="20"/>
                <w:szCs w:val="20"/>
                <w:color w:val="auto"/>
              </w:rPr>
            </w:pPr>
            <w:r>
              <w:rPr>
                <w:rFonts w:ascii="Arial" w:cs="Arial" w:eastAsia="Arial" w:hAnsi="Arial"/>
                <w:sz w:val="16"/>
                <w:szCs w:val="16"/>
                <w:color w:val="auto"/>
              </w:rPr>
              <w:t>184</w:t>
            </w:r>
          </w:p>
        </w:tc>
      </w:tr>
      <w:tr>
        <w:trPr>
          <w:trHeight w:val="216"/>
        </w:trPr>
        <w:tc>
          <w:tcPr>
            <w:tcW w:w="8160" w:type="dxa"/>
            <w:vAlign w:val="bottom"/>
            <w:tcBorders>
              <w:bottom w:val="single" w:sz="8" w:color="auto"/>
            </w:tcBorders>
          </w:tcPr>
          <w:p>
            <w:pPr>
              <w:ind w:left="140"/>
              <w:spacing w:after="0"/>
              <w:rPr>
                <w:sz w:val="20"/>
                <w:szCs w:val="20"/>
                <w:color w:val="auto"/>
              </w:rPr>
            </w:pPr>
            <w:r>
              <w:rPr>
                <w:rFonts w:ascii="Arial" w:cs="Arial" w:eastAsia="Arial" w:hAnsi="Arial"/>
                <w:sz w:val="16"/>
                <w:szCs w:val="16"/>
                <w:color w:val="auto"/>
              </w:rPr>
              <w:t>Total Sempra</w:t>
            </w: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367</w:t>
            </w:r>
          </w:p>
        </w:tc>
        <w:tc>
          <w:tcPr>
            <w:tcW w:w="2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325</w:t>
            </w:r>
          </w:p>
        </w:tc>
      </w:tr>
      <w:tr>
        <w:trPr>
          <w:trHeight w:val="216"/>
        </w:trPr>
        <w:tc>
          <w:tcPr>
            <w:tcW w:w="8160" w:type="dxa"/>
            <w:vAlign w:val="bottom"/>
            <w:shd w:val="clear" w:color="auto" w:fill="D4F1F5"/>
          </w:tcPr>
          <w:p>
            <w:pPr>
              <w:ind w:left="20"/>
              <w:spacing w:after="0"/>
              <w:rPr>
                <w:sz w:val="20"/>
                <w:szCs w:val="20"/>
                <w:color w:val="auto"/>
              </w:rPr>
            </w:pPr>
            <w:r>
              <w:rPr>
                <w:rFonts w:ascii="Arial" w:cs="Arial" w:eastAsia="Arial" w:hAnsi="Arial"/>
                <w:sz w:val="16"/>
                <w:szCs w:val="16"/>
                <w:color w:val="auto"/>
              </w:rPr>
              <w:t>CAPITAL EXPENDITURES FOR PROPERTY, PLANT AND EQUIPMENT</w:t>
            </w:r>
          </w:p>
        </w:tc>
        <w:tc>
          <w:tcPr>
            <w:tcW w:w="260" w:type="dxa"/>
            <w:vAlign w:val="bottom"/>
            <w:shd w:val="clear" w:color="auto" w:fill="D4F1F5"/>
          </w:tcPr>
          <w:p>
            <w:pPr>
              <w:spacing w:after="0"/>
              <w:rPr>
                <w:sz w:val="18"/>
                <w:szCs w:val="18"/>
                <w:color w:val="auto"/>
              </w:rPr>
            </w:pPr>
          </w:p>
        </w:tc>
        <w:tc>
          <w:tcPr>
            <w:tcW w:w="1280" w:type="dxa"/>
            <w:vAlign w:val="bottom"/>
            <w:shd w:val="clear" w:color="auto" w:fill="D4F1F5"/>
          </w:tcPr>
          <w:p>
            <w:pPr>
              <w:spacing w:after="0"/>
              <w:rPr>
                <w:sz w:val="18"/>
                <w:szCs w:val="18"/>
                <w:color w:val="auto"/>
              </w:rPr>
            </w:pPr>
          </w:p>
        </w:tc>
        <w:tc>
          <w:tcPr>
            <w:tcW w:w="260" w:type="dxa"/>
            <w:vAlign w:val="bottom"/>
            <w:shd w:val="clear" w:color="auto" w:fill="D4F1F5"/>
          </w:tcPr>
          <w:p>
            <w:pPr>
              <w:spacing w:after="0"/>
              <w:rPr>
                <w:sz w:val="18"/>
                <w:szCs w:val="18"/>
                <w:color w:val="auto"/>
              </w:rPr>
            </w:pPr>
          </w:p>
        </w:tc>
        <w:tc>
          <w:tcPr>
            <w:tcW w:w="1280" w:type="dxa"/>
            <w:vAlign w:val="bottom"/>
            <w:shd w:val="clear" w:color="auto" w:fill="D4F1F5"/>
          </w:tcPr>
          <w:p>
            <w:pPr>
              <w:spacing w:after="0"/>
              <w:rPr>
                <w:sz w:val="18"/>
                <w:szCs w:val="18"/>
                <w:color w:val="auto"/>
              </w:rPr>
            </w:pPr>
          </w:p>
        </w:tc>
      </w:tr>
      <w:tr>
        <w:trPr>
          <w:trHeight w:val="215"/>
        </w:trPr>
        <w:tc>
          <w:tcPr>
            <w:tcW w:w="8160" w:type="dxa"/>
            <w:vAlign w:val="bottom"/>
          </w:tcPr>
          <w:p>
            <w:pPr>
              <w:ind w:left="20"/>
              <w:spacing w:after="0"/>
              <w:rPr>
                <w:sz w:val="20"/>
                <w:szCs w:val="20"/>
                <w:color w:val="auto"/>
              </w:rPr>
            </w:pPr>
            <w:r>
              <w:rPr>
                <w:rFonts w:ascii="Arial" w:cs="Arial" w:eastAsia="Arial" w:hAnsi="Arial"/>
                <w:sz w:val="16"/>
                <w:szCs w:val="16"/>
                <w:color w:val="auto"/>
              </w:rPr>
              <w:t>Sempra California</w:t>
            </w: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280" w:type="dxa"/>
            <w:vAlign w:val="bottom"/>
          </w:tcPr>
          <w:p>
            <w:pPr>
              <w:jc w:val="right"/>
              <w:ind w:right="40"/>
              <w:spacing w:after="0"/>
              <w:rPr>
                <w:sz w:val="20"/>
                <w:szCs w:val="20"/>
                <w:color w:val="auto"/>
              </w:rPr>
            </w:pPr>
            <w:r>
              <w:rPr>
                <w:rFonts w:ascii="Arial" w:cs="Arial" w:eastAsia="Arial" w:hAnsi="Arial"/>
                <w:sz w:val="16"/>
                <w:szCs w:val="16"/>
                <w:color w:val="auto"/>
              </w:rPr>
              <w:t>967</w:t>
            </w:r>
          </w:p>
        </w:tc>
        <w:tc>
          <w:tcPr>
            <w:tcW w:w="2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1,094</w:t>
            </w:r>
          </w:p>
        </w:tc>
      </w:tr>
      <w:tr>
        <w:trPr>
          <w:trHeight w:val="217"/>
        </w:trPr>
        <w:tc>
          <w:tcPr>
            <w:tcW w:w="8160" w:type="dxa"/>
            <w:vAlign w:val="bottom"/>
            <w:shd w:val="clear" w:color="auto" w:fill="D4F1F5"/>
          </w:tcPr>
          <w:p>
            <w:pPr>
              <w:ind w:left="20"/>
              <w:spacing w:after="0"/>
              <w:rPr>
                <w:sz w:val="20"/>
                <w:szCs w:val="20"/>
                <w:color w:val="auto"/>
              </w:rPr>
            </w:pPr>
            <w:r>
              <w:rPr>
                <w:rFonts w:ascii="Arial" w:cs="Arial" w:eastAsia="Arial" w:hAnsi="Arial"/>
                <w:sz w:val="16"/>
                <w:szCs w:val="16"/>
                <w:color w:val="auto"/>
              </w:rPr>
              <w:t>Sempra Infrastructure</w:t>
            </w:r>
          </w:p>
        </w:tc>
        <w:tc>
          <w:tcPr>
            <w:tcW w:w="260" w:type="dxa"/>
            <w:vAlign w:val="bottom"/>
            <w:tcBorders>
              <w:bottom w:val="single" w:sz="8" w:color="auto"/>
            </w:tcBorders>
            <w:shd w:val="clear" w:color="auto" w:fill="D4F1F5"/>
          </w:tcPr>
          <w:p>
            <w:pPr>
              <w:spacing w:after="0"/>
              <w:rPr>
                <w:sz w:val="18"/>
                <w:szCs w:val="18"/>
                <w:color w:val="auto"/>
              </w:rPr>
            </w:pPr>
          </w:p>
        </w:tc>
        <w:tc>
          <w:tcPr>
            <w:tcW w:w="1280" w:type="dxa"/>
            <w:vAlign w:val="bottom"/>
            <w:tcBorders>
              <w:bottom w:val="single" w:sz="8" w:color="auto"/>
            </w:tcBorders>
            <w:shd w:val="clear" w:color="auto" w:fill="D4F1F5"/>
          </w:tcPr>
          <w:p>
            <w:pPr>
              <w:jc w:val="right"/>
              <w:ind w:right="40"/>
              <w:spacing w:after="0"/>
              <w:rPr>
                <w:sz w:val="20"/>
                <w:szCs w:val="20"/>
                <w:color w:val="auto"/>
              </w:rPr>
            </w:pPr>
            <w:r>
              <w:rPr>
                <w:rFonts w:ascii="Arial" w:cs="Arial" w:eastAsia="Arial" w:hAnsi="Arial"/>
                <w:sz w:val="16"/>
                <w:szCs w:val="16"/>
                <w:color w:val="auto"/>
              </w:rPr>
              <w:t>1,493</w:t>
            </w:r>
          </w:p>
        </w:tc>
        <w:tc>
          <w:tcPr>
            <w:tcW w:w="260" w:type="dxa"/>
            <w:vAlign w:val="bottom"/>
            <w:tcBorders>
              <w:bottom w:val="single" w:sz="8" w:color="auto"/>
            </w:tcBorders>
            <w:shd w:val="clear" w:color="auto" w:fill="D4F1F5"/>
          </w:tcPr>
          <w:p>
            <w:pPr>
              <w:spacing w:after="0"/>
              <w:rPr>
                <w:sz w:val="18"/>
                <w:szCs w:val="18"/>
                <w:color w:val="auto"/>
              </w:rPr>
            </w:pPr>
          </w:p>
        </w:tc>
        <w:tc>
          <w:tcPr>
            <w:tcW w:w="1280" w:type="dxa"/>
            <w:vAlign w:val="bottom"/>
            <w:tcBorders>
              <w:bottom w:val="single" w:sz="8" w:color="auto"/>
            </w:tcBorders>
            <w:shd w:val="clear" w:color="auto" w:fill="D4F1F5"/>
          </w:tcPr>
          <w:p>
            <w:pPr>
              <w:jc w:val="right"/>
              <w:spacing w:after="0"/>
              <w:rPr>
                <w:sz w:val="20"/>
                <w:szCs w:val="20"/>
                <w:color w:val="auto"/>
              </w:rPr>
            </w:pPr>
            <w:r>
              <w:rPr>
                <w:rFonts w:ascii="Arial" w:cs="Arial" w:eastAsia="Arial" w:hAnsi="Arial"/>
                <w:sz w:val="16"/>
                <w:szCs w:val="16"/>
                <w:color w:val="auto"/>
              </w:rPr>
              <w:t>1,241</w:t>
            </w:r>
          </w:p>
        </w:tc>
      </w:tr>
      <w:tr>
        <w:trPr>
          <w:trHeight w:val="209"/>
        </w:trPr>
        <w:tc>
          <w:tcPr>
            <w:tcW w:w="8160" w:type="dxa"/>
            <w:vAlign w:val="bottom"/>
          </w:tcPr>
          <w:p>
            <w:pPr>
              <w:ind w:left="140"/>
              <w:spacing w:after="0"/>
              <w:rPr>
                <w:sz w:val="20"/>
                <w:szCs w:val="20"/>
                <w:color w:val="auto"/>
              </w:rPr>
            </w:pPr>
            <w:r>
              <w:rPr>
                <w:rFonts w:ascii="Arial" w:cs="Arial" w:eastAsia="Arial" w:hAnsi="Arial"/>
                <w:sz w:val="16"/>
                <w:szCs w:val="16"/>
                <w:color w:val="auto"/>
              </w:rPr>
              <w:t>Segment totals</w:t>
            </w:r>
          </w:p>
        </w:tc>
        <w:tc>
          <w:tcPr>
            <w:tcW w:w="260" w:type="dxa"/>
            <w:vAlign w:val="bottom"/>
          </w:tcPr>
          <w:p>
            <w:pPr>
              <w:spacing w:after="0"/>
              <w:rPr>
                <w:sz w:val="18"/>
                <w:szCs w:val="18"/>
                <w:color w:val="auto"/>
              </w:rPr>
            </w:pPr>
          </w:p>
        </w:tc>
        <w:tc>
          <w:tcPr>
            <w:tcW w:w="1280" w:type="dxa"/>
            <w:vAlign w:val="bottom"/>
          </w:tcPr>
          <w:p>
            <w:pPr>
              <w:jc w:val="right"/>
              <w:ind w:right="40"/>
              <w:spacing w:after="0"/>
              <w:rPr>
                <w:sz w:val="20"/>
                <w:szCs w:val="20"/>
                <w:color w:val="auto"/>
              </w:rPr>
            </w:pPr>
            <w:r>
              <w:rPr>
                <w:rFonts w:ascii="Arial" w:cs="Arial" w:eastAsia="Arial" w:hAnsi="Arial"/>
                <w:sz w:val="16"/>
                <w:szCs w:val="16"/>
                <w:color w:val="auto"/>
              </w:rPr>
              <w:t>2,460</w:t>
            </w:r>
          </w:p>
        </w:tc>
        <w:tc>
          <w:tcPr>
            <w:tcW w:w="2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2,335</w:t>
            </w:r>
          </w:p>
        </w:tc>
      </w:tr>
      <w:tr>
        <w:trPr>
          <w:trHeight w:val="217"/>
        </w:trPr>
        <w:tc>
          <w:tcPr>
            <w:tcW w:w="8160" w:type="dxa"/>
            <w:vAlign w:val="bottom"/>
            <w:shd w:val="clear" w:color="auto" w:fill="D4F1F5"/>
          </w:tcPr>
          <w:p>
            <w:pPr>
              <w:ind w:left="20"/>
              <w:spacing w:after="0"/>
              <w:rPr>
                <w:sz w:val="20"/>
                <w:szCs w:val="20"/>
                <w:color w:val="auto"/>
              </w:rPr>
            </w:pPr>
            <w:r>
              <w:rPr>
                <w:rFonts w:ascii="Arial" w:cs="Arial" w:eastAsia="Arial" w:hAnsi="Arial"/>
                <w:sz w:val="16"/>
                <w:szCs w:val="16"/>
                <w:color w:val="auto"/>
              </w:rPr>
              <w:t>Parent and other</w:t>
            </w:r>
          </w:p>
        </w:tc>
        <w:tc>
          <w:tcPr>
            <w:tcW w:w="260" w:type="dxa"/>
            <w:vAlign w:val="bottom"/>
            <w:tcBorders>
              <w:bottom w:val="single" w:sz="8" w:color="auto"/>
            </w:tcBorders>
            <w:shd w:val="clear" w:color="auto" w:fill="D4F1F5"/>
          </w:tcPr>
          <w:p>
            <w:pPr>
              <w:spacing w:after="0"/>
              <w:rPr>
                <w:sz w:val="18"/>
                <w:szCs w:val="18"/>
                <w:color w:val="auto"/>
              </w:rPr>
            </w:pPr>
          </w:p>
        </w:tc>
        <w:tc>
          <w:tcPr>
            <w:tcW w:w="1280" w:type="dxa"/>
            <w:vAlign w:val="bottom"/>
            <w:tcBorders>
              <w:bottom w:val="single" w:sz="8" w:color="auto"/>
            </w:tcBorders>
            <w:shd w:val="clear" w:color="auto" w:fill="D4F1F5"/>
          </w:tcPr>
          <w:p>
            <w:pPr>
              <w:jc w:val="right"/>
              <w:ind w:right="40"/>
              <w:spacing w:after="0"/>
              <w:rPr>
                <w:sz w:val="20"/>
                <w:szCs w:val="20"/>
                <w:color w:val="auto"/>
              </w:rPr>
            </w:pPr>
            <w:r>
              <w:rPr>
                <w:rFonts w:ascii="Arial" w:cs="Arial" w:eastAsia="Arial" w:hAnsi="Arial"/>
                <w:sz w:val="16"/>
                <w:szCs w:val="16"/>
                <w:color w:val="auto"/>
              </w:rPr>
              <w:t>1</w:t>
            </w:r>
          </w:p>
        </w:tc>
        <w:tc>
          <w:tcPr>
            <w:tcW w:w="260" w:type="dxa"/>
            <w:vAlign w:val="bottom"/>
            <w:tcBorders>
              <w:bottom w:val="single" w:sz="8" w:color="auto"/>
            </w:tcBorders>
            <w:shd w:val="clear" w:color="auto" w:fill="D4F1F5"/>
          </w:tcPr>
          <w:p>
            <w:pPr>
              <w:spacing w:after="0"/>
              <w:rPr>
                <w:sz w:val="18"/>
                <w:szCs w:val="18"/>
                <w:color w:val="auto"/>
              </w:rPr>
            </w:pPr>
          </w:p>
        </w:tc>
        <w:tc>
          <w:tcPr>
            <w:tcW w:w="1280" w:type="dxa"/>
            <w:vAlign w:val="bottom"/>
            <w:tcBorders>
              <w:bottom w:val="single" w:sz="8" w:color="auto"/>
            </w:tcBorders>
            <w:shd w:val="clear" w:color="auto" w:fill="D4F1F5"/>
          </w:tcPr>
          <w:p>
            <w:pPr>
              <w:jc w:val="right"/>
              <w:spacing w:after="0"/>
              <w:rPr>
                <w:sz w:val="20"/>
                <w:szCs w:val="20"/>
                <w:color w:val="auto"/>
              </w:rPr>
            </w:pPr>
            <w:r>
              <w:rPr>
                <w:rFonts w:ascii="Arial" w:cs="Arial" w:eastAsia="Arial" w:hAnsi="Arial"/>
                <w:sz w:val="16"/>
                <w:szCs w:val="16"/>
                <w:color w:val="auto"/>
              </w:rPr>
              <w:t>1</w:t>
            </w:r>
          </w:p>
        </w:tc>
      </w:tr>
      <w:tr>
        <w:trPr>
          <w:trHeight w:val="217"/>
        </w:trPr>
        <w:tc>
          <w:tcPr>
            <w:tcW w:w="8160" w:type="dxa"/>
            <w:vAlign w:val="bottom"/>
            <w:tcBorders>
              <w:bottom w:val="single" w:sz="8" w:color="auto"/>
            </w:tcBorders>
          </w:tcPr>
          <w:p>
            <w:pPr>
              <w:ind w:left="140"/>
              <w:spacing w:after="0"/>
              <w:rPr>
                <w:sz w:val="20"/>
                <w:szCs w:val="20"/>
                <w:color w:val="auto"/>
              </w:rPr>
            </w:pPr>
            <w:r>
              <w:rPr>
                <w:rFonts w:ascii="Arial" w:cs="Arial" w:eastAsia="Arial" w:hAnsi="Arial"/>
                <w:sz w:val="16"/>
                <w:szCs w:val="16"/>
                <w:color w:val="auto"/>
              </w:rPr>
              <w:t>Total Sempra</w:t>
            </w: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2,461</w:t>
            </w:r>
          </w:p>
        </w:tc>
        <w:tc>
          <w:tcPr>
            <w:tcW w:w="2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2,336</w:t>
            </w:r>
          </w:p>
        </w:tc>
      </w:tr>
    </w:tbl>
    <w:p>
      <w:pPr>
        <w:spacing w:after="0" w:line="111" w:lineRule="exact"/>
        <w:rPr>
          <w:sz w:val="20"/>
          <w:szCs w:val="20"/>
          <w:color w:val="auto"/>
        </w:rPr>
      </w:pPr>
    </w:p>
    <w:p>
      <w:pPr>
        <w:ind w:left="260" w:hanging="252"/>
        <w:spacing w:after="0"/>
        <w:tabs>
          <w:tab w:leader="none" w:pos="260" w:val="left"/>
        </w:tabs>
        <w:numPr>
          <w:ilvl w:val="0"/>
          <w:numId w:val="41"/>
        </w:numPr>
        <w:rPr>
          <w:rFonts w:ascii="Arial" w:cs="Arial" w:eastAsia="Arial" w:hAnsi="Arial"/>
          <w:sz w:val="19"/>
          <w:szCs w:val="19"/>
          <w:i w:val="1"/>
          <w:iCs w:val="1"/>
          <w:color w:val="auto"/>
          <w:vertAlign w:val="superscript"/>
        </w:rPr>
      </w:pPr>
      <w:r>
        <w:rPr>
          <w:rFonts w:ascii="Arial" w:cs="Arial" w:eastAsia="Arial" w:hAnsi="Arial"/>
          <w:sz w:val="14"/>
          <w:szCs w:val="14"/>
          <w:i w:val="1"/>
          <w:iCs w:val="1"/>
          <w:color w:val="auto"/>
        </w:rPr>
        <w:t>Primarily includes an intersegment loan from Sempra Infrastructure to Parent and other related to deferred income taxes.</w:t>
      </w:r>
    </w:p>
    <w:p>
      <w:pPr>
        <w:spacing w:after="0" w:line="26" w:lineRule="exact"/>
        <w:rPr>
          <w:rFonts w:ascii="Arial" w:cs="Arial" w:eastAsia="Arial" w:hAnsi="Arial"/>
          <w:sz w:val="19"/>
          <w:szCs w:val="19"/>
          <w:i w:val="1"/>
          <w:iCs w:val="1"/>
          <w:color w:val="auto"/>
          <w:vertAlign w:val="superscript"/>
        </w:rPr>
      </w:pPr>
    </w:p>
    <w:p>
      <w:pPr>
        <w:ind w:left="260" w:hanging="252"/>
        <w:spacing w:after="0"/>
        <w:tabs>
          <w:tab w:leader="none" w:pos="260" w:val="left"/>
        </w:tabs>
        <w:numPr>
          <w:ilvl w:val="0"/>
          <w:numId w:val="41"/>
        </w:numPr>
        <w:rPr>
          <w:rFonts w:ascii="Arial" w:cs="Arial" w:eastAsia="Arial" w:hAnsi="Arial"/>
          <w:sz w:val="9"/>
          <w:szCs w:val="9"/>
          <w:i w:val="1"/>
          <w:iCs w:val="1"/>
          <w:color w:val="auto"/>
        </w:rPr>
      </w:pPr>
      <w:r>
        <w:rPr>
          <w:rFonts w:ascii="Arial" w:cs="Arial" w:eastAsia="Arial" w:hAnsi="Arial"/>
          <w:sz w:val="14"/>
          <w:szCs w:val="14"/>
          <w:i w:val="1"/>
          <w:iCs w:val="1"/>
          <w:color w:val="auto"/>
        </w:rPr>
        <w:t>At March 31, 2026 and December 31, 2025, $2,546 and $2,566, respectively, is included in Assets Held for Sale on the Sempra Condensed Consolidated Balance Sheets.</w:t>
      </w:r>
    </w:p>
    <w:p>
      <w:pPr>
        <w:spacing w:after="0" w:line="29" w:lineRule="exact"/>
        <w:rPr>
          <w:rFonts w:ascii="Arial" w:cs="Arial" w:eastAsia="Arial" w:hAnsi="Arial"/>
          <w:sz w:val="9"/>
          <w:szCs w:val="9"/>
          <w:i w:val="1"/>
          <w:iCs w:val="1"/>
          <w:color w:val="auto"/>
        </w:rPr>
      </w:pPr>
    </w:p>
    <w:p>
      <w:pPr>
        <w:ind w:left="340" w:right="340"/>
        <w:spacing w:after="0" w:line="322" w:lineRule="auto"/>
        <w:rPr>
          <w:rFonts w:ascii="Arial" w:cs="Arial" w:eastAsia="Arial" w:hAnsi="Arial"/>
          <w:sz w:val="9"/>
          <w:szCs w:val="9"/>
          <w:i w:val="1"/>
          <w:iCs w:val="1"/>
          <w:color w:val="auto"/>
        </w:rPr>
      </w:pPr>
      <w:r>
        <w:rPr>
          <w:rFonts w:ascii="Arial" w:cs="Arial" w:eastAsia="Arial" w:hAnsi="Arial"/>
          <w:sz w:val="14"/>
          <w:szCs w:val="14"/>
          <w:i w:val="1"/>
          <w:iCs w:val="1"/>
          <w:color w:val="auto"/>
        </w:rPr>
        <w:t>The remaining $16 and $17 at March 31, 2026 and December 31, 2025, respectively, represents our investment balance in Cameron LNG JV related to our guarantee under the SDSRA, which we discuss in Note 13.</w:t>
      </w: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150495</wp:posOffset>
            </wp:positionV>
            <wp:extent cx="7157720" cy="425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480060</wp:posOffset>
            </wp:positionV>
            <wp:extent cx="7132320" cy="3003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32320" cy="3003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FFFFFF"/>
        </w:rPr>
        <w:t>SEGMENT INFORMATION (CONTINUED)</w:t>
      </w:r>
    </w:p>
    <w:p>
      <w:pPr>
        <w:spacing w:after="0" w:line="66" w:lineRule="exact"/>
        <w:rPr>
          <w:sz w:val="20"/>
          <w:szCs w:val="20"/>
          <w:color w:val="auto"/>
        </w:rPr>
      </w:pPr>
    </w:p>
    <w:p>
      <w:pPr>
        <w:ind w:left="20"/>
        <w:spacing w:after="0"/>
        <w:rPr>
          <w:sz w:val="20"/>
          <w:szCs w:val="20"/>
          <w:color w:val="auto"/>
        </w:rPr>
      </w:pPr>
      <w:r>
        <w:rPr>
          <w:rFonts w:ascii="Arial" w:cs="Arial" w:eastAsia="Arial" w:hAnsi="Arial"/>
          <w:sz w:val="14"/>
          <w:szCs w:val="14"/>
          <w:i w:val="1"/>
          <w:iCs w:val="1"/>
          <w:color w:val="FFFFFF"/>
        </w:rPr>
        <w:t>(Dollars in millions)</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580" w:type="dxa"/>
            <w:vAlign w:val="bottom"/>
            <w:gridSpan w:val="2"/>
          </w:tcPr>
          <w:p>
            <w:pPr>
              <w:jc w:val="right"/>
              <w:ind w:right="239"/>
              <w:spacing w:after="0"/>
              <w:rPr>
                <w:sz w:val="20"/>
                <w:szCs w:val="20"/>
                <w:color w:val="auto"/>
              </w:rPr>
            </w:pPr>
            <w:r>
              <w:rPr>
                <w:rFonts w:ascii="Arial" w:cs="Arial" w:eastAsia="Arial" w:hAnsi="Arial"/>
                <w:sz w:val="14"/>
                <w:szCs w:val="14"/>
                <w:color w:val="auto"/>
              </w:rPr>
              <w:t>Sempra Texas</w:t>
            </w:r>
          </w:p>
        </w:tc>
        <w:tc>
          <w:tcPr>
            <w:tcW w:w="6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50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140"/>
              <w:spacing w:after="0"/>
              <w:rPr>
                <w:sz w:val="20"/>
                <w:szCs w:val="20"/>
                <w:color w:val="auto"/>
              </w:rPr>
            </w:pPr>
            <w:r>
              <w:rPr>
                <w:rFonts w:ascii="Arial" w:cs="Arial" w:eastAsia="Arial" w:hAnsi="Arial"/>
                <w:sz w:val="14"/>
                <w:szCs w:val="14"/>
                <w:color w:val="auto"/>
              </w:rPr>
              <w:t>Sempra California</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Utilities</w:t>
            </w:r>
            <w:r>
              <w:rPr>
                <w:rFonts w:ascii="Arial" w:cs="Arial" w:eastAsia="Arial" w:hAnsi="Arial"/>
                <w:sz w:val="9"/>
                <w:szCs w:val="9"/>
                <w:color w:val="auto"/>
              </w:rPr>
              <w:t>(1)</w:t>
            </w:r>
          </w:p>
        </w:tc>
        <w:tc>
          <w:tcPr>
            <w:tcW w:w="44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gridSpan w:val="3"/>
          </w:tcPr>
          <w:p>
            <w:pPr>
              <w:ind w:left="100"/>
              <w:spacing w:after="0"/>
              <w:rPr>
                <w:sz w:val="20"/>
                <w:szCs w:val="20"/>
                <w:color w:val="auto"/>
              </w:rPr>
            </w:pPr>
            <w:r>
              <w:rPr>
                <w:rFonts w:ascii="Arial" w:cs="Arial" w:eastAsia="Arial" w:hAnsi="Arial"/>
                <w:sz w:val="14"/>
                <w:szCs w:val="14"/>
                <w:color w:val="auto"/>
              </w:rPr>
              <w:t>Sempra Infrastructure</w:t>
            </w:r>
          </w:p>
        </w:tc>
        <w:tc>
          <w:tcPr>
            <w:tcW w:w="3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400"/>
              <w:spacing w:after="0"/>
              <w:rPr>
                <w:sz w:val="20"/>
                <w:szCs w:val="20"/>
                <w:color w:val="auto"/>
              </w:rPr>
            </w:pPr>
            <w:r>
              <w:rPr>
                <w:rFonts w:ascii="Arial" w:cs="Arial" w:eastAsia="Arial" w:hAnsi="Arial"/>
                <w:sz w:val="14"/>
                <w:szCs w:val="14"/>
                <w:color w:val="auto"/>
              </w:rPr>
              <w:t>Sempra</w:t>
            </w:r>
          </w:p>
        </w:tc>
        <w:tc>
          <w:tcPr>
            <w:tcW w:w="0" w:type="dxa"/>
            <w:vAlign w:val="bottom"/>
          </w:tcPr>
          <w:p>
            <w:pPr>
              <w:spacing w:after="0"/>
              <w:rPr>
                <w:sz w:val="1"/>
                <w:szCs w:val="1"/>
                <w:color w:val="auto"/>
              </w:rPr>
            </w:pPr>
          </w:p>
        </w:tc>
      </w:tr>
      <w:tr>
        <w:trPr>
          <w:trHeight w:val="210"/>
        </w:trPr>
        <w:tc>
          <w:tcPr>
            <w:tcW w:w="50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spacing w:after="0"/>
              <w:rPr>
                <w:sz w:val="18"/>
                <w:szCs w:val="18"/>
                <w:color w:val="auto"/>
              </w:rPr>
            </w:pPr>
          </w:p>
        </w:tc>
        <w:tc>
          <w:tcPr>
            <w:tcW w:w="3220" w:type="dxa"/>
            <w:vAlign w:val="bottom"/>
            <w:tcBorders>
              <w:bottom w:val="single" w:sz="8" w:color="auto"/>
            </w:tcBorders>
            <w:gridSpan w:val="5"/>
          </w:tcPr>
          <w:p>
            <w:pPr>
              <w:ind w:left="400"/>
              <w:spacing w:after="0"/>
              <w:rPr>
                <w:sz w:val="20"/>
                <w:szCs w:val="20"/>
                <w:color w:val="auto"/>
              </w:rPr>
            </w:pPr>
            <w:r>
              <w:rPr>
                <w:rFonts w:ascii="Arial" w:cs="Arial" w:eastAsia="Arial" w:hAnsi="Arial"/>
                <w:sz w:val="14"/>
                <w:szCs w:val="14"/>
                <w:color w:val="auto"/>
              </w:rPr>
              <w:t>Three months ended March 31, 2026</w:t>
            </w:r>
          </w:p>
        </w:tc>
        <w:tc>
          <w:tcPr>
            <w:tcW w:w="3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020" w:type="dxa"/>
            <w:vAlign w:val="bottom"/>
            <w:shd w:val="clear" w:color="auto" w:fill="D4F1F5"/>
          </w:tcPr>
          <w:p>
            <w:pPr>
              <w:ind w:left="20"/>
              <w:spacing w:after="0"/>
              <w:rPr>
                <w:sz w:val="20"/>
                <w:szCs w:val="20"/>
                <w:color w:val="auto"/>
              </w:rPr>
            </w:pPr>
            <w:r>
              <w:rPr>
                <w:rFonts w:ascii="Arial" w:cs="Arial" w:eastAsia="Arial" w:hAnsi="Arial"/>
                <w:sz w:val="16"/>
                <w:szCs w:val="16"/>
                <w:color w:val="auto"/>
              </w:rPr>
              <w:t>Revenues</w:t>
            </w:r>
          </w:p>
        </w:tc>
        <w:tc>
          <w:tcPr>
            <w:tcW w:w="140" w:type="dxa"/>
            <w:vAlign w:val="bottom"/>
            <w:shd w:val="clear" w:color="auto" w:fill="D4F1F5"/>
          </w:tcPr>
          <w:p>
            <w:pPr>
              <w:jc w:val="right"/>
              <w:spacing w:after="0"/>
              <w:rPr>
                <w:sz w:val="20"/>
                <w:szCs w:val="20"/>
                <w:color w:val="auto"/>
              </w:rPr>
            </w:pPr>
            <w:r>
              <w:rPr>
                <w:rFonts w:ascii="Arial" w:cs="Arial" w:eastAsia="Arial" w:hAnsi="Arial"/>
                <w:sz w:val="16"/>
                <w:szCs w:val="16"/>
                <w:color w:val="auto"/>
                <w:w w:val="89"/>
              </w:rPr>
              <w:t>$</w:t>
            </w:r>
          </w:p>
        </w:tc>
        <w:tc>
          <w:tcPr>
            <w:tcW w:w="1380" w:type="dxa"/>
            <w:vAlign w:val="bottom"/>
            <w:shd w:val="clear" w:color="auto" w:fill="D4F1F5"/>
          </w:tcPr>
          <w:p>
            <w:pPr>
              <w:jc w:val="right"/>
              <w:ind w:right="40"/>
              <w:spacing w:after="0"/>
              <w:rPr>
                <w:sz w:val="20"/>
                <w:szCs w:val="20"/>
                <w:color w:val="auto"/>
              </w:rPr>
            </w:pPr>
            <w:r>
              <w:rPr>
                <w:rFonts w:ascii="Arial" w:cs="Arial" w:eastAsia="Arial" w:hAnsi="Arial"/>
                <w:sz w:val="16"/>
                <w:szCs w:val="16"/>
                <w:color w:val="auto"/>
              </w:rPr>
              <w:t>3,231</w:t>
            </w:r>
          </w:p>
        </w:tc>
        <w:tc>
          <w:tcPr>
            <w:tcW w:w="1140" w:type="dxa"/>
            <w:vAlign w:val="bottom"/>
            <w:shd w:val="clear" w:color="auto" w:fill="D4F1F5"/>
          </w:tcPr>
          <w:p>
            <w:pPr>
              <w:spacing w:after="0"/>
              <w:rPr>
                <w:sz w:val="18"/>
                <w:szCs w:val="18"/>
                <w:color w:val="auto"/>
              </w:rPr>
            </w:pPr>
          </w:p>
        </w:tc>
        <w:tc>
          <w:tcPr>
            <w:tcW w:w="440" w:type="dxa"/>
            <w:vAlign w:val="bottom"/>
            <w:shd w:val="clear" w:color="auto" w:fill="D4F1F5"/>
          </w:tcPr>
          <w:p>
            <w:pPr>
              <w:spacing w:after="0"/>
              <w:rPr>
                <w:sz w:val="18"/>
                <w:szCs w:val="18"/>
                <w:color w:val="auto"/>
              </w:rPr>
            </w:pPr>
          </w:p>
        </w:tc>
        <w:tc>
          <w:tcPr>
            <w:tcW w:w="640" w:type="dxa"/>
            <w:vAlign w:val="bottom"/>
            <w:shd w:val="clear" w:color="auto" w:fill="D4F1F5"/>
          </w:tcPr>
          <w:p>
            <w:pPr>
              <w:jc w:val="right"/>
              <w:ind w:right="401"/>
              <w:spacing w:after="0"/>
              <w:rPr>
                <w:sz w:val="20"/>
                <w:szCs w:val="20"/>
                <w:color w:val="auto"/>
              </w:rPr>
            </w:pPr>
            <w:r>
              <w:rPr>
                <w:rFonts w:ascii="Arial" w:cs="Arial" w:eastAsia="Arial" w:hAnsi="Arial"/>
                <w:sz w:val="16"/>
                <w:szCs w:val="16"/>
                <w:color w:val="auto"/>
              </w:rPr>
              <w:t>$</w:t>
            </w:r>
          </w:p>
        </w:tc>
        <w:tc>
          <w:tcPr>
            <w:tcW w:w="900" w:type="dxa"/>
            <w:vAlign w:val="bottom"/>
            <w:shd w:val="clear" w:color="auto" w:fill="D4F1F5"/>
          </w:tcPr>
          <w:p>
            <w:pPr>
              <w:jc w:val="right"/>
              <w:spacing w:after="0"/>
              <w:rPr>
                <w:sz w:val="20"/>
                <w:szCs w:val="20"/>
                <w:color w:val="auto"/>
              </w:rPr>
            </w:pPr>
            <w:r>
              <w:rPr>
                <w:rFonts w:ascii="Arial" w:cs="Arial" w:eastAsia="Arial" w:hAnsi="Arial"/>
                <w:sz w:val="16"/>
                <w:szCs w:val="16"/>
                <w:color w:val="auto"/>
              </w:rPr>
              <w:t>443</w:t>
            </w:r>
          </w:p>
        </w:tc>
        <w:tc>
          <w:tcPr>
            <w:tcW w:w="100" w:type="dxa"/>
            <w:vAlign w:val="bottom"/>
            <w:shd w:val="clear" w:color="auto" w:fill="D4F1F5"/>
          </w:tcPr>
          <w:p>
            <w:pPr>
              <w:spacing w:after="0"/>
              <w:rPr>
                <w:sz w:val="18"/>
                <w:szCs w:val="18"/>
                <w:color w:val="auto"/>
              </w:rPr>
            </w:pPr>
          </w:p>
        </w:tc>
        <w:tc>
          <w:tcPr>
            <w:tcW w:w="300" w:type="dxa"/>
            <w:vAlign w:val="bottom"/>
            <w:shd w:val="clear" w:color="auto" w:fill="D4F1F5"/>
          </w:tcPr>
          <w:p>
            <w:pPr>
              <w:spacing w:after="0"/>
              <w:rPr>
                <w:sz w:val="18"/>
                <w:szCs w:val="18"/>
                <w:color w:val="auto"/>
              </w:rPr>
            </w:pPr>
          </w:p>
        </w:tc>
        <w:tc>
          <w:tcPr>
            <w:tcW w:w="1180" w:type="dxa"/>
            <w:vAlign w:val="bottom"/>
            <w:shd w:val="clear" w:color="auto" w:fill="D4F1F5"/>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020" w:type="dxa"/>
            <w:vAlign w:val="bottom"/>
          </w:tcPr>
          <w:p>
            <w:pPr>
              <w:ind w:left="20"/>
              <w:spacing w:after="0"/>
              <w:rPr>
                <w:sz w:val="20"/>
                <w:szCs w:val="20"/>
                <w:color w:val="auto"/>
              </w:rPr>
            </w:pPr>
            <w:r>
              <w:rPr>
                <w:rFonts w:ascii="Arial" w:cs="Arial" w:eastAsia="Arial" w:hAnsi="Arial"/>
                <w:sz w:val="16"/>
                <w:szCs w:val="16"/>
                <w:color w:val="auto"/>
              </w:rPr>
              <w:t>Operation and maintenance</w:t>
            </w:r>
          </w:p>
        </w:tc>
        <w:tc>
          <w:tcPr>
            <w:tcW w:w="1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(1,016)</w:t>
            </w:r>
          </w:p>
        </w:tc>
        <w:tc>
          <w:tcPr>
            <w:tcW w:w="1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(221)</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5020" w:type="dxa"/>
            <w:vAlign w:val="bottom"/>
            <w:shd w:val="clear" w:color="auto" w:fill="D4F1F5"/>
          </w:tcPr>
          <w:p>
            <w:pPr>
              <w:ind w:left="20"/>
              <w:spacing w:after="0"/>
              <w:rPr>
                <w:sz w:val="20"/>
                <w:szCs w:val="20"/>
                <w:color w:val="auto"/>
              </w:rPr>
            </w:pPr>
            <w:r>
              <w:rPr>
                <w:rFonts w:ascii="Arial" w:cs="Arial" w:eastAsia="Arial" w:hAnsi="Arial"/>
                <w:sz w:val="16"/>
                <w:szCs w:val="16"/>
                <w:color w:val="auto"/>
              </w:rPr>
              <w:t>Depreciation and amortization</w:t>
            </w:r>
          </w:p>
        </w:tc>
        <w:tc>
          <w:tcPr>
            <w:tcW w:w="140" w:type="dxa"/>
            <w:vAlign w:val="bottom"/>
            <w:shd w:val="clear" w:color="auto" w:fill="D4F1F5"/>
          </w:tcPr>
          <w:p>
            <w:pPr>
              <w:spacing w:after="0"/>
              <w:rPr>
                <w:sz w:val="18"/>
                <w:szCs w:val="18"/>
                <w:color w:val="auto"/>
              </w:rPr>
            </w:pPr>
          </w:p>
        </w:tc>
        <w:tc>
          <w:tcPr>
            <w:tcW w:w="1380" w:type="dxa"/>
            <w:vAlign w:val="bottom"/>
            <w:shd w:val="clear" w:color="auto" w:fill="D4F1F5"/>
          </w:tcPr>
          <w:p>
            <w:pPr>
              <w:jc w:val="right"/>
              <w:spacing w:after="0"/>
              <w:rPr>
                <w:sz w:val="20"/>
                <w:szCs w:val="20"/>
                <w:color w:val="auto"/>
              </w:rPr>
            </w:pPr>
            <w:r>
              <w:rPr>
                <w:rFonts w:ascii="Arial" w:cs="Arial" w:eastAsia="Arial" w:hAnsi="Arial"/>
                <w:sz w:val="16"/>
                <w:szCs w:val="16"/>
                <w:color w:val="auto"/>
              </w:rPr>
              <w:t>(617)</w:t>
            </w:r>
          </w:p>
        </w:tc>
        <w:tc>
          <w:tcPr>
            <w:tcW w:w="1140" w:type="dxa"/>
            <w:vAlign w:val="bottom"/>
            <w:shd w:val="clear" w:color="auto" w:fill="D4F1F5"/>
          </w:tcPr>
          <w:p>
            <w:pPr>
              <w:spacing w:after="0"/>
              <w:rPr>
                <w:sz w:val="18"/>
                <w:szCs w:val="18"/>
                <w:color w:val="auto"/>
              </w:rPr>
            </w:pPr>
          </w:p>
        </w:tc>
        <w:tc>
          <w:tcPr>
            <w:tcW w:w="440" w:type="dxa"/>
            <w:vAlign w:val="bottom"/>
            <w:shd w:val="clear" w:color="auto" w:fill="D4F1F5"/>
          </w:tcPr>
          <w:p>
            <w:pPr>
              <w:spacing w:after="0"/>
              <w:rPr>
                <w:sz w:val="18"/>
                <w:szCs w:val="18"/>
                <w:color w:val="auto"/>
              </w:rPr>
            </w:pPr>
          </w:p>
        </w:tc>
        <w:tc>
          <w:tcPr>
            <w:tcW w:w="640" w:type="dxa"/>
            <w:vAlign w:val="bottom"/>
            <w:shd w:val="clear" w:color="auto" w:fill="D4F1F5"/>
          </w:tcPr>
          <w:p>
            <w:pPr>
              <w:spacing w:after="0"/>
              <w:rPr>
                <w:sz w:val="18"/>
                <w:szCs w:val="18"/>
                <w:color w:val="auto"/>
              </w:rPr>
            </w:pPr>
          </w:p>
        </w:tc>
        <w:tc>
          <w:tcPr>
            <w:tcW w:w="900" w:type="dxa"/>
            <w:vAlign w:val="bottom"/>
            <w:shd w:val="clear" w:color="auto" w:fill="D4F1F5"/>
          </w:tcPr>
          <w:p>
            <w:pPr>
              <w:jc w:val="right"/>
              <w:spacing w:after="0"/>
              <w:rPr>
                <w:sz w:val="20"/>
                <w:szCs w:val="20"/>
                <w:color w:val="auto"/>
              </w:rPr>
            </w:pPr>
            <w:r>
              <w:rPr>
                <w:rFonts w:ascii="Arial" w:cs="Arial" w:eastAsia="Arial" w:hAnsi="Arial"/>
                <w:sz w:val="16"/>
                <w:szCs w:val="16"/>
                <w:color w:val="auto"/>
              </w:rPr>
              <w:t>(3)</w:t>
            </w:r>
          </w:p>
        </w:tc>
        <w:tc>
          <w:tcPr>
            <w:tcW w:w="100" w:type="dxa"/>
            <w:vAlign w:val="bottom"/>
            <w:shd w:val="clear" w:color="auto" w:fill="D4F1F5"/>
          </w:tcPr>
          <w:p>
            <w:pPr>
              <w:spacing w:after="0"/>
              <w:rPr>
                <w:sz w:val="18"/>
                <w:szCs w:val="18"/>
                <w:color w:val="auto"/>
              </w:rPr>
            </w:pPr>
          </w:p>
        </w:tc>
        <w:tc>
          <w:tcPr>
            <w:tcW w:w="300" w:type="dxa"/>
            <w:vAlign w:val="bottom"/>
            <w:shd w:val="clear" w:color="auto" w:fill="D4F1F5"/>
          </w:tcPr>
          <w:p>
            <w:pPr>
              <w:spacing w:after="0"/>
              <w:rPr>
                <w:sz w:val="18"/>
                <w:szCs w:val="18"/>
                <w:color w:val="auto"/>
              </w:rPr>
            </w:pPr>
          </w:p>
        </w:tc>
        <w:tc>
          <w:tcPr>
            <w:tcW w:w="1180" w:type="dxa"/>
            <w:vAlign w:val="bottom"/>
            <w:shd w:val="clear" w:color="auto" w:fill="D4F1F5"/>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020" w:type="dxa"/>
            <w:vAlign w:val="bottom"/>
          </w:tcPr>
          <w:p>
            <w:pPr>
              <w:ind w:left="20"/>
              <w:spacing w:after="0"/>
              <w:rPr>
                <w:sz w:val="20"/>
                <w:szCs w:val="20"/>
                <w:color w:val="auto"/>
              </w:rPr>
            </w:pPr>
            <w:r>
              <w:rPr>
                <w:rFonts w:ascii="Arial" w:cs="Arial" w:eastAsia="Arial" w:hAnsi="Arial"/>
                <w:sz w:val="16"/>
                <w:szCs w:val="16"/>
                <w:color w:val="auto"/>
              </w:rPr>
              <w:t>Interest income</w:t>
            </w:r>
          </w:p>
        </w:tc>
        <w:tc>
          <w:tcPr>
            <w:tcW w:w="140" w:type="dxa"/>
            <w:vAlign w:val="bottom"/>
          </w:tcPr>
          <w:p>
            <w:pPr>
              <w:spacing w:after="0"/>
              <w:rPr>
                <w:sz w:val="18"/>
                <w:szCs w:val="18"/>
                <w:color w:val="auto"/>
              </w:rPr>
            </w:pPr>
          </w:p>
        </w:tc>
        <w:tc>
          <w:tcPr>
            <w:tcW w:w="1380" w:type="dxa"/>
            <w:vAlign w:val="bottom"/>
          </w:tcPr>
          <w:p>
            <w:pPr>
              <w:jc w:val="right"/>
              <w:ind w:right="40"/>
              <w:spacing w:after="0"/>
              <w:rPr>
                <w:sz w:val="20"/>
                <w:szCs w:val="20"/>
                <w:color w:val="auto"/>
              </w:rPr>
            </w:pPr>
            <w:r>
              <w:rPr>
                <w:rFonts w:ascii="Arial" w:cs="Arial" w:eastAsia="Arial" w:hAnsi="Arial"/>
                <w:sz w:val="16"/>
                <w:szCs w:val="16"/>
                <w:color w:val="auto"/>
              </w:rPr>
              <w:t>2</w:t>
            </w:r>
          </w:p>
        </w:tc>
        <w:tc>
          <w:tcPr>
            <w:tcW w:w="1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33</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5020" w:type="dxa"/>
            <w:vAlign w:val="bottom"/>
            <w:shd w:val="clear" w:color="auto" w:fill="D4F1F5"/>
          </w:tcPr>
          <w:p>
            <w:pPr>
              <w:ind w:left="20"/>
              <w:spacing w:after="0" w:line="217" w:lineRule="exact"/>
              <w:rPr>
                <w:sz w:val="20"/>
                <w:szCs w:val="20"/>
                <w:color w:val="auto"/>
              </w:rPr>
            </w:pPr>
            <w:r>
              <w:rPr>
                <w:rFonts w:ascii="Arial" w:cs="Arial" w:eastAsia="Arial" w:hAnsi="Arial"/>
                <w:sz w:val="16"/>
                <w:szCs w:val="16"/>
                <w:color w:val="auto"/>
              </w:rPr>
              <w:t>Interest expense</w:t>
            </w:r>
            <w:r>
              <w:rPr>
                <w:rFonts w:ascii="Arial" w:cs="Arial" w:eastAsia="Arial" w:hAnsi="Arial"/>
                <w:sz w:val="21"/>
                <w:szCs w:val="21"/>
                <w:color w:val="auto"/>
                <w:vertAlign w:val="superscript"/>
              </w:rPr>
              <w:t>(2)</w:t>
            </w:r>
          </w:p>
        </w:tc>
        <w:tc>
          <w:tcPr>
            <w:tcW w:w="140" w:type="dxa"/>
            <w:vAlign w:val="bottom"/>
            <w:shd w:val="clear" w:color="auto" w:fill="D4F1F5"/>
          </w:tcPr>
          <w:p>
            <w:pPr>
              <w:spacing w:after="0"/>
              <w:rPr>
                <w:sz w:val="18"/>
                <w:szCs w:val="18"/>
                <w:color w:val="auto"/>
              </w:rPr>
            </w:pPr>
          </w:p>
        </w:tc>
        <w:tc>
          <w:tcPr>
            <w:tcW w:w="1380" w:type="dxa"/>
            <w:vAlign w:val="bottom"/>
            <w:shd w:val="clear" w:color="auto" w:fill="D4F1F5"/>
          </w:tcPr>
          <w:p>
            <w:pPr>
              <w:jc w:val="right"/>
              <w:spacing w:after="0"/>
              <w:rPr>
                <w:sz w:val="20"/>
                <w:szCs w:val="20"/>
                <w:color w:val="auto"/>
              </w:rPr>
            </w:pPr>
            <w:r>
              <w:rPr>
                <w:rFonts w:ascii="Arial" w:cs="Arial" w:eastAsia="Arial" w:hAnsi="Arial"/>
                <w:sz w:val="16"/>
                <w:szCs w:val="16"/>
                <w:color w:val="auto"/>
              </w:rPr>
              <w:t>(244)</w:t>
            </w:r>
          </w:p>
        </w:tc>
        <w:tc>
          <w:tcPr>
            <w:tcW w:w="1140" w:type="dxa"/>
            <w:vAlign w:val="bottom"/>
            <w:shd w:val="clear" w:color="auto" w:fill="D4F1F5"/>
          </w:tcPr>
          <w:p>
            <w:pPr>
              <w:spacing w:after="0"/>
              <w:rPr>
                <w:sz w:val="18"/>
                <w:szCs w:val="18"/>
                <w:color w:val="auto"/>
              </w:rPr>
            </w:pPr>
          </w:p>
        </w:tc>
        <w:tc>
          <w:tcPr>
            <w:tcW w:w="440" w:type="dxa"/>
            <w:vAlign w:val="bottom"/>
            <w:shd w:val="clear" w:color="auto" w:fill="D4F1F5"/>
          </w:tcPr>
          <w:p>
            <w:pPr>
              <w:spacing w:after="0"/>
              <w:rPr>
                <w:sz w:val="18"/>
                <w:szCs w:val="18"/>
                <w:color w:val="auto"/>
              </w:rPr>
            </w:pPr>
          </w:p>
        </w:tc>
        <w:tc>
          <w:tcPr>
            <w:tcW w:w="640" w:type="dxa"/>
            <w:vAlign w:val="bottom"/>
            <w:shd w:val="clear" w:color="auto" w:fill="D4F1F5"/>
          </w:tcPr>
          <w:p>
            <w:pPr>
              <w:spacing w:after="0"/>
              <w:rPr>
                <w:sz w:val="18"/>
                <w:szCs w:val="18"/>
                <w:color w:val="auto"/>
              </w:rPr>
            </w:pPr>
          </w:p>
        </w:tc>
        <w:tc>
          <w:tcPr>
            <w:tcW w:w="900" w:type="dxa"/>
            <w:vAlign w:val="bottom"/>
            <w:shd w:val="clear" w:color="auto" w:fill="D4F1F5"/>
          </w:tcPr>
          <w:p>
            <w:pPr>
              <w:jc w:val="right"/>
              <w:spacing w:after="0"/>
              <w:rPr>
                <w:sz w:val="20"/>
                <w:szCs w:val="20"/>
                <w:color w:val="auto"/>
              </w:rPr>
            </w:pPr>
            <w:r>
              <w:rPr>
                <w:rFonts w:ascii="Arial" w:cs="Arial" w:eastAsia="Arial" w:hAnsi="Arial"/>
                <w:sz w:val="16"/>
                <w:szCs w:val="16"/>
                <w:color w:val="auto"/>
              </w:rPr>
              <w:t>10</w:t>
            </w:r>
          </w:p>
        </w:tc>
        <w:tc>
          <w:tcPr>
            <w:tcW w:w="100" w:type="dxa"/>
            <w:vAlign w:val="bottom"/>
            <w:shd w:val="clear" w:color="auto" w:fill="D4F1F5"/>
          </w:tcPr>
          <w:p>
            <w:pPr>
              <w:spacing w:after="0"/>
              <w:rPr>
                <w:sz w:val="18"/>
                <w:szCs w:val="18"/>
                <w:color w:val="auto"/>
              </w:rPr>
            </w:pPr>
          </w:p>
        </w:tc>
        <w:tc>
          <w:tcPr>
            <w:tcW w:w="300" w:type="dxa"/>
            <w:vAlign w:val="bottom"/>
            <w:shd w:val="clear" w:color="auto" w:fill="D4F1F5"/>
          </w:tcPr>
          <w:p>
            <w:pPr>
              <w:spacing w:after="0"/>
              <w:rPr>
                <w:sz w:val="18"/>
                <w:szCs w:val="18"/>
                <w:color w:val="auto"/>
              </w:rPr>
            </w:pPr>
          </w:p>
        </w:tc>
        <w:tc>
          <w:tcPr>
            <w:tcW w:w="1180" w:type="dxa"/>
            <w:vAlign w:val="bottom"/>
            <w:shd w:val="clear" w:color="auto" w:fill="D4F1F5"/>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020" w:type="dxa"/>
            <w:vAlign w:val="bottom"/>
          </w:tcPr>
          <w:p>
            <w:pPr>
              <w:ind w:left="20"/>
              <w:spacing w:after="0"/>
              <w:rPr>
                <w:sz w:val="20"/>
                <w:szCs w:val="20"/>
                <w:color w:val="auto"/>
              </w:rPr>
            </w:pPr>
            <w:r>
              <w:rPr>
                <w:rFonts w:ascii="Arial" w:cs="Arial" w:eastAsia="Arial" w:hAnsi="Arial"/>
                <w:sz w:val="16"/>
                <w:szCs w:val="16"/>
                <w:color w:val="auto"/>
              </w:rPr>
              <w:t>Income tax expense</w:t>
            </w:r>
          </w:p>
        </w:tc>
        <w:tc>
          <w:tcPr>
            <w:tcW w:w="1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(89)</w:t>
            </w:r>
          </w:p>
        </w:tc>
        <w:tc>
          <w:tcPr>
            <w:tcW w:w="1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(14)</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5020" w:type="dxa"/>
            <w:vAlign w:val="bottom"/>
            <w:shd w:val="clear" w:color="auto" w:fill="D4F1F5"/>
          </w:tcPr>
          <w:p>
            <w:pPr>
              <w:ind w:left="20"/>
              <w:spacing w:after="0"/>
              <w:rPr>
                <w:sz w:val="20"/>
                <w:szCs w:val="20"/>
                <w:color w:val="auto"/>
              </w:rPr>
            </w:pPr>
            <w:r>
              <w:rPr>
                <w:rFonts w:ascii="Arial" w:cs="Arial" w:eastAsia="Arial" w:hAnsi="Arial"/>
                <w:sz w:val="16"/>
                <w:szCs w:val="16"/>
                <w:color w:val="auto"/>
              </w:rPr>
              <w:t>Equity earnings</w:t>
            </w:r>
          </w:p>
        </w:tc>
        <w:tc>
          <w:tcPr>
            <w:tcW w:w="140" w:type="dxa"/>
            <w:vAlign w:val="bottom"/>
            <w:shd w:val="clear" w:color="auto" w:fill="D4F1F5"/>
          </w:tcPr>
          <w:p>
            <w:pPr>
              <w:spacing w:after="0"/>
              <w:rPr>
                <w:sz w:val="18"/>
                <w:szCs w:val="18"/>
                <w:color w:val="auto"/>
              </w:rPr>
            </w:pPr>
          </w:p>
        </w:tc>
        <w:tc>
          <w:tcPr>
            <w:tcW w:w="1380" w:type="dxa"/>
            <w:vAlign w:val="bottom"/>
            <w:shd w:val="clear" w:color="auto" w:fill="D4F1F5"/>
          </w:tcPr>
          <w:p>
            <w:pPr>
              <w:spacing w:after="0"/>
              <w:rPr>
                <w:sz w:val="18"/>
                <w:szCs w:val="18"/>
                <w:color w:val="auto"/>
              </w:rPr>
            </w:pPr>
          </w:p>
        </w:tc>
        <w:tc>
          <w:tcPr>
            <w:tcW w:w="1140" w:type="dxa"/>
            <w:vAlign w:val="bottom"/>
            <w:shd w:val="clear" w:color="auto" w:fill="D4F1F5"/>
          </w:tcPr>
          <w:p>
            <w:pPr>
              <w:jc w:val="right"/>
              <w:ind w:right="904"/>
              <w:spacing w:after="0"/>
              <w:rPr>
                <w:sz w:val="20"/>
                <w:szCs w:val="20"/>
                <w:color w:val="auto"/>
              </w:rPr>
            </w:pPr>
            <w:r>
              <w:rPr>
                <w:rFonts w:ascii="Arial" w:cs="Arial" w:eastAsia="Arial" w:hAnsi="Arial"/>
                <w:sz w:val="16"/>
                <w:szCs w:val="16"/>
                <w:color w:val="auto"/>
              </w:rPr>
              <w:t>$</w:t>
            </w:r>
          </w:p>
        </w:tc>
        <w:tc>
          <w:tcPr>
            <w:tcW w:w="440" w:type="dxa"/>
            <w:vAlign w:val="bottom"/>
            <w:shd w:val="clear" w:color="auto" w:fill="D4F1F5"/>
          </w:tcPr>
          <w:p>
            <w:pPr>
              <w:jc w:val="right"/>
              <w:ind w:right="39"/>
              <w:spacing w:after="0"/>
              <w:rPr>
                <w:sz w:val="20"/>
                <w:szCs w:val="20"/>
                <w:color w:val="auto"/>
              </w:rPr>
            </w:pPr>
            <w:r>
              <w:rPr>
                <w:rFonts w:ascii="Arial" w:cs="Arial" w:eastAsia="Arial" w:hAnsi="Arial"/>
                <w:sz w:val="16"/>
                <w:szCs w:val="16"/>
                <w:color w:val="auto"/>
              </w:rPr>
              <w:t>173</w:t>
            </w:r>
          </w:p>
        </w:tc>
        <w:tc>
          <w:tcPr>
            <w:tcW w:w="640" w:type="dxa"/>
            <w:vAlign w:val="bottom"/>
            <w:shd w:val="clear" w:color="auto" w:fill="D4F1F5"/>
          </w:tcPr>
          <w:p>
            <w:pPr>
              <w:spacing w:after="0"/>
              <w:rPr>
                <w:sz w:val="18"/>
                <w:szCs w:val="18"/>
                <w:color w:val="auto"/>
              </w:rPr>
            </w:pPr>
          </w:p>
        </w:tc>
        <w:tc>
          <w:tcPr>
            <w:tcW w:w="900" w:type="dxa"/>
            <w:vAlign w:val="bottom"/>
            <w:shd w:val="clear" w:color="auto" w:fill="D4F1F5"/>
          </w:tcPr>
          <w:p>
            <w:pPr>
              <w:jc w:val="right"/>
              <w:spacing w:after="0"/>
              <w:rPr>
                <w:sz w:val="20"/>
                <w:szCs w:val="20"/>
                <w:color w:val="auto"/>
              </w:rPr>
            </w:pPr>
            <w:r>
              <w:rPr>
                <w:rFonts w:ascii="Arial" w:cs="Arial" w:eastAsia="Arial" w:hAnsi="Arial"/>
                <w:sz w:val="16"/>
                <w:szCs w:val="16"/>
                <w:color w:val="auto"/>
              </w:rPr>
              <w:t>194</w:t>
            </w:r>
          </w:p>
        </w:tc>
        <w:tc>
          <w:tcPr>
            <w:tcW w:w="100" w:type="dxa"/>
            <w:vAlign w:val="bottom"/>
            <w:shd w:val="clear" w:color="auto" w:fill="D4F1F5"/>
          </w:tcPr>
          <w:p>
            <w:pPr>
              <w:spacing w:after="0"/>
              <w:rPr>
                <w:sz w:val="18"/>
                <w:szCs w:val="18"/>
                <w:color w:val="auto"/>
              </w:rPr>
            </w:pPr>
          </w:p>
        </w:tc>
        <w:tc>
          <w:tcPr>
            <w:tcW w:w="300" w:type="dxa"/>
            <w:vAlign w:val="bottom"/>
            <w:shd w:val="clear" w:color="auto" w:fill="D4F1F5"/>
          </w:tcPr>
          <w:p>
            <w:pPr>
              <w:spacing w:after="0"/>
              <w:rPr>
                <w:sz w:val="18"/>
                <w:szCs w:val="18"/>
                <w:color w:val="auto"/>
              </w:rPr>
            </w:pPr>
          </w:p>
        </w:tc>
        <w:tc>
          <w:tcPr>
            <w:tcW w:w="1180" w:type="dxa"/>
            <w:vAlign w:val="bottom"/>
            <w:shd w:val="clear" w:color="auto" w:fill="D4F1F5"/>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020" w:type="dxa"/>
            <w:vAlign w:val="bottom"/>
          </w:tcPr>
          <w:p>
            <w:pPr>
              <w:ind w:left="20"/>
              <w:spacing w:after="0"/>
              <w:rPr>
                <w:sz w:val="20"/>
                <w:szCs w:val="20"/>
                <w:color w:val="auto"/>
              </w:rPr>
            </w:pPr>
            <w:r>
              <w:rPr>
                <w:rFonts w:ascii="Arial" w:cs="Arial" w:eastAsia="Arial" w:hAnsi="Arial"/>
                <w:sz w:val="16"/>
                <w:szCs w:val="16"/>
                <w:color w:val="auto"/>
              </w:rPr>
              <w:t>Earnings attributable to noncontrolling interests</w:t>
            </w:r>
          </w:p>
        </w:tc>
        <w:tc>
          <w:tcPr>
            <w:tcW w:w="1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(107)</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3"/>
        </w:trPr>
        <w:tc>
          <w:tcPr>
            <w:tcW w:w="5020" w:type="dxa"/>
            <w:vAlign w:val="bottom"/>
            <w:shd w:val="clear" w:color="auto" w:fill="D4F1F5"/>
          </w:tcPr>
          <w:p>
            <w:pPr>
              <w:ind w:left="20"/>
              <w:spacing w:after="0" w:line="163" w:lineRule="exact"/>
              <w:rPr>
                <w:sz w:val="20"/>
                <w:szCs w:val="20"/>
                <w:color w:val="auto"/>
              </w:rPr>
            </w:pPr>
            <w:r>
              <w:rPr>
                <w:rFonts w:ascii="Arial" w:cs="Arial" w:eastAsia="Arial" w:hAnsi="Arial"/>
                <w:sz w:val="16"/>
                <w:szCs w:val="16"/>
                <w:color w:val="auto"/>
              </w:rPr>
              <w:t>Earnings attributable to contingently redeemable noncontrolling</w:t>
            </w:r>
          </w:p>
        </w:tc>
        <w:tc>
          <w:tcPr>
            <w:tcW w:w="140" w:type="dxa"/>
            <w:vAlign w:val="bottom"/>
            <w:shd w:val="clear" w:color="auto" w:fill="D4F1F5"/>
          </w:tcPr>
          <w:p>
            <w:pPr>
              <w:spacing w:after="0"/>
              <w:rPr>
                <w:sz w:val="14"/>
                <w:szCs w:val="14"/>
                <w:color w:val="auto"/>
              </w:rPr>
            </w:pPr>
          </w:p>
        </w:tc>
        <w:tc>
          <w:tcPr>
            <w:tcW w:w="1380" w:type="dxa"/>
            <w:vAlign w:val="bottom"/>
            <w:shd w:val="clear" w:color="auto" w:fill="D4F1F5"/>
          </w:tcPr>
          <w:p>
            <w:pPr>
              <w:spacing w:after="0"/>
              <w:rPr>
                <w:sz w:val="14"/>
                <w:szCs w:val="14"/>
                <w:color w:val="auto"/>
              </w:rPr>
            </w:pPr>
          </w:p>
        </w:tc>
        <w:tc>
          <w:tcPr>
            <w:tcW w:w="1140" w:type="dxa"/>
            <w:vAlign w:val="bottom"/>
            <w:shd w:val="clear" w:color="auto" w:fill="D4F1F5"/>
          </w:tcPr>
          <w:p>
            <w:pPr>
              <w:spacing w:after="0"/>
              <w:rPr>
                <w:sz w:val="14"/>
                <w:szCs w:val="14"/>
                <w:color w:val="auto"/>
              </w:rPr>
            </w:pPr>
          </w:p>
        </w:tc>
        <w:tc>
          <w:tcPr>
            <w:tcW w:w="440" w:type="dxa"/>
            <w:vAlign w:val="bottom"/>
            <w:shd w:val="clear" w:color="auto" w:fill="D4F1F5"/>
          </w:tcPr>
          <w:p>
            <w:pPr>
              <w:spacing w:after="0"/>
              <w:rPr>
                <w:sz w:val="14"/>
                <w:szCs w:val="14"/>
                <w:color w:val="auto"/>
              </w:rPr>
            </w:pPr>
          </w:p>
        </w:tc>
        <w:tc>
          <w:tcPr>
            <w:tcW w:w="640" w:type="dxa"/>
            <w:vAlign w:val="bottom"/>
            <w:shd w:val="clear" w:color="auto" w:fill="D4F1F5"/>
          </w:tcPr>
          <w:p>
            <w:pPr>
              <w:spacing w:after="0"/>
              <w:rPr>
                <w:sz w:val="14"/>
                <w:szCs w:val="14"/>
                <w:color w:val="auto"/>
              </w:rPr>
            </w:pPr>
          </w:p>
        </w:tc>
        <w:tc>
          <w:tcPr>
            <w:tcW w:w="900" w:type="dxa"/>
            <w:vAlign w:val="bottom"/>
            <w:vMerge w:val="restart"/>
            <w:shd w:val="clear" w:color="auto" w:fill="D4F1F5"/>
          </w:tcPr>
          <w:p>
            <w:pPr>
              <w:jc w:val="right"/>
              <w:spacing w:after="0"/>
              <w:rPr>
                <w:sz w:val="20"/>
                <w:szCs w:val="20"/>
                <w:color w:val="auto"/>
              </w:rPr>
            </w:pPr>
            <w:r>
              <w:rPr>
                <w:rFonts w:ascii="Arial" w:cs="Arial" w:eastAsia="Arial" w:hAnsi="Arial"/>
                <w:sz w:val="16"/>
                <w:szCs w:val="16"/>
                <w:color w:val="auto"/>
              </w:rPr>
              <w:t>(6)</w:t>
            </w:r>
          </w:p>
        </w:tc>
        <w:tc>
          <w:tcPr>
            <w:tcW w:w="100" w:type="dxa"/>
            <w:vAlign w:val="bottom"/>
            <w:shd w:val="clear" w:color="auto" w:fill="D4F1F5"/>
          </w:tcPr>
          <w:p>
            <w:pPr>
              <w:spacing w:after="0"/>
              <w:rPr>
                <w:sz w:val="14"/>
                <w:szCs w:val="14"/>
                <w:color w:val="auto"/>
              </w:rPr>
            </w:pPr>
          </w:p>
        </w:tc>
        <w:tc>
          <w:tcPr>
            <w:tcW w:w="300" w:type="dxa"/>
            <w:vAlign w:val="bottom"/>
            <w:shd w:val="clear" w:color="auto" w:fill="D4F1F5"/>
          </w:tcPr>
          <w:p>
            <w:pPr>
              <w:spacing w:after="0"/>
              <w:rPr>
                <w:sz w:val="14"/>
                <w:szCs w:val="14"/>
                <w:color w:val="auto"/>
              </w:rPr>
            </w:pPr>
          </w:p>
        </w:tc>
        <w:tc>
          <w:tcPr>
            <w:tcW w:w="1180" w:type="dxa"/>
            <w:vAlign w:val="bottom"/>
            <w:shd w:val="clear" w:color="auto" w:fill="D4F1F5"/>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5020" w:type="dxa"/>
            <w:vAlign w:val="bottom"/>
            <w:shd w:val="clear" w:color="auto" w:fill="D4F1F5"/>
          </w:tcPr>
          <w:p>
            <w:pPr>
              <w:ind w:left="180"/>
              <w:spacing w:after="0"/>
              <w:rPr>
                <w:sz w:val="20"/>
                <w:szCs w:val="20"/>
                <w:color w:val="auto"/>
              </w:rPr>
            </w:pPr>
            <w:r>
              <w:rPr>
                <w:rFonts w:ascii="Arial" w:cs="Arial" w:eastAsia="Arial" w:hAnsi="Arial"/>
                <w:sz w:val="16"/>
                <w:szCs w:val="16"/>
                <w:color w:val="auto"/>
              </w:rPr>
              <w:t>interest</w:t>
            </w:r>
          </w:p>
        </w:tc>
        <w:tc>
          <w:tcPr>
            <w:tcW w:w="140" w:type="dxa"/>
            <w:vAlign w:val="bottom"/>
            <w:shd w:val="clear" w:color="auto" w:fill="D4F1F5"/>
          </w:tcPr>
          <w:p>
            <w:pPr>
              <w:spacing w:after="0"/>
              <w:rPr>
                <w:sz w:val="18"/>
                <w:szCs w:val="18"/>
                <w:color w:val="auto"/>
              </w:rPr>
            </w:pPr>
          </w:p>
        </w:tc>
        <w:tc>
          <w:tcPr>
            <w:tcW w:w="1380" w:type="dxa"/>
            <w:vAlign w:val="bottom"/>
            <w:shd w:val="clear" w:color="auto" w:fill="D4F1F5"/>
          </w:tcPr>
          <w:p>
            <w:pPr>
              <w:spacing w:after="0"/>
              <w:rPr>
                <w:sz w:val="18"/>
                <w:szCs w:val="18"/>
                <w:color w:val="auto"/>
              </w:rPr>
            </w:pPr>
          </w:p>
        </w:tc>
        <w:tc>
          <w:tcPr>
            <w:tcW w:w="1140" w:type="dxa"/>
            <w:vAlign w:val="bottom"/>
            <w:shd w:val="clear" w:color="auto" w:fill="D4F1F5"/>
          </w:tcPr>
          <w:p>
            <w:pPr>
              <w:spacing w:after="0"/>
              <w:rPr>
                <w:sz w:val="18"/>
                <w:szCs w:val="18"/>
                <w:color w:val="auto"/>
              </w:rPr>
            </w:pPr>
          </w:p>
        </w:tc>
        <w:tc>
          <w:tcPr>
            <w:tcW w:w="440" w:type="dxa"/>
            <w:vAlign w:val="bottom"/>
            <w:shd w:val="clear" w:color="auto" w:fill="D4F1F5"/>
          </w:tcPr>
          <w:p>
            <w:pPr>
              <w:spacing w:after="0"/>
              <w:rPr>
                <w:sz w:val="18"/>
                <w:szCs w:val="18"/>
                <w:color w:val="auto"/>
              </w:rPr>
            </w:pPr>
          </w:p>
        </w:tc>
        <w:tc>
          <w:tcPr>
            <w:tcW w:w="640" w:type="dxa"/>
            <w:vAlign w:val="bottom"/>
            <w:shd w:val="clear" w:color="auto" w:fill="D4F1F5"/>
          </w:tcPr>
          <w:p>
            <w:pPr>
              <w:spacing w:after="0"/>
              <w:rPr>
                <w:sz w:val="18"/>
                <w:szCs w:val="18"/>
                <w:color w:val="auto"/>
              </w:rPr>
            </w:pPr>
          </w:p>
        </w:tc>
        <w:tc>
          <w:tcPr>
            <w:tcW w:w="900" w:type="dxa"/>
            <w:vAlign w:val="bottom"/>
            <w:vMerge w:val="continue"/>
            <w:shd w:val="clear" w:color="auto" w:fill="D4F1F5"/>
          </w:tcPr>
          <w:p>
            <w:pPr>
              <w:spacing w:after="0"/>
              <w:rPr>
                <w:sz w:val="18"/>
                <w:szCs w:val="18"/>
                <w:color w:val="auto"/>
              </w:rPr>
            </w:pPr>
          </w:p>
        </w:tc>
        <w:tc>
          <w:tcPr>
            <w:tcW w:w="100" w:type="dxa"/>
            <w:vAlign w:val="bottom"/>
            <w:shd w:val="clear" w:color="auto" w:fill="D4F1F5"/>
          </w:tcPr>
          <w:p>
            <w:pPr>
              <w:spacing w:after="0"/>
              <w:rPr>
                <w:sz w:val="18"/>
                <w:szCs w:val="18"/>
                <w:color w:val="auto"/>
              </w:rPr>
            </w:pPr>
          </w:p>
        </w:tc>
        <w:tc>
          <w:tcPr>
            <w:tcW w:w="300" w:type="dxa"/>
            <w:vAlign w:val="bottom"/>
            <w:shd w:val="clear" w:color="auto" w:fill="D4F1F5"/>
          </w:tcPr>
          <w:p>
            <w:pPr>
              <w:spacing w:after="0"/>
              <w:rPr>
                <w:sz w:val="18"/>
                <w:szCs w:val="18"/>
                <w:color w:val="auto"/>
              </w:rPr>
            </w:pPr>
          </w:p>
        </w:tc>
        <w:tc>
          <w:tcPr>
            <w:tcW w:w="1180" w:type="dxa"/>
            <w:vAlign w:val="bottom"/>
            <w:shd w:val="clear" w:color="auto" w:fill="D4F1F5"/>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20" w:type="dxa"/>
            <w:vAlign w:val="bottom"/>
            <w:tcBorders>
              <w:bottom w:val="single" w:sz="8" w:color="D4F1F5"/>
            </w:tcBorders>
          </w:tcPr>
          <w:p>
            <w:pPr>
              <w:ind w:left="20"/>
              <w:spacing w:after="0" w:line="216" w:lineRule="exact"/>
              <w:rPr>
                <w:sz w:val="20"/>
                <w:szCs w:val="20"/>
                <w:color w:val="auto"/>
              </w:rPr>
            </w:pPr>
            <w:r>
              <w:rPr>
                <w:rFonts w:ascii="Arial" w:cs="Arial" w:eastAsia="Arial" w:hAnsi="Arial"/>
                <w:sz w:val="16"/>
                <w:szCs w:val="16"/>
                <w:color w:val="auto"/>
              </w:rPr>
              <w:t>Other segment items</w:t>
            </w:r>
            <w:r>
              <w:rPr>
                <w:rFonts w:ascii="Arial" w:cs="Arial" w:eastAsia="Arial" w:hAnsi="Arial"/>
                <w:sz w:val="21"/>
                <w:szCs w:val="21"/>
                <w:color w:val="auto"/>
                <w:vertAlign w:val="superscript"/>
              </w:rPr>
              <w:t>(3)</w:t>
            </w:r>
          </w:p>
        </w:tc>
        <w:tc>
          <w:tcPr>
            <w:tcW w:w="14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(547)</w:t>
            </w:r>
          </w:p>
        </w:tc>
        <w:tc>
          <w:tcPr>
            <w:tcW w:w="114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w:t>
            </w:r>
          </w:p>
        </w:tc>
        <w:tc>
          <w:tcPr>
            <w:tcW w:w="6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(67)</w:t>
            </w:r>
          </w:p>
        </w:tc>
        <w:tc>
          <w:tcPr>
            <w:tcW w:w="100" w:type="dxa"/>
            <w:vAlign w:val="bottom"/>
            <w:tcBorders>
              <w:bottom w:val="single" w:sz="8" w:color="D4F1F5"/>
            </w:tcBorders>
          </w:tcPr>
          <w:p>
            <w:pPr>
              <w:spacing w:after="0"/>
              <w:rPr>
                <w:sz w:val="18"/>
                <w:szCs w:val="18"/>
                <w:color w:val="auto"/>
              </w:rPr>
            </w:pPr>
          </w:p>
        </w:tc>
        <w:tc>
          <w:tcPr>
            <w:tcW w:w="300" w:type="dxa"/>
            <w:vAlign w:val="bottom"/>
            <w:tcBorders>
              <w:bottom w:val="single" w:sz="8" w:color="D4F1F5"/>
            </w:tcBorders>
          </w:tcPr>
          <w:p>
            <w:pPr>
              <w:spacing w:after="0"/>
              <w:rPr>
                <w:sz w:val="18"/>
                <w:szCs w:val="18"/>
                <w:color w:val="auto"/>
              </w:rPr>
            </w:pPr>
          </w:p>
        </w:tc>
        <w:tc>
          <w:tcPr>
            <w:tcW w:w="1180" w:type="dxa"/>
            <w:vAlign w:val="bottom"/>
            <w:tcBorders>
              <w:bottom w:val="single" w:sz="8" w:color="D4F1F5"/>
            </w:tcBorders>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020" w:type="dxa"/>
            <w:vAlign w:val="bottom"/>
            <w:tcBorders>
              <w:bottom w:val="single" w:sz="8" w:color="D4F1F5"/>
            </w:tcBorders>
            <w:shd w:val="clear" w:color="auto" w:fill="D4F1F5"/>
          </w:tcPr>
          <w:p>
            <w:pPr>
              <w:ind w:left="140"/>
              <w:spacing w:after="0"/>
              <w:rPr>
                <w:sz w:val="20"/>
                <w:szCs w:val="20"/>
                <w:color w:val="auto"/>
              </w:rPr>
            </w:pPr>
            <w:r>
              <w:rPr>
                <w:rFonts w:ascii="Arial" w:cs="Arial" w:eastAsia="Arial" w:hAnsi="Arial"/>
                <w:sz w:val="16"/>
                <w:szCs w:val="16"/>
                <w:color w:val="auto"/>
              </w:rPr>
              <w:t>Segment earnings attributable to common shares</w:t>
            </w:r>
          </w:p>
        </w:tc>
        <w:tc>
          <w:tcPr>
            <w:tcW w:w="140" w:type="dxa"/>
            <w:vAlign w:val="bottom"/>
            <w:tcBorders>
              <w:bottom w:val="single" w:sz="8" w:color="auto"/>
            </w:tcBorders>
            <w:shd w:val="clear" w:color="auto" w:fill="D4F1F5"/>
          </w:tcPr>
          <w:p>
            <w:pPr>
              <w:jc w:val="right"/>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auto"/>
            </w:tcBorders>
            <w:shd w:val="clear" w:color="auto" w:fill="D4F1F5"/>
          </w:tcPr>
          <w:p>
            <w:pPr>
              <w:jc w:val="right"/>
              <w:ind w:right="40"/>
              <w:spacing w:after="0"/>
              <w:rPr>
                <w:sz w:val="20"/>
                <w:szCs w:val="20"/>
                <w:color w:val="auto"/>
              </w:rPr>
            </w:pPr>
            <w:r>
              <w:rPr>
                <w:rFonts w:ascii="Arial" w:cs="Arial" w:eastAsia="Arial" w:hAnsi="Arial"/>
                <w:sz w:val="16"/>
                <w:szCs w:val="16"/>
                <w:color w:val="auto"/>
              </w:rPr>
              <w:t>720</w:t>
            </w:r>
          </w:p>
        </w:tc>
        <w:tc>
          <w:tcPr>
            <w:tcW w:w="1140" w:type="dxa"/>
            <w:vAlign w:val="bottom"/>
            <w:tcBorders>
              <w:bottom w:val="single" w:sz="8" w:color="auto"/>
            </w:tcBorders>
            <w:shd w:val="clear" w:color="auto" w:fill="D4F1F5"/>
          </w:tcPr>
          <w:p>
            <w:pPr>
              <w:jc w:val="right"/>
              <w:ind w:right="904"/>
              <w:spacing w:after="0"/>
              <w:rPr>
                <w:sz w:val="20"/>
                <w:szCs w:val="20"/>
                <w:color w:val="auto"/>
              </w:rPr>
            </w:pPr>
            <w:r>
              <w:rPr>
                <w:rFonts w:ascii="Arial" w:cs="Arial" w:eastAsia="Arial" w:hAnsi="Arial"/>
                <w:sz w:val="16"/>
                <w:szCs w:val="16"/>
                <w:color w:val="auto"/>
              </w:rPr>
              <w:t>$</w:t>
            </w:r>
          </w:p>
        </w:tc>
        <w:tc>
          <w:tcPr>
            <w:tcW w:w="440" w:type="dxa"/>
            <w:vAlign w:val="bottom"/>
            <w:tcBorders>
              <w:bottom w:val="single" w:sz="8" w:color="auto"/>
            </w:tcBorders>
            <w:shd w:val="clear" w:color="auto" w:fill="D4F1F5"/>
          </w:tcPr>
          <w:p>
            <w:pPr>
              <w:jc w:val="right"/>
              <w:ind w:right="39"/>
              <w:spacing w:after="0"/>
              <w:rPr>
                <w:sz w:val="20"/>
                <w:szCs w:val="20"/>
                <w:color w:val="auto"/>
              </w:rPr>
            </w:pPr>
            <w:r>
              <w:rPr>
                <w:rFonts w:ascii="Arial" w:cs="Arial" w:eastAsia="Arial" w:hAnsi="Arial"/>
                <w:sz w:val="16"/>
                <w:szCs w:val="16"/>
                <w:color w:val="auto"/>
              </w:rPr>
              <w:t>171</w:t>
            </w:r>
          </w:p>
        </w:tc>
        <w:tc>
          <w:tcPr>
            <w:tcW w:w="640" w:type="dxa"/>
            <w:vAlign w:val="bottom"/>
            <w:tcBorders>
              <w:bottom w:val="single" w:sz="8" w:color="auto"/>
            </w:tcBorders>
            <w:shd w:val="clear" w:color="auto" w:fill="D4F1F5"/>
          </w:tcPr>
          <w:p>
            <w:pPr>
              <w:jc w:val="right"/>
              <w:ind w:right="401"/>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shd w:val="clear" w:color="auto" w:fill="D4F1F5"/>
          </w:tcPr>
          <w:p>
            <w:pPr>
              <w:jc w:val="right"/>
              <w:spacing w:after="0"/>
              <w:rPr>
                <w:sz w:val="20"/>
                <w:szCs w:val="20"/>
                <w:color w:val="auto"/>
              </w:rPr>
            </w:pPr>
            <w:r>
              <w:rPr>
                <w:rFonts w:ascii="Arial" w:cs="Arial" w:eastAsia="Arial" w:hAnsi="Arial"/>
                <w:sz w:val="16"/>
                <w:szCs w:val="16"/>
                <w:color w:val="auto"/>
              </w:rPr>
              <w:t>262</w:t>
            </w:r>
          </w:p>
        </w:tc>
        <w:tc>
          <w:tcPr>
            <w:tcW w:w="100" w:type="dxa"/>
            <w:vAlign w:val="bottom"/>
            <w:tcBorders>
              <w:bottom w:val="single" w:sz="8" w:color="D4F1F5"/>
            </w:tcBorders>
            <w:shd w:val="clear" w:color="auto" w:fill="D4F1F5"/>
          </w:tcPr>
          <w:p>
            <w:pPr>
              <w:spacing w:after="0"/>
              <w:rPr>
                <w:sz w:val="19"/>
                <w:szCs w:val="19"/>
                <w:color w:val="auto"/>
              </w:rPr>
            </w:pPr>
          </w:p>
        </w:tc>
        <w:tc>
          <w:tcPr>
            <w:tcW w:w="300" w:type="dxa"/>
            <w:vAlign w:val="bottom"/>
            <w:tcBorders>
              <w:bottom w:val="single" w:sz="8" w:color="D4F1F5"/>
            </w:tcBorders>
            <w:shd w:val="clear" w:color="auto" w:fill="D4F1F5"/>
          </w:tcPr>
          <w:p>
            <w:pPr>
              <w:jc w:val="right"/>
              <w:ind w:right="99"/>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D4F1F5"/>
            </w:tcBorders>
            <w:shd w:val="clear" w:color="auto" w:fill="D4F1F5"/>
          </w:tcPr>
          <w:p>
            <w:pPr>
              <w:jc w:val="right"/>
              <w:spacing w:after="0"/>
              <w:rPr>
                <w:sz w:val="20"/>
                <w:szCs w:val="20"/>
                <w:color w:val="auto"/>
              </w:rPr>
            </w:pPr>
            <w:r>
              <w:rPr>
                <w:rFonts w:ascii="Arial" w:cs="Arial" w:eastAsia="Arial" w:hAnsi="Arial"/>
                <w:sz w:val="16"/>
                <w:szCs w:val="16"/>
                <w:color w:val="auto"/>
              </w:rPr>
              <w:t>1,153</w:t>
            </w:r>
          </w:p>
        </w:tc>
        <w:tc>
          <w:tcPr>
            <w:tcW w:w="0" w:type="dxa"/>
            <w:vAlign w:val="bottom"/>
          </w:tcPr>
          <w:p>
            <w:pPr>
              <w:spacing w:after="0"/>
              <w:rPr>
                <w:sz w:val="1"/>
                <w:szCs w:val="1"/>
                <w:color w:val="auto"/>
              </w:rPr>
            </w:pPr>
          </w:p>
        </w:tc>
      </w:tr>
      <w:tr>
        <w:trPr>
          <w:trHeight w:val="189"/>
        </w:trPr>
        <w:tc>
          <w:tcPr>
            <w:tcW w:w="5020" w:type="dxa"/>
            <w:vAlign w:val="bottom"/>
            <w:tcBorders>
              <w:bottom w:val="single" w:sz="8" w:color="D4F1F5"/>
            </w:tcBorders>
          </w:tcPr>
          <w:p>
            <w:pPr>
              <w:ind w:left="20"/>
              <w:spacing w:after="0"/>
              <w:rPr>
                <w:sz w:val="20"/>
                <w:szCs w:val="20"/>
                <w:color w:val="auto"/>
              </w:rPr>
            </w:pPr>
            <w:r>
              <w:rPr>
                <w:rFonts w:ascii="Arial" w:cs="Arial" w:eastAsia="Arial" w:hAnsi="Arial"/>
                <w:sz w:val="16"/>
                <w:szCs w:val="16"/>
                <w:color w:val="auto"/>
              </w:rPr>
              <w:t>Parent and other</w:t>
            </w:r>
          </w:p>
        </w:tc>
        <w:tc>
          <w:tcPr>
            <w:tcW w:w="140" w:type="dxa"/>
            <w:vAlign w:val="bottom"/>
            <w:tcBorders>
              <w:bottom w:val="single" w:sz="8" w:color="D4F1F5"/>
            </w:tcBorders>
          </w:tcPr>
          <w:p>
            <w:pPr>
              <w:spacing w:after="0"/>
              <w:rPr>
                <w:sz w:val="16"/>
                <w:szCs w:val="16"/>
                <w:color w:val="auto"/>
              </w:rPr>
            </w:pPr>
          </w:p>
        </w:tc>
        <w:tc>
          <w:tcPr>
            <w:tcW w:w="1380" w:type="dxa"/>
            <w:vAlign w:val="bottom"/>
            <w:tcBorders>
              <w:bottom w:val="single" w:sz="8" w:color="D4F1F5"/>
            </w:tcBorders>
          </w:tcPr>
          <w:p>
            <w:pPr>
              <w:spacing w:after="0"/>
              <w:rPr>
                <w:sz w:val="16"/>
                <w:szCs w:val="16"/>
                <w:color w:val="auto"/>
              </w:rPr>
            </w:pPr>
          </w:p>
        </w:tc>
        <w:tc>
          <w:tcPr>
            <w:tcW w:w="1140" w:type="dxa"/>
            <w:vAlign w:val="bottom"/>
            <w:tcBorders>
              <w:bottom w:val="single" w:sz="8" w:color="D4F1F5"/>
            </w:tcBorders>
          </w:tcPr>
          <w:p>
            <w:pPr>
              <w:spacing w:after="0"/>
              <w:rPr>
                <w:sz w:val="16"/>
                <w:szCs w:val="16"/>
                <w:color w:val="auto"/>
              </w:rPr>
            </w:pPr>
          </w:p>
        </w:tc>
        <w:tc>
          <w:tcPr>
            <w:tcW w:w="440" w:type="dxa"/>
            <w:vAlign w:val="bottom"/>
            <w:tcBorders>
              <w:bottom w:val="single" w:sz="8" w:color="D4F1F5"/>
            </w:tcBorders>
          </w:tcPr>
          <w:p>
            <w:pPr>
              <w:spacing w:after="0"/>
              <w:rPr>
                <w:sz w:val="16"/>
                <w:szCs w:val="16"/>
                <w:color w:val="auto"/>
              </w:rPr>
            </w:pPr>
          </w:p>
        </w:tc>
        <w:tc>
          <w:tcPr>
            <w:tcW w:w="640" w:type="dxa"/>
            <w:vAlign w:val="bottom"/>
            <w:tcBorders>
              <w:bottom w:val="single" w:sz="8" w:color="D4F1F5"/>
            </w:tcBorders>
          </w:tcPr>
          <w:p>
            <w:pPr>
              <w:spacing w:after="0"/>
              <w:rPr>
                <w:sz w:val="16"/>
                <w:szCs w:val="16"/>
                <w:color w:val="auto"/>
              </w:rPr>
            </w:pPr>
          </w:p>
        </w:tc>
        <w:tc>
          <w:tcPr>
            <w:tcW w:w="900" w:type="dxa"/>
            <w:vAlign w:val="bottom"/>
            <w:tcBorders>
              <w:bottom w:val="single" w:sz="8" w:color="D4F1F5"/>
            </w:tcBorders>
          </w:tcPr>
          <w:p>
            <w:pPr>
              <w:spacing w:after="0"/>
              <w:rPr>
                <w:sz w:val="16"/>
                <w:szCs w:val="16"/>
                <w:color w:val="auto"/>
              </w:rPr>
            </w:pPr>
          </w:p>
        </w:tc>
        <w:tc>
          <w:tcPr>
            <w:tcW w:w="100" w:type="dxa"/>
            <w:vAlign w:val="bottom"/>
            <w:tcBorders>
              <w:bottom w:val="single" w:sz="8" w:color="D4F1F5"/>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(116)</w:t>
            </w:r>
          </w:p>
        </w:tc>
        <w:tc>
          <w:tcPr>
            <w:tcW w:w="0" w:type="dxa"/>
            <w:vAlign w:val="bottom"/>
          </w:tcPr>
          <w:p>
            <w:pPr>
              <w:spacing w:after="0"/>
              <w:rPr>
                <w:sz w:val="1"/>
                <w:szCs w:val="1"/>
                <w:color w:val="auto"/>
              </w:rPr>
            </w:pPr>
          </w:p>
        </w:tc>
      </w:tr>
      <w:tr>
        <w:trPr>
          <w:trHeight w:val="217"/>
        </w:trPr>
        <w:tc>
          <w:tcPr>
            <w:tcW w:w="5020" w:type="dxa"/>
            <w:vAlign w:val="bottom"/>
            <w:tcBorders>
              <w:bottom w:val="single" w:sz="8" w:color="auto"/>
            </w:tcBorders>
            <w:shd w:val="clear" w:color="auto" w:fill="D4F1F5"/>
          </w:tcPr>
          <w:p>
            <w:pPr>
              <w:ind w:left="140"/>
              <w:spacing w:after="0"/>
              <w:rPr>
                <w:sz w:val="20"/>
                <w:szCs w:val="20"/>
                <w:color w:val="auto"/>
              </w:rPr>
            </w:pPr>
            <w:r>
              <w:rPr>
                <w:rFonts w:ascii="Arial" w:cs="Arial" w:eastAsia="Arial" w:hAnsi="Arial"/>
                <w:sz w:val="16"/>
                <w:szCs w:val="16"/>
                <w:color w:val="auto"/>
              </w:rPr>
              <w:t>Earnings attributable to common shares</w:t>
            </w:r>
          </w:p>
        </w:tc>
        <w:tc>
          <w:tcPr>
            <w:tcW w:w="140" w:type="dxa"/>
            <w:vAlign w:val="bottom"/>
            <w:tcBorders>
              <w:bottom w:val="single" w:sz="8" w:color="auto"/>
            </w:tcBorders>
            <w:shd w:val="clear" w:color="auto" w:fill="D4F1F5"/>
          </w:tcPr>
          <w:p>
            <w:pPr>
              <w:spacing w:after="0"/>
              <w:rPr>
                <w:sz w:val="18"/>
                <w:szCs w:val="18"/>
                <w:color w:val="auto"/>
              </w:rPr>
            </w:pPr>
          </w:p>
        </w:tc>
        <w:tc>
          <w:tcPr>
            <w:tcW w:w="1380" w:type="dxa"/>
            <w:vAlign w:val="bottom"/>
            <w:tcBorders>
              <w:bottom w:val="single" w:sz="8" w:color="auto"/>
            </w:tcBorders>
            <w:shd w:val="clear" w:color="auto" w:fill="D4F1F5"/>
          </w:tcPr>
          <w:p>
            <w:pPr>
              <w:spacing w:after="0"/>
              <w:rPr>
                <w:sz w:val="18"/>
                <w:szCs w:val="18"/>
                <w:color w:val="auto"/>
              </w:rPr>
            </w:pPr>
          </w:p>
        </w:tc>
        <w:tc>
          <w:tcPr>
            <w:tcW w:w="1140" w:type="dxa"/>
            <w:vAlign w:val="bottom"/>
            <w:tcBorders>
              <w:bottom w:val="single" w:sz="8" w:color="auto"/>
            </w:tcBorders>
            <w:shd w:val="clear" w:color="auto" w:fill="D4F1F5"/>
          </w:tcPr>
          <w:p>
            <w:pPr>
              <w:spacing w:after="0"/>
              <w:rPr>
                <w:sz w:val="18"/>
                <w:szCs w:val="18"/>
                <w:color w:val="auto"/>
              </w:rPr>
            </w:pPr>
          </w:p>
        </w:tc>
        <w:tc>
          <w:tcPr>
            <w:tcW w:w="440" w:type="dxa"/>
            <w:vAlign w:val="bottom"/>
            <w:tcBorders>
              <w:bottom w:val="single" w:sz="8" w:color="auto"/>
            </w:tcBorders>
            <w:shd w:val="clear" w:color="auto" w:fill="D4F1F5"/>
          </w:tcPr>
          <w:p>
            <w:pPr>
              <w:spacing w:after="0"/>
              <w:rPr>
                <w:sz w:val="18"/>
                <w:szCs w:val="18"/>
                <w:color w:val="auto"/>
              </w:rPr>
            </w:pPr>
          </w:p>
        </w:tc>
        <w:tc>
          <w:tcPr>
            <w:tcW w:w="640" w:type="dxa"/>
            <w:vAlign w:val="bottom"/>
            <w:tcBorders>
              <w:bottom w:val="single" w:sz="8" w:color="auto"/>
            </w:tcBorders>
            <w:shd w:val="clear" w:color="auto" w:fill="D4F1F5"/>
          </w:tcPr>
          <w:p>
            <w:pPr>
              <w:spacing w:after="0"/>
              <w:rPr>
                <w:sz w:val="18"/>
                <w:szCs w:val="18"/>
                <w:color w:val="auto"/>
              </w:rPr>
            </w:pPr>
          </w:p>
        </w:tc>
        <w:tc>
          <w:tcPr>
            <w:tcW w:w="900" w:type="dxa"/>
            <w:vAlign w:val="bottom"/>
            <w:tcBorders>
              <w:bottom w:val="single" w:sz="8" w:color="auto"/>
            </w:tcBorders>
            <w:shd w:val="clear" w:color="auto" w:fill="D4F1F5"/>
          </w:tcPr>
          <w:p>
            <w:pPr>
              <w:spacing w:after="0"/>
              <w:rPr>
                <w:sz w:val="18"/>
                <w:szCs w:val="18"/>
                <w:color w:val="auto"/>
              </w:rPr>
            </w:pPr>
          </w:p>
        </w:tc>
        <w:tc>
          <w:tcPr>
            <w:tcW w:w="100" w:type="dxa"/>
            <w:vAlign w:val="bottom"/>
            <w:tcBorders>
              <w:bottom w:val="single" w:sz="8" w:color="auto"/>
            </w:tcBorders>
            <w:shd w:val="clear" w:color="auto" w:fill="D4F1F5"/>
          </w:tcPr>
          <w:p>
            <w:pPr>
              <w:spacing w:after="0"/>
              <w:rPr>
                <w:sz w:val="18"/>
                <w:szCs w:val="18"/>
                <w:color w:val="auto"/>
              </w:rPr>
            </w:pPr>
          </w:p>
        </w:tc>
        <w:tc>
          <w:tcPr>
            <w:tcW w:w="300" w:type="dxa"/>
            <w:vAlign w:val="bottom"/>
            <w:tcBorders>
              <w:bottom w:val="single" w:sz="8" w:color="auto"/>
            </w:tcBorders>
            <w:shd w:val="clear" w:color="auto" w:fill="D4F1F5"/>
          </w:tcPr>
          <w:p>
            <w:pPr>
              <w:jc w:val="right"/>
              <w:ind w:right="99"/>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shd w:val="clear" w:color="auto" w:fill="D4F1F5"/>
          </w:tcPr>
          <w:p>
            <w:pPr>
              <w:jc w:val="right"/>
              <w:spacing w:after="0"/>
              <w:rPr>
                <w:sz w:val="20"/>
                <w:szCs w:val="20"/>
                <w:color w:val="auto"/>
              </w:rPr>
            </w:pPr>
            <w:r>
              <w:rPr>
                <w:rFonts w:ascii="Arial" w:cs="Arial" w:eastAsia="Arial" w:hAnsi="Arial"/>
                <w:sz w:val="16"/>
                <w:szCs w:val="16"/>
                <w:color w:val="auto"/>
              </w:rPr>
              <w:t>1,037</w:t>
            </w:r>
          </w:p>
        </w:tc>
        <w:tc>
          <w:tcPr>
            <w:tcW w:w="0" w:type="dxa"/>
            <w:vAlign w:val="bottom"/>
          </w:tcPr>
          <w:p>
            <w:pPr>
              <w:spacing w:after="0"/>
              <w:rPr>
                <w:sz w:val="1"/>
                <w:szCs w:val="1"/>
                <w:color w:val="auto"/>
              </w:rPr>
            </w:pPr>
          </w:p>
        </w:tc>
      </w:tr>
      <w:tr>
        <w:trPr>
          <w:trHeight w:val="415"/>
        </w:trPr>
        <w:tc>
          <w:tcPr>
            <w:tcW w:w="50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3220" w:type="dxa"/>
            <w:vAlign w:val="bottom"/>
            <w:tcBorders>
              <w:bottom w:val="single" w:sz="8" w:color="auto"/>
            </w:tcBorders>
            <w:gridSpan w:val="5"/>
          </w:tcPr>
          <w:p>
            <w:pPr>
              <w:ind w:left="400"/>
              <w:spacing w:after="0"/>
              <w:rPr>
                <w:sz w:val="20"/>
                <w:szCs w:val="20"/>
                <w:color w:val="auto"/>
              </w:rPr>
            </w:pPr>
            <w:r>
              <w:rPr>
                <w:rFonts w:ascii="Arial" w:cs="Arial" w:eastAsia="Arial" w:hAnsi="Arial"/>
                <w:sz w:val="14"/>
                <w:szCs w:val="14"/>
                <w:color w:val="auto"/>
              </w:rPr>
              <w:t>Three months ended March 31, 2025</w:t>
            </w:r>
          </w:p>
        </w:tc>
        <w:tc>
          <w:tcPr>
            <w:tcW w:w="30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5020" w:type="dxa"/>
            <w:vAlign w:val="bottom"/>
            <w:shd w:val="clear" w:color="auto" w:fill="D4F1F5"/>
          </w:tcPr>
          <w:p>
            <w:pPr>
              <w:ind w:left="20"/>
              <w:spacing w:after="0"/>
              <w:rPr>
                <w:sz w:val="20"/>
                <w:szCs w:val="20"/>
                <w:color w:val="auto"/>
              </w:rPr>
            </w:pPr>
            <w:r>
              <w:rPr>
                <w:rFonts w:ascii="Arial" w:cs="Arial" w:eastAsia="Arial" w:hAnsi="Arial"/>
                <w:sz w:val="16"/>
                <w:szCs w:val="16"/>
                <w:color w:val="auto"/>
              </w:rPr>
              <w:t>Revenues</w:t>
            </w:r>
          </w:p>
        </w:tc>
        <w:tc>
          <w:tcPr>
            <w:tcW w:w="140" w:type="dxa"/>
            <w:vAlign w:val="bottom"/>
            <w:shd w:val="clear" w:color="auto" w:fill="D4F1F5"/>
          </w:tcPr>
          <w:p>
            <w:pPr>
              <w:jc w:val="right"/>
              <w:spacing w:after="0"/>
              <w:rPr>
                <w:sz w:val="20"/>
                <w:szCs w:val="20"/>
                <w:color w:val="auto"/>
              </w:rPr>
            </w:pPr>
            <w:r>
              <w:rPr>
                <w:rFonts w:ascii="Arial" w:cs="Arial" w:eastAsia="Arial" w:hAnsi="Arial"/>
                <w:sz w:val="16"/>
                <w:szCs w:val="16"/>
                <w:color w:val="auto"/>
                <w:w w:val="89"/>
              </w:rPr>
              <w:t>$</w:t>
            </w:r>
          </w:p>
        </w:tc>
        <w:tc>
          <w:tcPr>
            <w:tcW w:w="1380" w:type="dxa"/>
            <w:vAlign w:val="bottom"/>
            <w:shd w:val="clear" w:color="auto" w:fill="D4F1F5"/>
          </w:tcPr>
          <w:p>
            <w:pPr>
              <w:jc w:val="right"/>
              <w:ind w:right="40"/>
              <w:spacing w:after="0"/>
              <w:rPr>
                <w:sz w:val="20"/>
                <w:szCs w:val="20"/>
                <w:color w:val="auto"/>
              </w:rPr>
            </w:pPr>
            <w:r>
              <w:rPr>
                <w:rFonts w:ascii="Arial" w:cs="Arial" w:eastAsia="Arial" w:hAnsi="Arial"/>
                <w:sz w:val="16"/>
                <w:szCs w:val="16"/>
                <w:color w:val="auto"/>
              </w:rPr>
              <w:t>3,401</w:t>
            </w:r>
          </w:p>
        </w:tc>
        <w:tc>
          <w:tcPr>
            <w:tcW w:w="1140" w:type="dxa"/>
            <w:vAlign w:val="bottom"/>
            <w:shd w:val="clear" w:color="auto" w:fill="D4F1F5"/>
          </w:tcPr>
          <w:p>
            <w:pPr>
              <w:spacing w:after="0"/>
              <w:rPr>
                <w:sz w:val="18"/>
                <w:szCs w:val="18"/>
                <w:color w:val="auto"/>
              </w:rPr>
            </w:pPr>
          </w:p>
        </w:tc>
        <w:tc>
          <w:tcPr>
            <w:tcW w:w="440" w:type="dxa"/>
            <w:vAlign w:val="bottom"/>
            <w:shd w:val="clear" w:color="auto" w:fill="D4F1F5"/>
          </w:tcPr>
          <w:p>
            <w:pPr>
              <w:spacing w:after="0"/>
              <w:rPr>
                <w:sz w:val="18"/>
                <w:szCs w:val="18"/>
                <w:color w:val="auto"/>
              </w:rPr>
            </w:pPr>
          </w:p>
        </w:tc>
        <w:tc>
          <w:tcPr>
            <w:tcW w:w="640" w:type="dxa"/>
            <w:vAlign w:val="bottom"/>
            <w:shd w:val="clear" w:color="auto" w:fill="D4F1F5"/>
          </w:tcPr>
          <w:p>
            <w:pPr>
              <w:jc w:val="right"/>
              <w:ind w:right="401"/>
              <w:spacing w:after="0"/>
              <w:rPr>
                <w:sz w:val="20"/>
                <w:szCs w:val="20"/>
                <w:color w:val="auto"/>
              </w:rPr>
            </w:pPr>
            <w:r>
              <w:rPr>
                <w:rFonts w:ascii="Arial" w:cs="Arial" w:eastAsia="Arial" w:hAnsi="Arial"/>
                <w:sz w:val="16"/>
                <w:szCs w:val="16"/>
                <w:color w:val="auto"/>
              </w:rPr>
              <w:t>$</w:t>
            </w:r>
          </w:p>
        </w:tc>
        <w:tc>
          <w:tcPr>
            <w:tcW w:w="900" w:type="dxa"/>
            <w:vAlign w:val="bottom"/>
            <w:shd w:val="clear" w:color="auto" w:fill="D4F1F5"/>
          </w:tcPr>
          <w:p>
            <w:pPr>
              <w:jc w:val="right"/>
              <w:spacing w:after="0"/>
              <w:rPr>
                <w:sz w:val="20"/>
                <w:szCs w:val="20"/>
                <w:color w:val="auto"/>
              </w:rPr>
            </w:pPr>
            <w:r>
              <w:rPr>
                <w:rFonts w:ascii="Arial" w:cs="Arial" w:eastAsia="Arial" w:hAnsi="Arial"/>
                <w:sz w:val="16"/>
                <w:szCs w:val="16"/>
                <w:color w:val="auto"/>
              </w:rPr>
              <w:t>426</w:t>
            </w:r>
          </w:p>
        </w:tc>
        <w:tc>
          <w:tcPr>
            <w:tcW w:w="100" w:type="dxa"/>
            <w:vAlign w:val="bottom"/>
            <w:shd w:val="clear" w:color="auto" w:fill="D4F1F5"/>
          </w:tcPr>
          <w:p>
            <w:pPr>
              <w:spacing w:after="0"/>
              <w:rPr>
                <w:sz w:val="18"/>
                <w:szCs w:val="18"/>
                <w:color w:val="auto"/>
              </w:rPr>
            </w:pPr>
          </w:p>
        </w:tc>
        <w:tc>
          <w:tcPr>
            <w:tcW w:w="300" w:type="dxa"/>
            <w:vAlign w:val="bottom"/>
            <w:shd w:val="clear" w:color="auto" w:fill="D4F1F5"/>
          </w:tcPr>
          <w:p>
            <w:pPr>
              <w:spacing w:after="0"/>
              <w:rPr>
                <w:sz w:val="18"/>
                <w:szCs w:val="18"/>
                <w:color w:val="auto"/>
              </w:rPr>
            </w:pPr>
          </w:p>
        </w:tc>
        <w:tc>
          <w:tcPr>
            <w:tcW w:w="1180" w:type="dxa"/>
            <w:vAlign w:val="bottom"/>
            <w:shd w:val="clear" w:color="auto" w:fill="D4F1F5"/>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020" w:type="dxa"/>
            <w:vAlign w:val="bottom"/>
          </w:tcPr>
          <w:p>
            <w:pPr>
              <w:ind w:left="20"/>
              <w:spacing w:after="0"/>
              <w:rPr>
                <w:sz w:val="20"/>
                <w:szCs w:val="20"/>
                <w:color w:val="auto"/>
              </w:rPr>
            </w:pPr>
            <w:r>
              <w:rPr>
                <w:rFonts w:ascii="Arial" w:cs="Arial" w:eastAsia="Arial" w:hAnsi="Arial"/>
                <w:sz w:val="16"/>
                <w:szCs w:val="16"/>
                <w:color w:val="auto"/>
              </w:rPr>
              <w:t>Operation and maintenance</w:t>
            </w:r>
          </w:p>
        </w:tc>
        <w:tc>
          <w:tcPr>
            <w:tcW w:w="1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(1,175)</w:t>
            </w:r>
          </w:p>
        </w:tc>
        <w:tc>
          <w:tcPr>
            <w:tcW w:w="1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(174)</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5020" w:type="dxa"/>
            <w:vAlign w:val="bottom"/>
            <w:shd w:val="clear" w:color="auto" w:fill="D4F1F5"/>
          </w:tcPr>
          <w:p>
            <w:pPr>
              <w:ind w:left="20"/>
              <w:spacing w:after="0"/>
              <w:rPr>
                <w:sz w:val="20"/>
                <w:szCs w:val="20"/>
                <w:color w:val="auto"/>
              </w:rPr>
            </w:pPr>
            <w:r>
              <w:rPr>
                <w:rFonts w:ascii="Arial" w:cs="Arial" w:eastAsia="Arial" w:hAnsi="Arial"/>
                <w:sz w:val="16"/>
                <w:szCs w:val="16"/>
                <w:color w:val="auto"/>
              </w:rPr>
              <w:t>Depreciation and amortization</w:t>
            </w:r>
          </w:p>
        </w:tc>
        <w:tc>
          <w:tcPr>
            <w:tcW w:w="140" w:type="dxa"/>
            <w:vAlign w:val="bottom"/>
            <w:shd w:val="clear" w:color="auto" w:fill="D4F1F5"/>
          </w:tcPr>
          <w:p>
            <w:pPr>
              <w:spacing w:after="0"/>
              <w:rPr>
                <w:sz w:val="18"/>
                <w:szCs w:val="18"/>
                <w:color w:val="auto"/>
              </w:rPr>
            </w:pPr>
          </w:p>
        </w:tc>
        <w:tc>
          <w:tcPr>
            <w:tcW w:w="1380" w:type="dxa"/>
            <w:vAlign w:val="bottom"/>
            <w:shd w:val="clear" w:color="auto" w:fill="D4F1F5"/>
          </w:tcPr>
          <w:p>
            <w:pPr>
              <w:jc w:val="right"/>
              <w:spacing w:after="0"/>
              <w:rPr>
                <w:sz w:val="20"/>
                <w:szCs w:val="20"/>
                <w:color w:val="auto"/>
              </w:rPr>
            </w:pPr>
            <w:r>
              <w:rPr>
                <w:rFonts w:ascii="Arial" w:cs="Arial" w:eastAsia="Arial" w:hAnsi="Arial"/>
                <w:sz w:val="16"/>
                <w:szCs w:val="16"/>
                <w:color w:val="auto"/>
              </w:rPr>
              <w:t>(562)</w:t>
            </w:r>
          </w:p>
        </w:tc>
        <w:tc>
          <w:tcPr>
            <w:tcW w:w="1140" w:type="dxa"/>
            <w:vAlign w:val="bottom"/>
            <w:shd w:val="clear" w:color="auto" w:fill="D4F1F5"/>
          </w:tcPr>
          <w:p>
            <w:pPr>
              <w:spacing w:after="0"/>
              <w:rPr>
                <w:sz w:val="18"/>
                <w:szCs w:val="18"/>
                <w:color w:val="auto"/>
              </w:rPr>
            </w:pPr>
          </w:p>
        </w:tc>
        <w:tc>
          <w:tcPr>
            <w:tcW w:w="440" w:type="dxa"/>
            <w:vAlign w:val="bottom"/>
            <w:shd w:val="clear" w:color="auto" w:fill="D4F1F5"/>
          </w:tcPr>
          <w:p>
            <w:pPr>
              <w:spacing w:after="0"/>
              <w:rPr>
                <w:sz w:val="18"/>
                <w:szCs w:val="18"/>
                <w:color w:val="auto"/>
              </w:rPr>
            </w:pPr>
          </w:p>
        </w:tc>
        <w:tc>
          <w:tcPr>
            <w:tcW w:w="640" w:type="dxa"/>
            <w:vAlign w:val="bottom"/>
            <w:shd w:val="clear" w:color="auto" w:fill="D4F1F5"/>
          </w:tcPr>
          <w:p>
            <w:pPr>
              <w:spacing w:after="0"/>
              <w:rPr>
                <w:sz w:val="18"/>
                <w:szCs w:val="18"/>
                <w:color w:val="auto"/>
              </w:rPr>
            </w:pPr>
          </w:p>
        </w:tc>
        <w:tc>
          <w:tcPr>
            <w:tcW w:w="900" w:type="dxa"/>
            <w:vAlign w:val="bottom"/>
            <w:shd w:val="clear" w:color="auto" w:fill="D4F1F5"/>
          </w:tcPr>
          <w:p>
            <w:pPr>
              <w:jc w:val="right"/>
              <w:spacing w:after="0"/>
              <w:rPr>
                <w:sz w:val="20"/>
                <w:szCs w:val="20"/>
                <w:color w:val="auto"/>
              </w:rPr>
            </w:pPr>
            <w:r>
              <w:rPr>
                <w:rFonts w:ascii="Arial" w:cs="Arial" w:eastAsia="Arial" w:hAnsi="Arial"/>
                <w:sz w:val="16"/>
                <w:szCs w:val="16"/>
                <w:color w:val="auto"/>
              </w:rPr>
              <w:t>(76)</w:t>
            </w:r>
          </w:p>
        </w:tc>
        <w:tc>
          <w:tcPr>
            <w:tcW w:w="100" w:type="dxa"/>
            <w:vAlign w:val="bottom"/>
            <w:shd w:val="clear" w:color="auto" w:fill="D4F1F5"/>
          </w:tcPr>
          <w:p>
            <w:pPr>
              <w:spacing w:after="0"/>
              <w:rPr>
                <w:sz w:val="18"/>
                <w:szCs w:val="18"/>
                <w:color w:val="auto"/>
              </w:rPr>
            </w:pPr>
          </w:p>
        </w:tc>
        <w:tc>
          <w:tcPr>
            <w:tcW w:w="300" w:type="dxa"/>
            <w:vAlign w:val="bottom"/>
            <w:shd w:val="clear" w:color="auto" w:fill="D4F1F5"/>
          </w:tcPr>
          <w:p>
            <w:pPr>
              <w:spacing w:after="0"/>
              <w:rPr>
                <w:sz w:val="18"/>
                <w:szCs w:val="18"/>
                <w:color w:val="auto"/>
              </w:rPr>
            </w:pPr>
          </w:p>
        </w:tc>
        <w:tc>
          <w:tcPr>
            <w:tcW w:w="1180" w:type="dxa"/>
            <w:vAlign w:val="bottom"/>
            <w:shd w:val="clear" w:color="auto" w:fill="D4F1F5"/>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020" w:type="dxa"/>
            <w:vAlign w:val="bottom"/>
          </w:tcPr>
          <w:p>
            <w:pPr>
              <w:ind w:left="20"/>
              <w:spacing w:after="0"/>
              <w:rPr>
                <w:sz w:val="20"/>
                <w:szCs w:val="20"/>
                <w:color w:val="auto"/>
              </w:rPr>
            </w:pPr>
            <w:r>
              <w:rPr>
                <w:rFonts w:ascii="Arial" w:cs="Arial" w:eastAsia="Arial" w:hAnsi="Arial"/>
                <w:sz w:val="16"/>
                <w:szCs w:val="16"/>
                <w:color w:val="auto"/>
              </w:rPr>
              <w:t>Interest income</w:t>
            </w:r>
          </w:p>
        </w:tc>
        <w:tc>
          <w:tcPr>
            <w:tcW w:w="140" w:type="dxa"/>
            <w:vAlign w:val="bottom"/>
          </w:tcPr>
          <w:p>
            <w:pPr>
              <w:spacing w:after="0"/>
              <w:rPr>
                <w:sz w:val="18"/>
                <w:szCs w:val="18"/>
                <w:color w:val="auto"/>
              </w:rPr>
            </w:pPr>
          </w:p>
        </w:tc>
        <w:tc>
          <w:tcPr>
            <w:tcW w:w="1380" w:type="dxa"/>
            <w:vAlign w:val="bottom"/>
          </w:tcPr>
          <w:p>
            <w:pPr>
              <w:jc w:val="right"/>
              <w:ind w:right="40"/>
              <w:spacing w:after="0"/>
              <w:rPr>
                <w:sz w:val="20"/>
                <w:szCs w:val="20"/>
                <w:color w:val="auto"/>
              </w:rPr>
            </w:pPr>
            <w:r>
              <w:rPr>
                <w:rFonts w:ascii="Arial" w:cs="Arial" w:eastAsia="Arial" w:hAnsi="Arial"/>
                <w:sz w:val="16"/>
                <w:szCs w:val="16"/>
                <w:color w:val="auto"/>
              </w:rPr>
              <w:t>2</w:t>
            </w:r>
          </w:p>
        </w:tc>
        <w:tc>
          <w:tcPr>
            <w:tcW w:w="1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19</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5020" w:type="dxa"/>
            <w:vAlign w:val="bottom"/>
            <w:shd w:val="clear" w:color="auto" w:fill="D4F1F5"/>
          </w:tcPr>
          <w:p>
            <w:pPr>
              <w:ind w:left="20"/>
              <w:spacing w:after="0" w:line="217" w:lineRule="exact"/>
              <w:rPr>
                <w:sz w:val="20"/>
                <w:szCs w:val="20"/>
                <w:color w:val="auto"/>
              </w:rPr>
            </w:pPr>
            <w:r>
              <w:rPr>
                <w:rFonts w:ascii="Arial" w:cs="Arial" w:eastAsia="Arial" w:hAnsi="Arial"/>
                <w:sz w:val="16"/>
                <w:szCs w:val="16"/>
                <w:color w:val="auto"/>
              </w:rPr>
              <w:t>Interest expense</w:t>
            </w:r>
            <w:r>
              <w:rPr>
                <w:rFonts w:ascii="Arial" w:cs="Arial" w:eastAsia="Arial" w:hAnsi="Arial"/>
                <w:sz w:val="21"/>
                <w:szCs w:val="21"/>
                <w:color w:val="auto"/>
                <w:vertAlign w:val="superscript"/>
              </w:rPr>
              <w:t>(2)</w:t>
            </w:r>
          </w:p>
        </w:tc>
        <w:tc>
          <w:tcPr>
            <w:tcW w:w="140" w:type="dxa"/>
            <w:vAlign w:val="bottom"/>
            <w:shd w:val="clear" w:color="auto" w:fill="D4F1F5"/>
          </w:tcPr>
          <w:p>
            <w:pPr>
              <w:spacing w:after="0"/>
              <w:rPr>
                <w:sz w:val="18"/>
                <w:szCs w:val="18"/>
                <w:color w:val="auto"/>
              </w:rPr>
            </w:pPr>
          </w:p>
        </w:tc>
        <w:tc>
          <w:tcPr>
            <w:tcW w:w="1380" w:type="dxa"/>
            <w:vAlign w:val="bottom"/>
            <w:shd w:val="clear" w:color="auto" w:fill="D4F1F5"/>
          </w:tcPr>
          <w:p>
            <w:pPr>
              <w:jc w:val="right"/>
              <w:spacing w:after="0"/>
              <w:rPr>
                <w:sz w:val="20"/>
                <w:szCs w:val="20"/>
                <w:color w:val="auto"/>
              </w:rPr>
            </w:pPr>
            <w:r>
              <w:rPr>
                <w:rFonts w:ascii="Arial" w:cs="Arial" w:eastAsia="Arial" w:hAnsi="Arial"/>
                <w:sz w:val="16"/>
                <w:szCs w:val="16"/>
                <w:color w:val="auto"/>
              </w:rPr>
              <w:t>(225)</w:t>
            </w:r>
          </w:p>
        </w:tc>
        <w:tc>
          <w:tcPr>
            <w:tcW w:w="1140" w:type="dxa"/>
            <w:vAlign w:val="bottom"/>
            <w:shd w:val="clear" w:color="auto" w:fill="D4F1F5"/>
          </w:tcPr>
          <w:p>
            <w:pPr>
              <w:spacing w:after="0"/>
              <w:rPr>
                <w:sz w:val="18"/>
                <w:szCs w:val="18"/>
                <w:color w:val="auto"/>
              </w:rPr>
            </w:pPr>
          </w:p>
        </w:tc>
        <w:tc>
          <w:tcPr>
            <w:tcW w:w="440" w:type="dxa"/>
            <w:vAlign w:val="bottom"/>
            <w:shd w:val="clear" w:color="auto" w:fill="D4F1F5"/>
          </w:tcPr>
          <w:p>
            <w:pPr>
              <w:spacing w:after="0"/>
              <w:rPr>
                <w:sz w:val="18"/>
                <w:szCs w:val="18"/>
                <w:color w:val="auto"/>
              </w:rPr>
            </w:pPr>
          </w:p>
        </w:tc>
        <w:tc>
          <w:tcPr>
            <w:tcW w:w="640" w:type="dxa"/>
            <w:vAlign w:val="bottom"/>
            <w:shd w:val="clear" w:color="auto" w:fill="D4F1F5"/>
          </w:tcPr>
          <w:p>
            <w:pPr>
              <w:spacing w:after="0"/>
              <w:rPr>
                <w:sz w:val="18"/>
                <w:szCs w:val="18"/>
                <w:color w:val="auto"/>
              </w:rPr>
            </w:pPr>
          </w:p>
        </w:tc>
        <w:tc>
          <w:tcPr>
            <w:tcW w:w="900" w:type="dxa"/>
            <w:vAlign w:val="bottom"/>
            <w:shd w:val="clear" w:color="auto" w:fill="D4F1F5"/>
          </w:tcPr>
          <w:p>
            <w:pPr>
              <w:jc w:val="right"/>
              <w:spacing w:after="0"/>
              <w:rPr>
                <w:sz w:val="20"/>
                <w:szCs w:val="20"/>
                <w:color w:val="auto"/>
              </w:rPr>
            </w:pPr>
            <w:r>
              <w:rPr>
                <w:rFonts w:ascii="Arial" w:cs="Arial" w:eastAsia="Arial" w:hAnsi="Arial"/>
                <w:sz w:val="16"/>
                <w:szCs w:val="16"/>
                <w:color w:val="auto"/>
              </w:rPr>
              <w:t>(77)</w:t>
            </w:r>
          </w:p>
        </w:tc>
        <w:tc>
          <w:tcPr>
            <w:tcW w:w="100" w:type="dxa"/>
            <w:vAlign w:val="bottom"/>
            <w:shd w:val="clear" w:color="auto" w:fill="D4F1F5"/>
          </w:tcPr>
          <w:p>
            <w:pPr>
              <w:spacing w:after="0"/>
              <w:rPr>
                <w:sz w:val="18"/>
                <w:szCs w:val="18"/>
                <w:color w:val="auto"/>
              </w:rPr>
            </w:pPr>
          </w:p>
        </w:tc>
        <w:tc>
          <w:tcPr>
            <w:tcW w:w="300" w:type="dxa"/>
            <w:vAlign w:val="bottom"/>
            <w:shd w:val="clear" w:color="auto" w:fill="D4F1F5"/>
          </w:tcPr>
          <w:p>
            <w:pPr>
              <w:spacing w:after="0"/>
              <w:rPr>
                <w:sz w:val="18"/>
                <w:szCs w:val="18"/>
                <w:color w:val="auto"/>
              </w:rPr>
            </w:pPr>
          </w:p>
        </w:tc>
        <w:tc>
          <w:tcPr>
            <w:tcW w:w="1180" w:type="dxa"/>
            <w:vAlign w:val="bottom"/>
            <w:shd w:val="clear" w:color="auto" w:fill="D4F1F5"/>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020" w:type="dxa"/>
            <w:vAlign w:val="bottom"/>
          </w:tcPr>
          <w:p>
            <w:pPr>
              <w:ind w:left="20"/>
              <w:spacing w:after="0"/>
              <w:rPr>
                <w:sz w:val="20"/>
                <w:szCs w:val="20"/>
                <w:color w:val="auto"/>
              </w:rPr>
            </w:pPr>
            <w:r>
              <w:rPr>
                <w:rFonts w:ascii="Arial" w:cs="Arial" w:eastAsia="Arial" w:hAnsi="Arial"/>
                <w:sz w:val="16"/>
                <w:szCs w:val="16"/>
                <w:color w:val="auto"/>
              </w:rPr>
              <w:t>Income tax expense</w:t>
            </w:r>
          </w:p>
        </w:tc>
        <w:tc>
          <w:tcPr>
            <w:tcW w:w="1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(52)</w:t>
            </w:r>
          </w:p>
        </w:tc>
        <w:tc>
          <w:tcPr>
            <w:tcW w:w="1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(22)</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5020" w:type="dxa"/>
            <w:vAlign w:val="bottom"/>
            <w:shd w:val="clear" w:color="auto" w:fill="D4F1F5"/>
          </w:tcPr>
          <w:p>
            <w:pPr>
              <w:ind w:left="20"/>
              <w:spacing w:after="0"/>
              <w:rPr>
                <w:sz w:val="20"/>
                <w:szCs w:val="20"/>
                <w:color w:val="auto"/>
              </w:rPr>
            </w:pPr>
            <w:r>
              <w:rPr>
                <w:rFonts w:ascii="Arial" w:cs="Arial" w:eastAsia="Arial" w:hAnsi="Arial"/>
                <w:sz w:val="16"/>
                <w:szCs w:val="16"/>
                <w:color w:val="auto"/>
              </w:rPr>
              <w:t>Equity earnings</w:t>
            </w:r>
          </w:p>
        </w:tc>
        <w:tc>
          <w:tcPr>
            <w:tcW w:w="140" w:type="dxa"/>
            <w:vAlign w:val="bottom"/>
            <w:shd w:val="clear" w:color="auto" w:fill="D4F1F5"/>
          </w:tcPr>
          <w:p>
            <w:pPr>
              <w:spacing w:after="0"/>
              <w:rPr>
                <w:sz w:val="18"/>
                <w:szCs w:val="18"/>
                <w:color w:val="auto"/>
              </w:rPr>
            </w:pPr>
          </w:p>
        </w:tc>
        <w:tc>
          <w:tcPr>
            <w:tcW w:w="1380" w:type="dxa"/>
            <w:vAlign w:val="bottom"/>
            <w:shd w:val="clear" w:color="auto" w:fill="D4F1F5"/>
          </w:tcPr>
          <w:p>
            <w:pPr>
              <w:spacing w:after="0"/>
              <w:rPr>
                <w:sz w:val="18"/>
                <w:szCs w:val="18"/>
                <w:color w:val="auto"/>
              </w:rPr>
            </w:pPr>
          </w:p>
        </w:tc>
        <w:tc>
          <w:tcPr>
            <w:tcW w:w="1140" w:type="dxa"/>
            <w:vAlign w:val="bottom"/>
            <w:shd w:val="clear" w:color="auto" w:fill="D4F1F5"/>
          </w:tcPr>
          <w:p>
            <w:pPr>
              <w:jc w:val="right"/>
              <w:ind w:right="904"/>
              <w:spacing w:after="0"/>
              <w:rPr>
                <w:sz w:val="20"/>
                <w:szCs w:val="20"/>
                <w:color w:val="auto"/>
              </w:rPr>
            </w:pPr>
            <w:r>
              <w:rPr>
                <w:rFonts w:ascii="Arial" w:cs="Arial" w:eastAsia="Arial" w:hAnsi="Arial"/>
                <w:sz w:val="16"/>
                <w:szCs w:val="16"/>
                <w:color w:val="auto"/>
              </w:rPr>
              <w:t>$</w:t>
            </w:r>
          </w:p>
        </w:tc>
        <w:tc>
          <w:tcPr>
            <w:tcW w:w="440" w:type="dxa"/>
            <w:vAlign w:val="bottom"/>
            <w:shd w:val="clear" w:color="auto" w:fill="D4F1F5"/>
          </w:tcPr>
          <w:p>
            <w:pPr>
              <w:jc w:val="right"/>
              <w:ind w:right="39"/>
              <w:spacing w:after="0"/>
              <w:rPr>
                <w:sz w:val="20"/>
                <w:szCs w:val="20"/>
                <w:color w:val="auto"/>
              </w:rPr>
            </w:pPr>
            <w:r>
              <w:rPr>
                <w:rFonts w:ascii="Arial" w:cs="Arial" w:eastAsia="Arial" w:hAnsi="Arial"/>
                <w:sz w:val="16"/>
                <w:szCs w:val="16"/>
                <w:color w:val="auto"/>
              </w:rPr>
              <w:t>148</w:t>
            </w:r>
          </w:p>
        </w:tc>
        <w:tc>
          <w:tcPr>
            <w:tcW w:w="640" w:type="dxa"/>
            <w:vAlign w:val="bottom"/>
            <w:shd w:val="clear" w:color="auto" w:fill="D4F1F5"/>
          </w:tcPr>
          <w:p>
            <w:pPr>
              <w:spacing w:after="0"/>
              <w:rPr>
                <w:sz w:val="18"/>
                <w:szCs w:val="18"/>
                <w:color w:val="auto"/>
              </w:rPr>
            </w:pPr>
          </w:p>
        </w:tc>
        <w:tc>
          <w:tcPr>
            <w:tcW w:w="900" w:type="dxa"/>
            <w:vAlign w:val="bottom"/>
            <w:shd w:val="clear" w:color="auto" w:fill="D4F1F5"/>
          </w:tcPr>
          <w:p>
            <w:pPr>
              <w:jc w:val="right"/>
              <w:spacing w:after="0"/>
              <w:rPr>
                <w:sz w:val="20"/>
                <w:szCs w:val="20"/>
                <w:color w:val="auto"/>
              </w:rPr>
            </w:pPr>
            <w:r>
              <w:rPr>
                <w:rFonts w:ascii="Arial" w:cs="Arial" w:eastAsia="Arial" w:hAnsi="Arial"/>
                <w:sz w:val="16"/>
                <w:szCs w:val="16"/>
                <w:color w:val="auto"/>
              </w:rPr>
              <w:t>177</w:t>
            </w:r>
          </w:p>
        </w:tc>
        <w:tc>
          <w:tcPr>
            <w:tcW w:w="100" w:type="dxa"/>
            <w:vAlign w:val="bottom"/>
            <w:shd w:val="clear" w:color="auto" w:fill="D4F1F5"/>
          </w:tcPr>
          <w:p>
            <w:pPr>
              <w:spacing w:after="0"/>
              <w:rPr>
                <w:sz w:val="18"/>
                <w:szCs w:val="18"/>
                <w:color w:val="auto"/>
              </w:rPr>
            </w:pPr>
          </w:p>
        </w:tc>
        <w:tc>
          <w:tcPr>
            <w:tcW w:w="300" w:type="dxa"/>
            <w:vAlign w:val="bottom"/>
            <w:shd w:val="clear" w:color="auto" w:fill="D4F1F5"/>
          </w:tcPr>
          <w:p>
            <w:pPr>
              <w:spacing w:after="0"/>
              <w:rPr>
                <w:sz w:val="18"/>
                <w:szCs w:val="18"/>
                <w:color w:val="auto"/>
              </w:rPr>
            </w:pPr>
          </w:p>
        </w:tc>
        <w:tc>
          <w:tcPr>
            <w:tcW w:w="1180" w:type="dxa"/>
            <w:vAlign w:val="bottom"/>
            <w:shd w:val="clear" w:color="auto" w:fill="D4F1F5"/>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020" w:type="dxa"/>
            <w:vAlign w:val="bottom"/>
          </w:tcPr>
          <w:p>
            <w:pPr>
              <w:ind w:left="20"/>
              <w:spacing w:after="0"/>
              <w:rPr>
                <w:sz w:val="20"/>
                <w:szCs w:val="20"/>
                <w:color w:val="auto"/>
              </w:rPr>
            </w:pPr>
            <w:r>
              <w:rPr>
                <w:rFonts w:ascii="Arial" w:cs="Arial" w:eastAsia="Arial" w:hAnsi="Arial"/>
                <w:sz w:val="16"/>
                <w:szCs w:val="16"/>
                <w:color w:val="auto"/>
              </w:rPr>
              <w:t>Earnings attributable to noncontrolling interests</w:t>
            </w:r>
          </w:p>
        </w:tc>
        <w:tc>
          <w:tcPr>
            <w:tcW w:w="1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5020" w:type="dxa"/>
            <w:vAlign w:val="bottom"/>
            <w:shd w:val="clear" w:color="auto" w:fill="D4F1F5"/>
          </w:tcPr>
          <w:p>
            <w:pPr>
              <w:ind w:left="20"/>
              <w:spacing w:after="0" w:line="217" w:lineRule="exact"/>
              <w:rPr>
                <w:sz w:val="20"/>
                <w:szCs w:val="20"/>
                <w:color w:val="auto"/>
              </w:rPr>
            </w:pPr>
            <w:r>
              <w:rPr>
                <w:rFonts w:ascii="Arial" w:cs="Arial" w:eastAsia="Arial" w:hAnsi="Arial"/>
                <w:sz w:val="16"/>
                <w:szCs w:val="16"/>
                <w:color w:val="auto"/>
              </w:rPr>
              <w:t>Other segment items</w:t>
            </w:r>
            <w:r>
              <w:rPr>
                <w:rFonts w:ascii="Arial" w:cs="Arial" w:eastAsia="Arial" w:hAnsi="Arial"/>
                <w:sz w:val="21"/>
                <w:szCs w:val="21"/>
                <w:color w:val="auto"/>
                <w:vertAlign w:val="superscript"/>
              </w:rPr>
              <w:t>(3)</w:t>
            </w:r>
          </w:p>
        </w:tc>
        <w:tc>
          <w:tcPr>
            <w:tcW w:w="140" w:type="dxa"/>
            <w:vAlign w:val="bottom"/>
            <w:tcBorders>
              <w:bottom w:val="single" w:sz="8" w:color="auto"/>
            </w:tcBorders>
            <w:shd w:val="clear" w:color="auto" w:fill="D4F1F5"/>
          </w:tcPr>
          <w:p>
            <w:pPr>
              <w:spacing w:after="0"/>
              <w:rPr>
                <w:sz w:val="18"/>
                <w:szCs w:val="18"/>
                <w:color w:val="auto"/>
              </w:rPr>
            </w:pPr>
          </w:p>
        </w:tc>
        <w:tc>
          <w:tcPr>
            <w:tcW w:w="1380" w:type="dxa"/>
            <w:vAlign w:val="bottom"/>
            <w:tcBorders>
              <w:bottom w:val="single" w:sz="8" w:color="auto"/>
            </w:tcBorders>
            <w:shd w:val="clear" w:color="auto" w:fill="D4F1F5"/>
          </w:tcPr>
          <w:p>
            <w:pPr>
              <w:jc w:val="right"/>
              <w:spacing w:after="0"/>
              <w:rPr>
                <w:sz w:val="20"/>
                <w:szCs w:val="20"/>
                <w:color w:val="auto"/>
              </w:rPr>
            </w:pPr>
            <w:r>
              <w:rPr>
                <w:rFonts w:ascii="Arial" w:cs="Arial" w:eastAsia="Arial" w:hAnsi="Arial"/>
                <w:sz w:val="16"/>
                <w:szCs w:val="16"/>
                <w:color w:val="auto"/>
              </w:rPr>
              <w:t>(665)</w:t>
            </w:r>
          </w:p>
        </w:tc>
        <w:tc>
          <w:tcPr>
            <w:tcW w:w="1140" w:type="dxa"/>
            <w:vAlign w:val="bottom"/>
            <w:tcBorders>
              <w:bottom w:val="single" w:sz="8" w:color="auto"/>
            </w:tcBorders>
            <w:shd w:val="clear" w:color="auto" w:fill="D4F1F5"/>
          </w:tcPr>
          <w:p>
            <w:pPr>
              <w:spacing w:after="0"/>
              <w:rPr>
                <w:sz w:val="18"/>
                <w:szCs w:val="18"/>
                <w:color w:val="auto"/>
              </w:rPr>
            </w:pPr>
          </w:p>
        </w:tc>
        <w:tc>
          <w:tcPr>
            <w:tcW w:w="440" w:type="dxa"/>
            <w:vAlign w:val="bottom"/>
            <w:tcBorders>
              <w:bottom w:val="single" w:sz="8" w:color="auto"/>
            </w:tcBorders>
            <w:shd w:val="clear" w:color="auto" w:fill="D4F1F5"/>
          </w:tcPr>
          <w:p>
            <w:pPr>
              <w:jc w:val="right"/>
              <w:spacing w:after="0"/>
              <w:rPr>
                <w:sz w:val="20"/>
                <w:szCs w:val="20"/>
                <w:color w:val="auto"/>
              </w:rPr>
            </w:pPr>
            <w:r>
              <w:rPr>
                <w:rFonts w:ascii="Arial" w:cs="Arial" w:eastAsia="Arial" w:hAnsi="Arial"/>
                <w:sz w:val="16"/>
                <w:szCs w:val="16"/>
                <w:color w:val="auto"/>
              </w:rPr>
              <w:t>(2)</w:t>
            </w:r>
          </w:p>
        </w:tc>
        <w:tc>
          <w:tcPr>
            <w:tcW w:w="640" w:type="dxa"/>
            <w:vAlign w:val="bottom"/>
            <w:tcBorders>
              <w:bottom w:val="single" w:sz="8" w:color="auto"/>
            </w:tcBorders>
            <w:shd w:val="clear" w:color="auto" w:fill="D4F1F5"/>
          </w:tcPr>
          <w:p>
            <w:pPr>
              <w:spacing w:after="0"/>
              <w:rPr>
                <w:sz w:val="18"/>
                <w:szCs w:val="18"/>
                <w:color w:val="auto"/>
              </w:rPr>
            </w:pPr>
          </w:p>
        </w:tc>
        <w:tc>
          <w:tcPr>
            <w:tcW w:w="900" w:type="dxa"/>
            <w:vAlign w:val="bottom"/>
            <w:tcBorders>
              <w:bottom w:val="single" w:sz="8" w:color="auto"/>
            </w:tcBorders>
            <w:shd w:val="clear" w:color="auto" w:fill="D4F1F5"/>
          </w:tcPr>
          <w:p>
            <w:pPr>
              <w:jc w:val="right"/>
              <w:spacing w:after="0"/>
              <w:rPr>
                <w:sz w:val="20"/>
                <w:szCs w:val="20"/>
                <w:color w:val="auto"/>
              </w:rPr>
            </w:pPr>
            <w:r>
              <w:rPr>
                <w:rFonts w:ascii="Arial" w:cs="Arial" w:eastAsia="Arial" w:hAnsi="Arial"/>
                <w:sz w:val="16"/>
                <w:szCs w:val="16"/>
                <w:color w:val="auto"/>
              </w:rPr>
              <w:t>(125)</w:t>
            </w:r>
          </w:p>
        </w:tc>
        <w:tc>
          <w:tcPr>
            <w:tcW w:w="100" w:type="dxa"/>
            <w:vAlign w:val="bottom"/>
            <w:shd w:val="clear" w:color="auto" w:fill="D4F1F5"/>
          </w:tcPr>
          <w:p>
            <w:pPr>
              <w:spacing w:after="0"/>
              <w:rPr>
                <w:sz w:val="18"/>
                <w:szCs w:val="18"/>
                <w:color w:val="auto"/>
              </w:rPr>
            </w:pPr>
          </w:p>
        </w:tc>
        <w:tc>
          <w:tcPr>
            <w:tcW w:w="300" w:type="dxa"/>
            <w:vAlign w:val="bottom"/>
            <w:shd w:val="clear" w:color="auto" w:fill="D4F1F5"/>
          </w:tcPr>
          <w:p>
            <w:pPr>
              <w:spacing w:after="0"/>
              <w:rPr>
                <w:sz w:val="18"/>
                <w:szCs w:val="18"/>
                <w:color w:val="auto"/>
              </w:rPr>
            </w:pPr>
          </w:p>
        </w:tc>
        <w:tc>
          <w:tcPr>
            <w:tcW w:w="1180" w:type="dxa"/>
            <w:vAlign w:val="bottom"/>
            <w:shd w:val="clear" w:color="auto" w:fill="D4F1F5"/>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20" w:type="dxa"/>
            <w:vAlign w:val="bottom"/>
            <w:tcBorders>
              <w:bottom w:val="single" w:sz="8" w:color="D4F1F5"/>
            </w:tcBorders>
          </w:tcPr>
          <w:p>
            <w:pPr>
              <w:ind w:left="140"/>
              <w:spacing w:after="0"/>
              <w:rPr>
                <w:sz w:val="20"/>
                <w:szCs w:val="20"/>
                <w:color w:val="auto"/>
              </w:rPr>
            </w:pPr>
            <w:r>
              <w:rPr>
                <w:rFonts w:ascii="Arial" w:cs="Arial" w:eastAsia="Arial" w:hAnsi="Arial"/>
                <w:sz w:val="16"/>
                <w:szCs w:val="16"/>
                <w:color w:val="auto"/>
              </w:rPr>
              <w:t>Segment earnings attributable to common shares</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724</w:t>
            </w:r>
          </w:p>
        </w:tc>
        <w:tc>
          <w:tcPr>
            <w:tcW w:w="1140" w:type="dxa"/>
            <w:vAlign w:val="bottom"/>
            <w:tcBorders>
              <w:bottom w:val="single" w:sz="8" w:color="auto"/>
            </w:tcBorders>
          </w:tcPr>
          <w:p>
            <w:pPr>
              <w:jc w:val="right"/>
              <w:ind w:right="904"/>
              <w:spacing w:after="0"/>
              <w:rPr>
                <w:sz w:val="20"/>
                <w:szCs w:val="20"/>
                <w:color w:val="auto"/>
              </w:rPr>
            </w:pPr>
            <w:r>
              <w:rPr>
                <w:rFonts w:ascii="Arial" w:cs="Arial" w:eastAsia="Arial" w:hAnsi="Arial"/>
                <w:sz w:val="16"/>
                <w:szCs w:val="16"/>
                <w:color w:val="auto"/>
              </w:rPr>
              <w:t>$</w:t>
            </w:r>
          </w:p>
        </w:tc>
        <w:tc>
          <w:tcPr>
            <w:tcW w:w="4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146</w:t>
            </w:r>
          </w:p>
        </w:tc>
        <w:tc>
          <w:tcPr>
            <w:tcW w:w="640" w:type="dxa"/>
            <w:vAlign w:val="bottom"/>
            <w:tcBorders>
              <w:bottom w:val="single" w:sz="8" w:color="auto"/>
            </w:tcBorders>
          </w:tcPr>
          <w:p>
            <w:pPr>
              <w:jc w:val="right"/>
              <w:ind w:right="401"/>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146</w:t>
            </w:r>
          </w:p>
        </w:tc>
        <w:tc>
          <w:tcPr>
            <w:tcW w:w="100" w:type="dxa"/>
            <w:vAlign w:val="bottom"/>
            <w:tcBorders>
              <w:bottom w:val="single" w:sz="8" w:color="D4F1F5"/>
            </w:tcBorders>
          </w:tcPr>
          <w:p>
            <w:pPr>
              <w:spacing w:after="0"/>
              <w:rPr>
                <w:sz w:val="18"/>
                <w:szCs w:val="18"/>
                <w:color w:val="auto"/>
              </w:rPr>
            </w:pPr>
          </w:p>
        </w:tc>
        <w:tc>
          <w:tcPr>
            <w:tcW w:w="300" w:type="dxa"/>
            <w:vAlign w:val="bottom"/>
            <w:tcBorders>
              <w:bottom w:val="single" w:sz="8" w:color="D4F1F5"/>
            </w:tcBorders>
          </w:tcPr>
          <w:p>
            <w:pPr>
              <w:jc w:val="right"/>
              <w:ind w:right="99"/>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D4F1F5"/>
            </w:tcBorders>
          </w:tcPr>
          <w:p>
            <w:pPr>
              <w:jc w:val="right"/>
              <w:spacing w:after="0"/>
              <w:rPr>
                <w:sz w:val="20"/>
                <w:szCs w:val="20"/>
                <w:color w:val="auto"/>
              </w:rPr>
            </w:pPr>
            <w:r>
              <w:rPr>
                <w:rFonts w:ascii="Arial" w:cs="Arial" w:eastAsia="Arial" w:hAnsi="Arial"/>
                <w:sz w:val="16"/>
                <w:szCs w:val="16"/>
                <w:color w:val="auto"/>
              </w:rPr>
              <w:t>1,016</w:t>
            </w:r>
          </w:p>
        </w:tc>
        <w:tc>
          <w:tcPr>
            <w:tcW w:w="0" w:type="dxa"/>
            <w:vAlign w:val="bottom"/>
          </w:tcPr>
          <w:p>
            <w:pPr>
              <w:spacing w:after="0"/>
              <w:rPr>
                <w:sz w:val="1"/>
                <w:szCs w:val="1"/>
                <w:color w:val="auto"/>
              </w:rPr>
            </w:pPr>
          </w:p>
        </w:tc>
      </w:tr>
      <w:tr>
        <w:trPr>
          <w:trHeight w:val="203"/>
        </w:trPr>
        <w:tc>
          <w:tcPr>
            <w:tcW w:w="5020" w:type="dxa"/>
            <w:vAlign w:val="bottom"/>
            <w:shd w:val="clear" w:color="auto" w:fill="D4F1F5"/>
          </w:tcPr>
          <w:p>
            <w:pPr>
              <w:ind w:left="20"/>
              <w:spacing w:after="0"/>
              <w:rPr>
                <w:sz w:val="20"/>
                <w:szCs w:val="20"/>
                <w:color w:val="auto"/>
              </w:rPr>
            </w:pPr>
            <w:r>
              <w:rPr>
                <w:rFonts w:ascii="Arial" w:cs="Arial" w:eastAsia="Arial" w:hAnsi="Arial"/>
                <w:sz w:val="16"/>
                <w:szCs w:val="16"/>
                <w:color w:val="auto"/>
              </w:rPr>
              <w:t>Parent and other</w:t>
            </w:r>
          </w:p>
        </w:tc>
        <w:tc>
          <w:tcPr>
            <w:tcW w:w="140" w:type="dxa"/>
            <w:vAlign w:val="bottom"/>
            <w:shd w:val="clear" w:color="auto" w:fill="D4F1F5"/>
          </w:tcPr>
          <w:p>
            <w:pPr>
              <w:spacing w:after="0"/>
              <w:rPr>
                <w:sz w:val="17"/>
                <w:szCs w:val="17"/>
                <w:color w:val="auto"/>
              </w:rPr>
            </w:pPr>
          </w:p>
        </w:tc>
        <w:tc>
          <w:tcPr>
            <w:tcW w:w="1380" w:type="dxa"/>
            <w:vAlign w:val="bottom"/>
            <w:shd w:val="clear" w:color="auto" w:fill="D4F1F5"/>
          </w:tcPr>
          <w:p>
            <w:pPr>
              <w:spacing w:after="0"/>
              <w:rPr>
                <w:sz w:val="17"/>
                <w:szCs w:val="17"/>
                <w:color w:val="auto"/>
              </w:rPr>
            </w:pPr>
          </w:p>
        </w:tc>
        <w:tc>
          <w:tcPr>
            <w:tcW w:w="1140" w:type="dxa"/>
            <w:vAlign w:val="bottom"/>
            <w:shd w:val="clear" w:color="auto" w:fill="D4F1F5"/>
          </w:tcPr>
          <w:p>
            <w:pPr>
              <w:spacing w:after="0"/>
              <w:rPr>
                <w:sz w:val="17"/>
                <w:szCs w:val="17"/>
                <w:color w:val="auto"/>
              </w:rPr>
            </w:pPr>
          </w:p>
        </w:tc>
        <w:tc>
          <w:tcPr>
            <w:tcW w:w="440" w:type="dxa"/>
            <w:vAlign w:val="bottom"/>
            <w:shd w:val="clear" w:color="auto" w:fill="D4F1F5"/>
          </w:tcPr>
          <w:p>
            <w:pPr>
              <w:spacing w:after="0"/>
              <w:rPr>
                <w:sz w:val="17"/>
                <w:szCs w:val="17"/>
                <w:color w:val="auto"/>
              </w:rPr>
            </w:pPr>
          </w:p>
        </w:tc>
        <w:tc>
          <w:tcPr>
            <w:tcW w:w="640" w:type="dxa"/>
            <w:vAlign w:val="bottom"/>
            <w:shd w:val="clear" w:color="auto" w:fill="D4F1F5"/>
          </w:tcPr>
          <w:p>
            <w:pPr>
              <w:spacing w:after="0"/>
              <w:rPr>
                <w:sz w:val="17"/>
                <w:szCs w:val="17"/>
                <w:color w:val="auto"/>
              </w:rPr>
            </w:pPr>
          </w:p>
        </w:tc>
        <w:tc>
          <w:tcPr>
            <w:tcW w:w="900" w:type="dxa"/>
            <w:vAlign w:val="bottom"/>
            <w:shd w:val="clear" w:color="auto" w:fill="D4F1F5"/>
          </w:tcPr>
          <w:p>
            <w:pPr>
              <w:spacing w:after="0"/>
              <w:rPr>
                <w:sz w:val="17"/>
                <w:szCs w:val="17"/>
                <w:color w:val="auto"/>
              </w:rPr>
            </w:pPr>
          </w:p>
        </w:tc>
        <w:tc>
          <w:tcPr>
            <w:tcW w:w="100" w:type="dxa"/>
            <w:vAlign w:val="bottom"/>
            <w:shd w:val="clear" w:color="auto" w:fill="D4F1F5"/>
          </w:tcPr>
          <w:p>
            <w:pPr>
              <w:spacing w:after="0"/>
              <w:rPr>
                <w:sz w:val="17"/>
                <w:szCs w:val="17"/>
                <w:color w:val="auto"/>
              </w:rPr>
            </w:pPr>
          </w:p>
        </w:tc>
        <w:tc>
          <w:tcPr>
            <w:tcW w:w="300" w:type="dxa"/>
            <w:vAlign w:val="bottom"/>
            <w:tcBorders>
              <w:bottom w:val="single" w:sz="8" w:color="auto"/>
            </w:tcBorders>
            <w:shd w:val="clear" w:color="auto" w:fill="D4F1F5"/>
          </w:tcPr>
          <w:p>
            <w:pPr>
              <w:spacing w:after="0"/>
              <w:rPr>
                <w:sz w:val="17"/>
                <w:szCs w:val="17"/>
                <w:color w:val="auto"/>
              </w:rPr>
            </w:pPr>
          </w:p>
        </w:tc>
        <w:tc>
          <w:tcPr>
            <w:tcW w:w="1180" w:type="dxa"/>
            <w:vAlign w:val="bottom"/>
            <w:tcBorders>
              <w:bottom w:val="single" w:sz="8" w:color="auto"/>
            </w:tcBorders>
            <w:shd w:val="clear" w:color="auto" w:fill="D4F1F5"/>
          </w:tcPr>
          <w:p>
            <w:pPr>
              <w:jc w:val="right"/>
              <w:spacing w:after="0"/>
              <w:rPr>
                <w:sz w:val="20"/>
                <w:szCs w:val="20"/>
                <w:color w:val="auto"/>
              </w:rPr>
            </w:pPr>
            <w:r>
              <w:rPr>
                <w:rFonts w:ascii="Arial" w:cs="Arial" w:eastAsia="Arial" w:hAnsi="Arial"/>
                <w:sz w:val="16"/>
                <w:szCs w:val="16"/>
                <w:color w:val="auto"/>
              </w:rPr>
              <w:t>(110)</w:t>
            </w:r>
          </w:p>
        </w:tc>
        <w:tc>
          <w:tcPr>
            <w:tcW w:w="0" w:type="dxa"/>
            <w:vAlign w:val="bottom"/>
          </w:tcPr>
          <w:p>
            <w:pPr>
              <w:spacing w:after="0"/>
              <w:rPr>
                <w:sz w:val="1"/>
                <w:szCs w:val="1"/>
                <w:color w:val="auto"/>
              </w:rPr>
            </w:pPr>
          </w:p>
        </w:tc>
      </w:tr>
      <w:tr>
        <w:trPr>
          <w:trHeight w:val="217"/>
        </w:trPr>
        <w:tc>
          <w:tcPr>
            <w:tcW w:w="5020" w:type="dxa"/>
            <w:vAlign w:val="bottom"/>
            <w:tcBorders>
              <w:bottom w:val="single" w:sz="8" w:color="auto"/>
            </w:tcBorders>
          </w:tcPr>
          <w:p>
            <w:pPr>
              <w:ind w:left="140"/>
              <w:spacing w:after="0"/>
              <w:rPr>
                <w:sz w:val="20"/>
                <w:szCs w:val="20"/>
                <w:color w:val="auto"/>
              </w:rPr>
            </w:pPr>
            <w:r>
              <w:rPr>
                <w:rFonts w:ascii="Arial" w:cs="Arial" w:eastAsia="Arial" w:hAnsi="Arial"/>
                <w:sz w:val="16"/>
                <w:szCs w:val="16"/>
                <w:color w:val="auto"/>
              </w:rPr>
              <w:t>Earnings attributable to common shares</w:t>
            </w:r>
          </w:p>
        </w:tc>
        <w:tc>
          <w:tcPr>
            <w:tcW w:w="14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906</w:t>
            </w:r>
          </w:p>
        </w:tc>
        <w:tc>
          <w:tcPr>
            <w:tcW w:w="0" w:type="dxa"/>
            <w:vAlign w:val="bottom"/>
          </w:tcPr>
          <w:p>
            <w:pPr>
              <w:spacing w:after="0"/>
              <w:rPr>
                <w:sz w:val="1"/>
                <w:szCs w:val="1"/>
                <w:color w:val="auto"/>
              </w:rPr>
            </w:pPr>
          </w:p>
        </w:tc>
      </w:tr>
    </w:tbl>
    <w:p>
      <w:pPr>
        <w:spacing w:after="0" w:line="88" w:lineRule="exact"/>
        <w:rPr>
          <w:sz w:val="20"/>
          <w:szCs w:val="20"/>
          <w:color w:val="auto"/>
        </w:rPr>
      </w:pPr>
    </w:p>
    <w:p>
      <w:pPr>
        <w:ind w:left="300" w:hanging="292"/>
        <w:spacing w:after="0"/>
        <w:tabs>
          <w:tab w:leader="none" w:pos="300" w:val="left"/>
        </w:tabs>
        <w:numPr>
          <w:ilvl w:val="0"/>
          <w:numId w:val="42"/>
        </w:numPr>
        <w:rPr>
          <w:rFonts w:ascii="Arial" w:cs="Arial" w:eastAsia="Arial" w:hAnsi="Arial"/>
          <w:sz w:val="21"/>
          <w:szCs w:val="21"/>
          <w:i w:val="1"/>
          <w:iCs w:val="1"/>
          <w:color w:val="auto"/>
          <w:vertAlign w:val="superscript"/>
        </w:rPr>
      </w:pPr>
      <w:r>
        <w:rPr>
          <w:rFonts w:ascii="Arial" w:cs="Arial" w:eastAsia="Arial" w:hAnsi="Arial"/>
          <w:sz w:val="14"/>
          <w:szCs w:val="14"/>
          <w:i w:val="1"/>
          <w:iCs w:val="1"/>
          <w:color w:val="auto"/>
        </w:rPr>
        <w:t>Substantially all earnings attributable to common shares are from equity earnings.</w:t>
      </w:r>
    </w:p>
    <w:p>
      <w:pPr>
        <w:spacing w:after="0" w:line="26" w:lineRule="exact"/>
        <w:rPr>
          <w:rFonts w:ascii="Arial" w:cs="Arial" w:eastAsia="Arial" w:hAnsi="Arial"/>
          <w:sz w:val="21"/>
          <w:szCs w:val="21"/>
          <w:i w:val="1"/>
          <w:iCs w:val="1"/>
          <w:color w:val="auto"/>
          <w:vertAlign w:val="superscript"/>
        </w:rPr>
      </w:pPr>
    </w:p>
    <w:p>
      <w:pPr>
        <w:ind w:left="300" w:hanging="292"/>
        <w:spacing w:after="0" w:line="183" w:lineRule="auto"/>
        <w:tabs>
          <w:tab w:leader="none" w:pos="300" w:val="left"/>
        </w:tabs>
        <w:numPr>
          <w:ilvl w:val="0"/>
          <w:numId w:val="42"/>
        </w:numPr>
        <w:rPr>
          <w:rFonts w:ascii="Arial" w:cs="Arial" w:eastAsia="Arial" w:hAnsi="Arial"/>
          <w:sz w:val="20"/>
          <w:szCs w:val="20"/>
          <w:i w:val="1"/>
          <w:iCs w:val="1"/>
          <w:color w:val="auto"/>
          <w:vertAlign w:val="superscript"/>
        </w:rPr>
      </w:pPr>
      <w:r>
        <w:rPr>
          <w:rFonts w:ascii="Arial" w:cs="Arial" w:eastAsia="Arial" w:hAnsi="Arial"/>
          <w:sz w:val="14"/>
          <w:szCs w:val="14"/>
          <w:i w:val="1"/>
          <w:iCs w:val="1"/>
          <w:color w:val="auto"/>
        </w:rPr>
        <w:t>Sempra Infrastructure includes net unrealized gains (losses) from undesignated interest rate swaps related to the PA LNG Phase 1 project.</w:t>
      </w:r>
    </w:p>
    <w:p>
      <w:pPr>
        <w:spacing w:after="0" w:line="40" w:lineRule="exact"/>
        <w:rPr>
          <w:rFonts w:ascii="Arial" w:cs="Arial" w:eastAsia="Arial" w:hAnsi="Arial"/>
          <w:sz w:val="20"/>
          <w:szCs w:val="20"/>
          <w:i w:val="1"/>
          <w:iCs w:val="1"/>
          <w:color w:val="auto"/>
          <w:vertAlign w:val="superscript"/>
        </w:rPr>
      </w:pPr>
    </w:p>
    <w:p>
      <w:pPr>
        <w:jc w:val="both"/>
        <w:ind w:left="340" w:right="260" w:hanging="332"/>
        <w:spacing w:after="0" w:line="218" w:lineRule="auto"/>
        <w:tabs>
          <w:tab w:leader="none" w:pos="304" w:val="left"/>
        </w:tabs>
        <w:numPr>
          <w:ilvl w:val="0"/>
          <w:numId w:val="42"/>
        </w:numPr>
        <w:rPr>
          <w:rFonts w:ascii="Arial" w:cs="Arial" w:eastAsia="Arial" w:hAnsi="Arial"/>
          <w:sz w:val="21"/>
          <w:szCs w:val="21"/>
          <w:i w:val="1"/>
          <w:iCs w:val="1"/>
          <w:color w:val="auto"/>
          <w:vertAlign w:val="superscript"/>
        </w:rPr>
      </w:pPr>
      <w:r>
        <w:rPr>
          <w:rFonts w:ascii="Arial" w:cs="Arial" w:eastAsia="Arial" w:hAnsi="Arial"/>
          <w:sz w:val="14"/>
          <w:szCs w:val="14"/>
          <w:i w:val="1"/>
          <w:iCs w:val="1"/>
          <w:color w:val="auto"/>
        </w:rPr>
        <w:t>Includes cost of natural gas, cost of electric fuel and purchased power, franchise fees and other taxes, and other income (expense), net, for Sempra California; O&amp;M for Sempra Texas Utilities related to activities at the holding company; and cost of natural gas, energy-related businesses cost of sales, franchise fees and other taxes, and other income (expense), net, for Sempra Infrastructure.</w:t>
      </w: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150495</wp:posOffset>
            </wp:positionV>
            <wp:extent cx="7157720" cy="425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revenues by services by segment, reconciled to Sempra’s consolidated revenues.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111760</wp:posOffset>
            </wp:positionV>
            <wp:extent cx="6926580" cy="3003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6926580" cy="300355"/>
                    </a:xfrm>
                    <a:prstGeom prst="rect">
                      <a:avLst/>
                    </a:prstGeom>
                    <a:noFill/>
                  </pic:spPr>
                </pic:pic>
              </a:graphicData>
            </a:graphic>
          </wp:anchor>
        </w:drawing>
      </w:r>
    </w:p>
    <w:p>
      <w:pPr>
        <w:spacing w:after="0" w:line="169"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FFFFFF"/>
        </w:rPr>
        <w:t>REVENUES BY SERVICES</w:t>
      </w:r>
    </w:p>
    <w:p>
      <w:pPr>
        <w:spacing w:after="0" w:line="66" w:lineRule="exact"/>
        <w:rPr>
          <w:sz w:val="20"/>
          <w:szCs w:val="20"/>
          <w:color w:val="auto"/>
        </w:rPr>
      </w:pPr>
    </w:p>
    <w:p>
      <w:pPr>
        <w:ind w:left="20"/>
        <w:spacing w:after="0"/>
        <w:rPr>
          <w:sz w:val="20"/>
          <w:szCs w:val="20"/>
          <w:color w:val="auto"/>
        </w:rPr>
      </w:pPr>
      <w:r>
        <w:rPr>
          <w:rFonts w:ascii="Arial" w:cs="Arial" w:eastAsia="Arial" w:hAnsi="Arial"/>
          <w:sz w:val="14"/>
          <w:szCs w:val="14"/>
          <w:i w:val="1"/>
          <w:iCs w:val="1"/>
          <w:color w:val="FFFFFF"/>
        </w:rPr>
        <w:t>(Dollars in millions)</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jc w:val="right"/>
              <w:ind w:right="241"/>
              <w:spacing w:after="0"/>
              <w:rPr>
                <w:sz w:val="20"/>
                <w:szCs w:val="20"/>
                <w:color w:val="auto"/>
              </w:rPr>
            </w:pPr>
            <w:r>
              <w:rPr>
                <w:rFonts w:ascii="Arial" w:cs="Arial" w:eastAsia="Arial" w:hAnsi="Arial"/>
                <w:sz w:val="14"/>
                <w:szCs w:val="14"/>
                <w:color w:val="auto"/>
              </w:rPr>
              <w:t>Sempra</w:t>
            </w:r>
          </w:p>
        </w:tc>
        <w:tc>
          <w:tcPr>
            <w:tcW w:w="200" w:type="dxa"/>
            <w:vAlign w:val="bottom"/>
          </w:tcPr>
          <w:p>
            <w:pPr>
              <w:spacing w:after="0"/>
              <w:rPr>
                <w:sz w:val="14"/>
                <w:szCs w:val="14"/>
                <w:color w:val="auto"/>
              </w:rPr>
            </w:pPr>
          </w:p>
        </w:tc>
        <w:tc>
          <w:tcPr>
            <w:tcW w:w="1080" w:type="dxa"/>
            <w:vAlign w:val="bottom"/>
            <w:gridSpan w:val="2"/>
          </w:tcPr>
          <w:p>
            <w:pPr>
              <w:jc w:val="center"/>
              <w:ind w:right="220"/>
              <w:spacing w:after="0"/>
              <w:rPr>
                <w:sz w:val="20"/>
                <w:szCs w:val="20"/>
                <w:color w:val="auto"/>
              </w:rPr>
            </w:pPr>
            <w:r>
              <w:rPr>
                <w:rFonts w:ascii="Arial" w:cs="Arial" w:eastAsia="Arial" w:hAnsi="Arial"/>
                <w:sz w:val="14"/>
                <w:szCs w:val="14"/>
                <w:color w:val="auto"/>
              </w:rPr>
              <w:t>Sempra</w:t>
            </w: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jc w:val="right"/>
              <w:ind w:right="261"/>
              <w:spacing w:after="0"/>
              <w:rPr>
                <w:sz w:val="20"/>
                <w:szCs w:val="20"/>
                <w:color w:val="auto"/>
              </w:rPr>
            </w:pPr>
            <w:r>
              <w:rPr>
                <w:rFonts w:ascii="Arial" w:cs="Arial" w:eastAsia="Arial" w:hAnsi="Arial"/>
                <w:sz w:val="14"/>
                <w:szCs w:val="14"/>
                <w:color w:val="auto"/>
              </w:rPr>
              <w:t>Sempra</w:t>
            </w:r>
          </w:p>
        </w:tc>
        <w:tc>
          <w:tcPr>
            <w:tcW w:w="180" w:type="dxa"/>
            <w:vAlign w:val="bottom"/>
          </w:tcPr>
          <w:p>
            <w:pPr>
              <w:spacing w:after="0"/>
              <w:rPr>
                <w:sz w:val="14"/>
                <w:szCs w:val="14"/>
                <w:color w:val="auto"/>
              </w:rPr>
            </w:pPr>
          </w:p>
        </w:tc>
        <w:tc>
          <w:tcPr>
            <w:tcW w:w="1100" w:type="dxa"/>
            <w:vAlign w:val="bottom"/>
            <w:gridSpan w:val="2"/>
          </w:tcPr>
          <w:p>
            <w:pPr>
              <w:jc w:val="center"/>
              <w:ind w:right="200"/>
              <w:spacing w:after="0"/>
              <w:rPr>
                <w:sz w:val="20"/>
                <w:szCs w:val="20"/>
                <w:color w:val="auto"/>
              </w:rPr>
            </w:pPr>
            <w:r>
              <w:rPr>
                <w:rFonts w:ascii="Arial" w:cs="Arial" w:eastAsia="Arial" w:hAnsi="Arial"/>
                <w:sz w:val="14"/>
                <w:szCs w:val="14"/>
                <w:color w:val="auto"/>
              </w:rPr>
              <w:t>Sempra</w:t>
            </w: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208"/>
        </w:trPr>
        <w:tc>
          <w:tcPr>
            <w:tcW w:w="37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201"/>
              <w:spacing w:after="0"/>
              <w:rPr>
                <w:sz w:val="20"/>
                <w:szCs w:val="20"/>
                <w:color w:val="auto"/>
              </w:rPr>
            </w:pPr>
            <w:r>
              <w:rPr>
                <w:rFonts w:ascii="Arial" w:cs="Arial" w:eastAsia="Arial" w:hAnsi="Arial"/>
                <w:sz w:val="14"/>
                <w:szCs w:val="14"/>
                <w:color w:val="auto"/>
              </w:rPr>
              <w:t>California</w:t>
            </w:r>
          </w:p>
        </w:tc>
        <w:tc>
          <w:tcPr>
            <w:tcW w:w="2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4"/>
                <w:szCs w:val="14"/>
                <w:color w:val="auto"/>
              </w:rPr>
              <w:t>Infrastructure</w:t>
            </w:r>
          </w:p>
        </w:tc>
        <w:tc>
          <w:tcPr>
            <w:tcW w:w="1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gridSpan w:val="2"/>
          </w:tcPr>
          <w:p>
            <w:pPr>
              <w:ind w:left="160"/>
              <w:spacing w:after="0"/>
              <w:rPr>
                <w:sz w:val="20"/>
                <w:szCs w:val="20"/>
                <w:color w:val="auto"/>
              </w:rPr>
            </w:pPr>
            <w:r>
              <w:rPr>
                <w:rFonts w:ascii="Arial" w:cs="Arial" w:eastAsia="Arial" w:hAnsi="Arial"/>
                <w:sz w:val="14"/>
                <w:szCs w:val="14"/>
                <w:color w:val="auto"/>
              </w:rPr>
              <w:t>Sempra</w:t>
            </w:r>
          </w:p>
        </w:tc>
        <w:tc>
          <w:tcPr>
            <w:tcW w:w="1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221"/>
              <w:spacing w:after="0"/>
              <w:rPr>
                <w:sz w:val="20"/>
                <w:szCs w:val="20"/>
                <w:color w:val="auto"/>
              </w:rPr>
            </w:pPr>
            <w:r>
              <w:rPr>
                <w:rFonts w:ascii="Arial" w:cs="Arial" w:eastAsia="Arial" w:hAnsi="Arial"/>
                <w:sz w:val="14"/>
                <w:szCs w:val="14"/>
                <w:color w:val="auto"/>
              </w:rPr>
              <w:t>California</w:t>
            </w:r>
          </w:p>
        </w:tc>
        <w:tc>
          <w:tcPr>
            <w:tcW w:w="1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gridSpan w:val="2"/>
          </w:tcPr>
          <w:p>
            <w:pPr>
              <w:jc w:val="center"/>
              <w:ind w:right="200"/>
              <w:spacing w:after="0"/>
              <w:rPr>
                <w:sz w:val="20"/>
                <w:szCs w:val="20"/>
                <w:color w:val="auto"/>
              </w:rPr>
            </w:pPr>
            <w:r>
              <w:rPr>
                <w:rFonts w:ascii="Arial" w:cs="Arial" w:eastAsia="Arial" w:hAnsi="Arial"/>
                <w:sz w:val="14"/>
                <w:szCs w:val="14"/>
                <w:color w:val="auto"/>
              </w:rPr>
              <w:t>Infrastructure</w:t>
            </w:r>
          </w:p>
        </w:tc>
        <w:tc>
          <w:tcPr>
            <w:tcW w:w="2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200"/>
              <w:spacing w:after="0"/>
              <w:rPr>
                <w:sz w:val="20"/>
                <w:szCs w:val="20"/>
                <w:color w:val="auto"/>
              </w:rPr>
            </w:pPr>
            <w:r>
              <w:rPr>
                <w:rFonts w:ascii="Arial" w:cs="Arial" w:eastAsia="Arial" w:hAnsi="Arial"/>
                <w:sz w:val="14"/>
                <w:szCs w:val="14"/>
                <w:color w:val="auto"/>
              </w:rPr>
              <w:t>Sempra</w:t>
            </w:r>
          </w:p>
        </w:tc>
      </w:tr>
      <w:tr>
        <w:trPr>
          <w:trHeight w:val="210"/>
        </w:trPr>
        <w:tc>
          <w:tcPr>
            <w:tcW w:w="37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220" w:type="dxa"/>
            <w:vAlign w:val="bottom"/>
            <w:tcBorders>
              <w:bottom w:val="single" w:sz="8" w:color="auto"/>
            </w:tcBorders>
            <w:gridSpan w:val="4"/>
          </w:tcPr>
          <w:p>
            <w:pPr>
              <w:jc w:val="right"/>
              <w:ind w:right="101"/>
              <w:spacing w:after="0"/>
              <w:rPr>
                <w:sz w:val="20"/>
                <w:szCs w:val="20"/>
                <w:color w:val="auto"/>
              </w:rPr>
            </w:pPr>
            <w:r>
              <w:rPr>
                <w:rFonts w:ascii="Arial" w:cs="Arial" w:eastAsia="Arial" w:hAnsi="Arial"/>
                <w:sz w:val="14"/>
                <w:szCs w:val="14"/>
                <w:color w:val="auto"/>
              </w:rPr>
              <w:t>Three months ended March 31,</w:t>
            </w:r>
          </w:p>
        </w:tc>
        <w:tc>
          <w:tcPr>
            <w:tcW w:w="1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r>
      <w:tr>
        <w:trPr>
          <w:trHeight w:val="209"/>
        </w:trPr>
        <w:tc>
          <w:tcPr>
            <w:tcW w:w="374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center"/>
              <w:ind w:right="61"/>
              <w:spacing w:after="0"/>
              <w:rPr>
                <w:sz w:val="20"/>
                <w:szCs w:val="20"/>
                <w:color w:val="auto"/>
              </w:rPr>
            </w:pPr>
            <w:r>
              <w:rPr>
                <w:rFonts w:ascii="Arial" w:cs="Arial" w:eastAsia="Arial" w:hAnsi="Arial"/>
                <w:sz w:val="14"/>
                <w:szCs w:val="14"/>
                <w:color w:val="auto"/>
              </w:rPr>
              <w:t>2026</w:t>
            </w: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center"/>
              <w:ind w:right="61"/>
              <w:spacing w:after="0"/>
              <w:rPr>
                <w:sz w:val="20"/>
                <w:szCs w:val="20"/>
                <w:color w:val="auto"/>
              </w:rPr>
            </w:pPr>
            <w:r>
              <w:rPr>
                <w:rFonts w:ascii="Arial" w:cs="Arial" w:eastAsia="Arial" w:hAnsi="Arial"/>
                <w:sz w:val="14"/>
                <w:szCs w:val="14"/>
                <w:color w:val="auto"/>
              </w:rPr>
              <w:t>2025</w:t>
            </w:r>
          </w:p>
        </w:tc>
        <w:tc>
          <w:tcPr>
            <w:tcW w:w="8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r>
      <w:tr>
        <w:trPr>
          <w:trHeight w:val="213"/>
        </w:trPr>
        <w:tc>
          <w:tcPr>
            <w:tcW w:w="3740" w:type="dxa"/>
            <w:vAlign w:val="bottom"/>
            <w:shd w:val="clear" w:color="auto" w:fill="D4F1F5"/>
          </w:tcPr>
          <w:p>
            <w:pPr>
              <w:ind w:left="20"/>
              <w:spacing w:after="0"/>
              <w:rPr>
                <w:sz w:val="20"/>
                <w:szCs w:val="20"/>
                <w:color w:val="auto"/>
              </w:rPr>
            </w:pPr>
            <w:r>
              <w:rPr>
                <w:rFonts w:ascii="Arial" w:cs="Arial" w:eastAsia="Arial" w:hAnsi="Arial"/>
                <w:sz w:val="16"/>
                <w:szCs w:val="16"/>
                <w:color w:val="auto"/>
              </w:rPr>
              <w:t>Revenues from external customers:</w:t>
            </w:r>
          </w:p>
        </w:tc>
        <w:tc>
          <w:tcPr>
            <w:tcW w:w="180" w:type="dxa"/>
            <w:vAlign w:val="bottom"/>
            <w:shd w:val="clear" w:color="auto" w:fill="D4F1F5"/>
          </w:tcPr>
          <w:p>
            <w:pPr>
              <w:spacing w:after="0"/>
              <w:rPr>
                <w:sz w:val="18"/>
                <w:szCs w:val="18"/>
                <w:color w:val="auto"/>
              </w:rPr>
            </w:pPr>
          </w:p>
        </w:tc>
        <w:tc>
          <w:tcPr>
            <w:tcW w:w="960" w:type="dxa"/>
            <w:vAlign w:val="bottom"/>
            <w:shd w:val="clear" w:color="auto" w:fill="D4F1F5"/>
          </w:tcPr>
          <w:p>
            <w:pPr>
              <w:spacing w:after="0"/>
              <w:rPr>
                <w:sz w:val="18"/>
                <w:szCs w:val="18"/>
                <w:color w:val="auto"/>
              </w:rPr>
            </w:pPr>
          </w:p>
        </w:tc>
        <w:tc>
          <w:tcPr>
            <w:tcW w:w="200" w:type="dxa"/>
            <w:vAlign w:val="bottom"/>
            <w:shd w:val="clear" w:color="auto" w:fill="D4F1F5"/>
          </w:tcPr>
          <w:p>
            <w:pPr>
              <w:spacing w:after="0"/>
              <w:rPr>
                <w:sz w:val="18"/>
                <w:szCs w:val="18"/>
                <w:color w:val="auto"/>
              </w:rPr>
            </w:pPr>
          </w:p>
        </w:tc>
        <w:tc>
          <w:tcPr>
            <w:tcW w:w="980" w:type="dxa"/>
            <w:vAlign w:val="bottom"/>
            <w:shd w:val="clear" w:color="auto" w:fill="D4F1F5"/>
          </w:tcPr>
          <w:p>
            <w:pPr>
              <w:spacing w:after="0"/>
              <w:rPr>
                <w:sz w:val="18"/>
                <w:szCs w:val="18"/>
                <w:color w:val="auto"/>
              </w:rPr>
            </w:pPr>
          </w:p>
        </w:tc>
        <w:tc>
          <w:tcPr>
            <w:tcW w:w="100" w:type="dxa"/>
            <w:vAlign w:val="bottom"/>
            <w:shd w:val="clear" w:color="auto" w:fill="D4F1F5"/>
          </w:tcPr>
          <w:p>
            <w:pPr>
              <w:spacing w:after="0"/>
              <w:rPr>
                <w:sz w:val="18"/>
                <w:szCs w:val="18"/>
                <w:color w:val="auto"/>
              </w:rPr>
            </w:pPr>
          </w:p>
        </w:tc>
        <w:tc>
          <w:tcPr>
            <w:tcW w:w="140" w:type="dxa"/>
            <w:vAlign w:val="bottom"/>
            <w:shd w:val="clear" w:color="auto" w:fill="D4F1F5"/>
          </w:tcPr>
          <w:p>
            <w:pPr>
              <w:spacing w:after="0"/>
              <w:rPr>
                <w:sz w:val="18"/>
                <w:szCs w:val="18"/>
                <w:color w:val="auto"/>
              </w:rPr>
            </w:pPr>
          </w:p>
        </w:tc>
        <w:tc>
          <w:tcPr>
            <w:tcW w:w="980" w:type="dxa"/>
            <w:vAlign w:val="bottom"/>
            <w:shd w:val="clear" w:color="auto" w:fill="D4F1F5"/>
          </w:tcPr>
          <w:p>
            <w:pPr>
              <w:spacing w:after="0"/>
              <w:rPr>
                <w:sz w:val="18"/>
                <w:szCs w:val="18"/>
                <w:color w:val="auto"/>
              </w:rPr>
            </w:pPr>
          </w:p>
        </w:tc>
        <w:tc>
          <w:tcPr>
            <w:tcW w:w="80" w:type="dxa"/>
            <w:vAlign w:val="bottom"/>
            <w:shd w:val="clear" w:color="auto" w:fill="D4F1F5"/>
          </w:tcPr>
          <w:p>
            <w:pPr>
              <w:spacing w:after="0"/>
              <w:rPr>
                <w:sz w:val="18"/>
                <w:szCs w:val="18"/>
                <w:color w:val="auto"/>
              </w:rPr>
            </w:pPr>
          </w:p>
        </w:tc>
        <w:tc>
          <w:tcPr>
            <w:tcW w:w="180" w:type="dxa"/>
            <w:vAlign w:val="bottom"/>
            <w:shd w:val="clear" w:color="auto" w:fill="D4F1F5"/>
          </w:tcPr>
          <w:p>
            <w:pPr>
              <w:spacing w:after="0"/>
              <w:rPr>
                <w:sz w:val="18"/>
                <w:szCs w:val="18"/>
                <w:color w:val="auto"/>
              </w:rPr>
            </w:pPr>
          </w:p>
        </w:tc>
        <w:tc>
          <w:tcPr>
            <w:tcW w:w="980" w:type="dxa"/>
            <w:vAlign w:val="bottom"/>
            <w:shd w:val="clear" w:color="auto" w:fill="D4F1F5"/>
          </w:tcPr>
          <w:p>
            <w:pPr>
              <w:spacing w:after="0"/>
              <w:rPr>
                <w:sz w:val="18"/>
                <w:szCs w:val="18"/>
                <w:color w:val="auto"/>
              </w:rPr>
            </w:pPr>
          </w:p>
        </w:tc>
        <w:tc>
          <w:tcPr>
            <w:tcW w:w="180" w:type="dxa"/>
            <w:vAlign w:val="bottom"/>
            <w:shd w:val="clear" w:color="auto" w:fill="D4F1F5"/>
          </w:tcPr>
          <w:p>
            <w:pPr>
              <w:spacing w:after="0"/>
              <w:rPr>
                <w:sz w:val="18"/>
                <w:szCs w:val="18"/>
                <w:color w:val="auto"/>
              </w:rPr>
            </w:pPr>
          </w:p>
        </w:tc>
        <w:tc>
          <w:tcPr>
            <w:tcW w:w="1020" w:type="dxa"/>
            <w:vAlign w:val="bottom"/>
            <w:shd w:val="clear" w:color="auto" w:fill="D4F1F5"/>
          </w:tcPr>
          <w:p>
            <w:pPr>
              <w:spacing w:after="0"/>
              <w:rPr>
                <w:sz w:val="18"/>
                <w:szCs w:val="18"/>
                <w:color w:val="auto"/>
              </w:rPr>
            </w:pPr>
          </w:p>
        </w:tc>
        <w:tc>
          <w:tcPr>
            <w:tcW w:w="80" w:type="dxa"/>
            <w:vAlign w:val="bottom"/>
            <w:shd w:val="clear" w:color="auto" w:fill="D4F1F5"/>
          </w:tcPr>
          <w:p>
            <w:pPr>
              <w:spacing w:after="0"/>
              <w:rPr>
                <w:sz w:val="18"/>
                <w:szCs w:val="18"/>
                <w:color w:val="auto"/>
              </w:rPr>
            </w:pPr>
          </w:p>
        </w:tc>
        <w:tc>
          <w:tcPr>
            <w:tcW w:w="220" w:type="dxa"/>
            <w:vAlign w:val="bottom"/>
            <w:shd w:val="clear" w:color="auto" w:fill="D4F1F5"/>
          </w:tcPr>
          <w:p>
            <w:pPr>
              <w:spacing w:after="0"/>
              <w:rPr>
                <w:sz w:val="18"/>
                <w:szCs w:val="18"/>
                <w:color w:val="auto"/>
              </w:rPr>
            </w:pPr>
          </w:p>
        </w:tc>
        <w:tc>
          <w:tcPr>
            <w:tcW w:w="900" w:type="dxa"/>
            <w:vAlign w:val="bottom"/>
            <w:shd w:val="clear" w:color="auto" w:fill="D4F1F5"/>
          </w:tcPr>
          <w:p>
            <w:pPr>
              <w:spacing w:after="0"/>
              <w:rPr>
                <w:sz w:val="18"/>
                <w:szCs w:val="18"/>
                <w:color w:val="auto"/>
              </w:rPr>
            </w:pPr>
          </w:p>
        </w:tc>
      </w:tr>
      <w:tr>
        <w:trPr>
          <w:trHeight w:val="215"/>
        </w:trPr>
        <w:tc>
          <w:tcPr>
            <w:tcW w:w="3740" w:type="dxa"/>
            <w:vAlign w:val="bottom"/>
          </w:tcPr>
          <w:p>
            <w:pPr>
              <w:ind w:left="140"/>
              <w:spacing w:after="0"/>
              <w:rPr>
                <w:sz w:val="20"/>
                <w:szCs w:val="20"/>
                <w:color w:val="auto"/>
              </w:rPr>
            </w:pPr>
            <w:r>
              <w:rPr>
                <w:rFonts w:ascii="Arial" w:cs="Arial" w:eastAsia="Arial" w:hAnsi="Arial"/>
                <w:sz w:val="16"/>
                <w:szCs w:val="16"/>
                <w:color w:val="auto"/>
              </w:rPr>
              <w:t>Utilities</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21"/>
              <w:spacing w:after="0"/>
              <w:rPr>
                <w:sz w:val="20"/>
                <w:szCs w:val="20"/>
                <w:color w:val="auto"/>
              </w:rPr>
            </w:pPr>
            <w:r>
              <w:rPr>
                <w:rFonts w:ascii="Arial" w:cs="Arial" w:eastAsia="Arial" w:hAnsi="Arial"/>
                <w:sz w:val="16"/>
                <w:szCs w:val="16"/>
                <w:color w:val="auto"/>
              </w:rPr>
              <w:t>3,211</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27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21"/>
              <w:spacing w:after="0"/>
              <w:rPr>
                <w:sz w:val="20"/>
                <w:szCs w:val="20"/>
                <w:color w:val="auto"/>
              </w:rPr>
            </w:pPr>
            <w:r>
              <w:rPr>
                <w:rFonts w:ascii="Arial" w:cs="Arial" w:eastAsia="Arial" w:hAnsi="Arial"/>
                <w:sz w:val="16"/>
                <w:szCs w:val="16"/>
                <w:color w:val="auto"/>
              </w:rPr>
              <w:t>3,457</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1"/>
              <w:spacing w:after="0"/>
              <w:rPr>
                <w:sz w:val="20"/>
                <w:szCs w:val="20"/>
                <w:color w:val="auto"/>
              </w:rPr>
            </w:pPr>
            <w:r>
              <w:rPr>
                <w:rFonts w:ascii="Arial" w:cs="Arial" w:eastAsia="Arial" w:hAnsi="Arial"/>
                <w:sz w:val="16"/>
                <w:szCs w:val="16"/>
                <w:color w:val="auto"/>
              </w:rPr>
              <w:t>26</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17"/>
        </w:trPr>
        <w:tc>
          <w:tcPr>
            <w:tcW w:w="3740" w:type="dxa"/>
            <w:vAlign w:val="bottom"/>
            <w:shd w:val="clear" w:color="auto" w:fill="D4F1F5"/>
          </w:tcPr>
          <w:p>
            <w:pPr>
              <w:ind w:left="140"/>
              <w:spacing w:after="0"/>
              <w:rPr>
                <w:sz w:val="20"/>
                <w:szCs w:val="20"/>
                <w:color w:val="auto"/>
              </w:rPr>
            </w:pPr>
            <w:r>
              <w:rPr>
                <w:rFonts w:ascii="Arial" w:cs="Arial" w:eastAsia="Arial" w:hAnsi="Arial"/>
                <w:sz w:val="16"/>
                <w:szCs w:val="16"/>
                <w:color w:val="auto"/>
              </w:rPr>
              <w:t>Energy-related businesses</w:t>
            </w:r>
          </w:p>
        </w:tc>
        <w:tc>
          <w:tcPr>
            <w:tcW w:w="180" w:type="dxa"/>
            <w:vAlign w:val="bottom"/>
            <w:tcBorders>
              <w:bottom w:val="single" w:sz="8" w:color="auto"/>
            </w:tcBorders>
            <w:shd w:val="clear" w:color="auto" w:fill="D4F1F5"/>
          </w:tcPr>
          <w:p>
            <w:pPr>
              <w:spacing w:after="0"/>
              <w:rPr>
                <w:sz w:val="18"/>
                <w:szCs w:val="18"/>
                <w:color w:val="auto"/>
              </w:rPr>
            </w:pPr>
          </w:p>
        </w:tc>
        <w:tc>
          <w:tcPr>
            <w:tcW w:w="960" w:type="dxa"/>
            <w:vAlign w:val="bottom"/>
            <w:tcBorders>
              <w:bottom w:val="single" w:sz="8" w:color="auto"/>
            </w:tcBorders>
            <w:shd w:val="clear" w:color="auto" w:fill="D4F1F5"/>
          </w:tcPr>
          <w:p>
            <w:pPr>
              <w:jc w:val="right"/>
              <w:ind w:right="21"/>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auto"/>
            </w:tcBorders>
            <w:shd w:val="clear" w:color="auto" w:fill="D4F1F5"/>
          </w:tcPr>
          <w:p>
            <w:pPr>
              <w:spacing w:after="0"/>
              <w:rPr>
                <w:sz w:val="18"/>
                <w:szCs w:val="18"/>
                <w:color w:val="auto"/>
              </w:rPr>
            </w:pPr>
          </w:p>
        </w:tc>
        <w:tc>
          <w:tcPr>
            <w:tcW w:w="980" w:type="dxa"/>
            <w:vAlign w:val="bottom"/>
            <w:tcBorders>
              <w:bottom w:val="single" w:sz="8" w:color="auto"/>
            </w:tcBorders>
            <w:shd w:val="clear" w:color="auto" w:fill="D4F1F5"/>
          </w:tcPr>
          <w:p>
            <w:pPr>
              <w:jc w:val="right"/>
              <w:spacing w:after="0"/>
              <w:rPr>
                <w:sz w:val="20"/>
                <w:szCs w:val="20"/>
                <w:color w:val="auto"/>
              </w:rPr>
            </w:pPr>
            <w:r>
              <w:rPr>
                <w:rFonts w:ascii="Arial" w:cs="Arial" w:eastAsia="Arial" w:hAnsi="Arial"/>
                <w:sz w:val="16"/>
                <w:szCs w:val="16"/>
                <w:color w:val="auto"/>
              </w:rPr>
              <w:t>190</w:t>
            </w:r>
          </w:p>
        </w:tc>
        <w:tc>
          <w:tcPr>
            <w:tcW w:w="100" w:type="dxa"/>
            <w:vAlign w:val="bottom"/>
            <w:shd w:val="clear" w:color="auto" w:fill="D4F1F5"/>
          </w:tcPr>
          <w:p>
            <w:pPr>
              <w:spacing w:after="0"/>
              <w:rPr>
                <w:sz w:val="18"/>
                <w:szCs w:val="18"/>
                <w:color w:val="auto"/>
              </w:rPr>
            </w:pPr>
          </w:p>
        </w:tc>
        <w:tc>
          <w:tcPr>
            <w:tcW w:w="140" w:type="dxa"/>
            <w:vAlign w:val="bottom"/>
            <w:shd w:val="clear" w:color="auto" w:fill="D4F1F5"/>
          </w:tcPr>
          <w:p>
            <w:pPr>
              <w:spacing w:after="0"/>
              <w:rPr>
                <w:sz w:val="18"/>
                <w:szCs w:val="18"/>
                <w:color w:val="auto"/>
              </w:rPr>
            </w:pPr>
          </w:p>
        </w:tc>
        <w:tc>
          <w:tcPr>
            <w:tcW w:w="980" w:type="dxa"/>
            <w:vAlign w:val="bottom"/>
            <w:shd w:val="clear" w:color="auto" w:fill="D4F1F5"/>
          </w:tcPr>
          <w:p>
            <w:pPr>
              <w:spacing w:after="0"/>
              <w:rPr>
                <w:sz w:val="18"/>
                <w:szCs w:val="18"/>
                <w:color w:val="auto"/>
              </w:rPr>
            </w:pPr>
          </w:p>
        </w:tc>
        <w:tc>
          <w:tcPr>
            <w:tcW w:w="80" w:type="dxa"/>
            <w:vAlign w:val="bottom"/>
            <w:shd w:val="clear" w:color="auto" w:fill="D4F1F5"/>
          </w:tcPr>
          <w:p>
            <w:pPr>
              <w:spacing w:after="0"/>
              <w:rPr>
                <w:sz w:val="18"/>
                <w:szCs w:val="18"/>
                <w:color w:val="auto"/>
              </w:rPr>
            </w:pPr>
          </w:p>
        </w:tc>
        <w:tc>
          <w:tcPr>
            <w:tcW w:w="180" w:type="dxa"/>
            <w:vAlign w:val="bottom"/>
            <w:tcBorders>
              <w:bottom w:val="single" w:sz="8" w:color="auto"/>
            </w:tcBorders>
            <w:shd w:val="clear" w:color="auto" w:fill="D4F1F5"/>
          </w:tcPr>
          <w:p>
            <w:pPr>
              <w:spacing w:after="0"/>
              <w:rPr>
                <w:sz w:val="18"/>
                <w:szCs w:val="18"/>
                <w:color w:val="auto"/>
              </w:rPr>
            </w:pPr>
          </w:p>
        </w:tc>
        <w:tc>
          <w:tcPr>
            <w:tcW w:w="980" w:type="dxa"/>
            <w:vAlign w:val="bottom"/>
            <w:tcBorders>
              <w:bottom w:val="single" w:sz="8" w:color="auto"/>
            </w:tcBorders>
            <w:shd w:val="clear" w:color="auto" w:fill="D4F1F5"/>
          </w:tcPr>
          <w:p>
            <w:pPr>
              <w:jc w:val="right"/>
              <w:ind w:right="21"/>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auto"/>
            </w:tcBorders>
            <w:shd w:val="clear" w:color="auto" w:fill="D4F1F5"/>
          </w:tcPr>
          <w:p>
            <w:pPr>
              <w:spacing w:after="0"/>
              <w:rPr>
                <w:sz w:val="18"/>
                <w:szCs w:val="18"/>
                <w:color w:val="auto"/>
              </w:rPr>
            </w:pPr>
          </w:p>
        </w:tc>
        <w:tc>
          <w:tcPr>
            <w:tcW w:w="1020" w:type="dxa"/>
            <w:vAlign w:val="bottom"/>
            <w:tcBorders>
              <w:bottom w:val="single" w:sz="8" w:color="auto"/>
            </w:tcBorders>
            <w:shd w:val="clear" w:color="auto" w:fill="D4F1F5"/>
          </w:tcPr>
          <w:p>
            <w:pPr>
              <w:jc w:val="right"/>
              <w:ind w:right="1"/>
              <w:spacing w:after="0"/>
              <w:rPr>
                <w:sz w:val="20"/>
                <w:szCs w:val="20"/>
                <w:color w:val="auto"/>
              </w:rPr>
            </w:pPr>
            <w:r>
              <w:rPr>
                <w:rFonts w:ascii="Arial" w:cs="Arial" w:eastAsia="Arial" w:hAnsi="Arial"/>
                <w:sz w:val="16"/>
                <w:szCs w:val="16"/>
                <w:color w:val="auto"/>
              </w:rPr>
              <w:t>198</w:t>
            </w:r>
          </w:p>
        </w:tc>
        <w:tc>
          <w:tcPr>
            <w:tcW w:w="80" w:type="dxa"/>
            <w:vAlign w:val="bottom"/>
            <w:shd w:val="clear" w:color="auto" w:fill="D4F1F5"/>
          </w:tcPr>
          <w:p>
            <w:pPr>
              <w:spacing w:after="0"/>
              <w:rPr>
                <w:sz w:val="18"/>
                <w:szCs w:val="18"/>
                <w:color w:val="auto"/>
              </w:rPr>
            </w:pPr>
          </w:p>
        </w:tc>
        <w:tc>
          <w:tcPr>
            <w:tcW w:w="220" w:type="dxa"/>
            <w:vAlign w:val="bottom"/>
            <w:shd w:val="clear" w:color="auto" w:fill="D4F1F5"/>
          </w:tcPr>
          <w:p>
            <w:pPr>
              <w:spacing w:after="0"/>
              <w:rPr>
                <w:sz w:val="18"/>
                <w:szCs w:val="18"/>
                <w:color w:val="auto"/>
              </w:rPr>
            </w:pPr>
          </w:p>
        </w:tc>
        <w:tc>
          <w:tcPr>
            <w:tcW w:w="900" w:type="dxa"/>
            <w:vAlign w:val="bottom"/>
            <w:shd w:val="clear" w:color="auto" w:fill="D4F1F5"/>
          </w:tcPr>
          <w:p>
            <w:pPr>
              <w:spacing w:after="0"/>
              <w:rPr>
                <w:sz w:val="18"/>
                <w:szCs w:val="18"/>
                <w:color w:val="auto"/>
              </w:rPr>
            </w:pPr>
          </w:p>
        </w:tc>
      </w:tr>
      <w:tr>
        <w:trPr>
          <w:trHeight w:val="209"/>
        </w:trPr>
        <w:tc>
          <w:tcPr>
            <w:tcW w:w="3740" w:type="dxa"/>
            <w:vAlign w:val="bottom"/>
            <w:tcBorders>
              <w:bottom w:val="single" w:sz="8" w:color="D4F1F5"/>
            </w:tcBorders>
          </w:tcPr>
          <w:p>
            <w:pPr>
              <w:ind w:left="240"/>
              <w:spacing w:after="0" w:line="210" w:lineRule="exact"/>
              <w:rPr>
                <w:sz w:val="20"/>
                <w:szCs w:val="20"/>
                <w:color w:val="auto"/>
              </w:rPr>
            </w:pPr>
            <w:r>
              <w:rPr>
                <w:rFonts w:ascii="Arial" w:cs="Arial" w:eastAsia="Arial" w:hAnsi="Arial"/>
                <w:sz w:val="16"/>
                <w:szCs w:val="16"/>
                <w:color w:val="auto"/>
              </w:rPr>
              <w:t>Total revenues from external customers</w:t>
            </w:r>
            <w:r>
              <w:rPr>
                <w:rFonts w:ascii="Arial" w:cs="Arial" w:eastAsia="Arial" w:hAnsi="Arial"/>
                <w:sz w:val="21"/>
                <w:szCs w:val="21"/>
                <w:color w:val="auto"/>
                <w:vertAlign w:val="superscript"/>
              </w:rPr>
              <w:t>(1)</w:t>
            </w:r>
          </w:p>
        </w:tc>
        <w:tc>
          <w:tcPr>
            <w:tcW w:w="1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3,211</w:t>
            </w:r>
          </w:p>
        </w:tc>
        <w:tc>
          <w:tcPr>
            <w:tcW w:w="2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217</w:t>
            </w:r>
          </w:p>
        </w:tc>
        <w:tc>
          <w:tcPr>
            <w:tcW w:w="100" w:type="dxa"/>
            <w:vAlign w:val="bottom"/>
            <w:tcBorders>
              <w:bottom w:val="single" w:sz="8" w:color="D4F1F5"/>
            </w:tcBorders>
          </w:tcPr>
          <w:p>
            <w:pPr>
              <w:spacing w:after="0"/>
              <w:rPr>
                <w:sz w:val="18"/>
                <w:szCs w:val="18"/>
                <w:color w:val="auto"/>
              </w:rPr>
            </w:pPr>
          </w:p>
        </w:tc>
        <w:tc>
          <w:tcPr>
            <w:tcW w:w="140" w:type="dxa"/>
            <w:vAlign w:val="bottom"/>
            <w:tcBorders>
              <w:bottom w:val="single" w:sz="8" w:color="D4F1F5"/>
            </w:tcBorders>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D4F1F5"/>
            </w:tcBorders>
          </w:tcPr>
          <w:p>
            <w:pPr>
              <w:jc w:val="right"/>
              <w:ind w:right="1"/>
              <w:spacing w:after="0"/>
              <w:rPr>
                <w:sz w:val="20"/>
                <w:szCs w:val="20"/>
                <w:color w:val="auto"/>
              </w:rPr>
            </w:pPr>
            <w:r>
              <w:rPr>
                <w:rFonts w:ascii="Arial" w:cs="Arial" w:eastAsia="Arial" w:hAnsi="Arial"/>
                <w:sz w:val="16"/>
                <w:szCs w:val="16"/>
                <w:color w:val="auto"/>
              </w:rPr>
              <w:t>3,428</w:t>
            </w:r>
          </w:p>
        </w:tc>
        <w:tc>
          <w:tcPr>
            <w:tcW w:w="80" w:type="dxa"/>
            <w:vAlign w:val="bottom"/>
            <w:tcBorders>
              <w:bottom w:val="single" w:sz="8" w:color="D4F1F5"/>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3,457</w:t>
            </w:r>
          </w:p>
        </w:tc>
        <w:tc>
          <w:tcPr>
            <w:tcW w:w="1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224</w:t>
            </w:r>
          </w:p>
        </w:tc>
        <w:tc>
          <w:tcPr>
            <w:tcW w:w="80" w:type="dxa"/>
            <w:vAlign w:val="bottom"/>
            <w:tcBorders>
              <w:bottom w:val="single" w:sz="8" w:color="D4F1F5"/>
            </w:tcBorders>
          </w:tcPr>
          <w:p>
            <w:pPr>
              <w:spacing w:after="0"/>
              <w:rPr>
                <w:sz w:val="18"/>
                <w:szCs w:val="18"/>
                <w:color w:val="auto"/>
              </w:rPr>
            </w:pPr>
          </w:p>
        </w:tc>
        <w:tc>
          <w:tcPr>
            <w:tcW w:w="220" w:type="dxa"/>
            <w:vAlign w:val="bottom"/>
            <w:tcBorders>
              <w:bottom w:val="single" w:sz="8" w:color="D4F1F5"/>
            </w:tcBorders>
          </w:tcPr>
          <w:p>
            <w:pPr>
              <w:jc w:val="right"/>
              <w:ind w:right="1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D4F1F5"/>
            </w:tcBorders>
          </w:tcPr>
          <w:p>
            <w:pPr>
              <w:jc w:val="right"/>
              <w:spacing w:after="0"/>
              <w:rPr>
                <w:sz w:val="20"/>
                <w:szCs w:val="20"/>
                <w:color w:val="auto"/>
              </w:rPr>
            </w:pPr>
            <w:r>
              <w:rPr>
                <w:rFonts w:ascii="Arial" w:cs="Arial" w:eastAsia="Arial" w:hAnsi="Arial"/>
                <w:sz w:val="16"/>
                <w:szCs w:val="16"/>
                <w:color w:val="auto"/>
              </w:rPr>
              <w:t>3,681</w:t>
            </w:r>
          </w:p>
        </w:tc>
      </w:tr>
      <w:tr>
        <w:trPr>
          <w:trHeight w:val="196"/>
        </w:trPr>
        <w:tc>
          <w:tcPr>
            <w:tcW w:w="3740" w:type="dxa"/>
            <w:vAlign w:val="bottom"/>
            <w:shd w:val="clear" w:color="auto" w:fill="D4F1F5"/>
          </w:tcPr>
          <w:p>
            <w:pPr>
              <w:ind w:left="20"/>
              <w:spacing w:after="0" w:line="196" w:lineRule="exact"/>
              <w:rPr>
                <w:sz w:val="20"/>
                <w:szCs w:val="20"/>
                <w:color w:val="auto"/>
              </w:rPr>
            </w:pPr>
            <w:r>
              <w:rPr>
                <w:rFonts w:ascii="Arial" w:cs="Arial" w:eastAsia="Arial" w:hAnsi="Arial"/>
                <w:sz w:val="16"/>
                <w:szCs w:val="16"/>
                <w:color w:val="auto"/>
              </w:rPr>
              <w:t>Other revenues</w:t>
            </w:r>
            <w:r>
              <w:rPr>
                <w:rFonts w:ascii="Arial" w:cs="Arial" w:eastAsia="Arial" w:hAnsi="Arial"/>
                <w:sz w:val="21"/>
                <w:szCs w:val="21"/>
                <w:color w:val="auto"/>
                <w:vertAlign w:val="superscript"/>
              </w:rPr>
              <w:t>(2)</w:t>
            </w:r>
            <w:r>
              <w:rPr>
                <w:rFonts w:ascii="Arial" w:cs="Arial" w:eastAsia="Arial" w:hAnsi="Arial"/>
                <w:sz w:val="16"/>
                <w:szCs w:val="16"/>
                <w:color w:val="auto"/>
              </w:rPr>
              <w:t>:</w:t>
            </w:r>
          </w:p>
        </w:tc>
        <w:tc>
          <w:tcPr>
            <w:tcW w:w="180" w:type="dxa"/>
            <w:vAlign w:val="bottom"/>
            <w:shd w:val="clear" w:color="auto" w:fill="D4F1F5"/>
          </w:tcPr>
          <w:p>
            <w:pPr>
              <w:spacing w:after="0"/>
              <w:rPr>
                <w:sz w:val="17"/>
                <w:szCs w:val="17"/>
                <w:color w:val="auto"/>
              </w:rPr>
            </w:pPr>
          </w:p>
        </w:tc>
        <w:tc>
          <w:tcPr>
            <w:tcW w:w="960" w:type="dxa"/>
            <w:vAlign w:val="bottom"/>
            <w:shd w:val="clear" w:color="auto" w:fill="D4F1F5"/>
          </w:tcPr>
          <w:p>
            <w:pPr>
              <w:spacing w:after="0"/>
              <w:rPr>
                <w:sz w:val="17"/>
                <w:szCs w:val="17"/>
                <w:color w:val="auto"/>
              </w:rPr>
            </w:pPr>
          </w:p>
        </w:tc>
        <w:tc>
          <w:tcPr>
            <w:tcW w:w="200" w:type="dxa"/>
            <w:vAlign w:val="bottom"/>
            <w:shd w:val="clear" w:color="auto" w:fill="D4F1F5"/>
          </w:tcPr>
          <w:p>
            <w:pPr>
              <w:spacing w:after="0"/>
              <w:rPr>
                <w:sz w:val="17"/>
                <w:szCs w:val="17"/>
                <w:color w:val="auto"/>
              </w:rPr>
            </w:pPr>
          </w:p>
        </w:tc>
        <w:tc>
          <w:tcPr>
            <w:tcW w:w="980" w:type="dxa"/>
            <w:vAlign w:val="bottom"/>
            <w:shd w:val="clear" w:color="auto" w:fill="D4F1F5"/>
          </w:tcPr>
          <w:p>
            <w:pPr>
              <w:spacing w:after="0"/>
              <w:rPr>
                <w:sz w:val="17"/>
                <w:szCs w:val="17"/>
                <w:color w:val="auto"/>
              </w:rPr>
            </w:pPr>
          </w:p>
        </w:tc>
        <w:tc>
          <w:tcPr>
            <w:tcW w:w="100" w:type="dxa"/>
            <w:vAlign w:val="bottom"/>
            <w:shd w:val="clear" w:color="auto" w:fill="D4F1F5"/>
          </w:tcPr>
          <w:p>
            <w:pPr>
              <w:spacing w:after="0"/>
              <w:rPr>
                <w:sz w:val="17"/>
                <w:szCs w:val="17"/>
                <w:color w:val="auto"/>
              </w:rPr>
            </w:pPr>
          </w:p>
        </w:tc>
        <w:tc>
          <w:tcPr>
            <w:tcW w:w="140" w:type="dxa"/>
            <w:vAlign w:val="bottom"/>
            <w:shd w:val="clear" w:color="auto" w:fill="D4F1F5"/>
          </w:tcPr>
          <w:p>
            <w:pPr>
              <w:spacing w:after="0"/>
              <w:rPr>
                <w:sz w:val="17"/>
                <w:szCs w:val="17"/>
                <w:color w:val="auto"/>
              </w:rPr>
            </w:pPr>
          </w:p>
        </w:tc>
        <w:tc>
          <w:tcPr>
            <w:tcW w:w="980" w:type="dxa"/>
            <w:vAlign w:val="bottom"/>
            <w:shd w:val="clear" w:color="auto" w:fill="D4F1F5"/>
          </w:tcPr>
          <w:p>
            <w:pPr>
              <w:spacing w:after="0"/>
              <w:rPr>
                <w:sz w:val="17"/>
                <w:szCs w:val="17"/>
                <w:color w:val="auto"/>
              </w:rPr>
            </w:pPr>
          </w:p>
        </w:tc>
        <w:tc>
          <w:tcPr>
            <w:tcW w:w="80" w:type="dxa"/>
            <w:vAlign w:val="bottom"/>
            <w:shd w:val="clear" w:color="auto" w:fill="D4F1F5"/>
          </w:tcPr>
          <w:p>
            <w:pPr>
              <w:spacing w:after="0"/>
              <w:rPr>
                <w:sz w:val="17"/>
                <w:szCs w:val="17"/>
                <w:color w:val="auto"/>
              </w:rPr>
            </w:pPr>
          </w:p>
        </w:tc>
        <w:tc>
          <w:tcPr>
            <w:tcW w:w="180" w:type="dxa"/>
            <w:vAlign w:val="bottom"/>
            <w:shd w:val="clear" w:color="auto" w:fill="D4F1F5"/>
          </w:tcPr>
          <w:p>
            <w:pPr>
              <w:spacing w:after="0"/>
              <w:rPr>
                <w:sz w:val="17"/>
                <w:szCs w:val="17"/>
                <w:color w:val="auto"/>
              </w:rPr>
            </w:pPr>
          </w:p>
        </w:tc>
        <w:tc>
          <w:tcPr>
            <w:tcW w:w="980" w:type="dxa"/>
            <w:vAlign w:val="bottom"/>
            <w:shd w:val="clear" w:color="auto" w:fill="D4F1F5"/>
          </w:tcPr>
          <w:p>
            <w:pPr>
              <w:spacing w:after="0"/>
              <w:rPr>
                <w:sz w:val="17"/>
                <w:szCs w:val="17"/>
                <w:color w:val="auto"/>
              </w:rPr>
            </w:pPr>
          </w:p>
        </w:tc>
        <w:tc>
          <w:tcPr>
            <w:tcW w:w="180" w:type="dxa"/>
            <w:vAlign w:val="bottom"/>
            <w:shd w:val="clear" w:color="auto" w:fill="D4F1F5"/>
          </w:tcPr>
          <w:p>
            <w:pPr>
              <w:spacing w:after="0"/>
              <w:rPr>
                <w:sz w:val="17"/>
                <w:szCs w:val="17"/>
                <w:color w:val="auto"/>
              </w:rPr>
            </w:pPr>
          </w:p>
        </w:tc>
        <w:tc>
          <w:tcPr>
            <w:tcW w:w="1020" w:type="dxa"/>
            <w:vAlign w:val="bottom"/>
            <w:shd w:val="clear" w:color="auto" w:fill="D4F1F5"/>
          </w:tcPr>
          <w:p>
            <w:pPr>
              <w:spacing w:after="0"/>
              <w:rPr>
                <w:sz w:val="17"/>
                <w:szCs w:val="17"/>
                <w:color w:val="auto"/>
              </w:rPr>
            </w:pPr>
          </w:p>
        </w:tc>
        <w:tc>
          <w:tcPr>
            <w:tcW w:w="80" w:type="dxa"/>
            <w:vAlign w:val="bottom"/>
            <w:shd w:val="clear" w:color="auto" w:fill="D4F1F5"/>
          </w:tcPr>
          <w:p>
            <w:pPr>
              <w:spacing w:after="0"/>
              <w:rPr>
                <w:sz w:val="17"/>
                <w:szCs w:val="17"/>
                <w:color w:val="auto"/>
              </w:rPr>
            </w:pPr>
          </w:p>
        </w:tc>
        <w:tc>
          <w:tcPr>
            <w:tcW w:w="220" w:type="dxa"/>
            <w:vAlign w:val="bottom"/>
            <w:shd w:val="clear" w:color="auto" w:fill="D4F1F5"/>
          </w:tcPr>
          <w:p>
            <w:pPr>
              <w:spacing w:after="0"/>
              <w:rPr>
                <w:sz w:val="17"/>
                <w:szCs w:val="17"/>
                <w:color w:val="auto"/>
              </w:rPr>
            </w:pPr>
          </w:p>
        </w:tc>
        <w:tc>
          <w:tcPr>
            <w:tcW w:w="900" w:type="dxa"/>
            <w:vAlign w:val="bottom"/>
            <w:shd w:val="clear" w:color="auto" w:fill="D4F1F5"/>
          </w:tcPr>
          <w:p>
            <w:pPr>
              <w:spacing w:after="0"/>
              <w:rPr>
                <w:sz w:val="17"/>
                <w:szCs w:val="17"/>
                <w:color w:val="auto"/>
              </w:rPr>
            </w:pPr>
          </w:p>
        </w:tc>
      </w:tr>
      <w:tr>
        <w:trPr>
          <w:trHeight w:val="215"/>
        </w:trPr>
        <w:tc>
          <w:tcPr>
            <w:tcW w:w="3740" w:type="dxa"/>
            <w:vAlign w:val="bottom"/>
          </w:tcPr>
          <w:p>
            <w:pPr>
              <w:ind w:left="140"/>
              <w:spacing w:after="0"/>
              <w:rPr>
                <w:sz w:val="20"/>
                <w:szCs w:val="20"/>
                <w:color w:val="auto"/>
              </w:rPr>
            </w:pPr>
            <w:r>
              <w:rPr>
                <w:rFonts w:ascii="Arial" w:cs="Arial" w:eastAsia="Arial" w:hAnsi="Arial"/>
                <w:sz w:val="16"/>
                <w:szCs w:val="16"/>
                <w:color w:val="auto"/>
              </w:rPr>
              <w:t>Utilities</w:t>
            </w:r>
          </w:p>
        </w:tc>
        <w:tc>
          <w:tcPr>
            <w:tcW w:w="180" w:type="dxa"/>
            <w:vAlign w:val="bottom"/>
          </w:tcPr>
          <w:p>
            <w:pPr>
              <w:spacing w:after="0"/>
              <w:rPr>
                <w:sz w:val="18"/>
                <w:szCs w:val="18"/>
                <w:color w:val="auto"/>
              </w:rPr>
            </w:pPr>
          </w:p>
        </w:tc>
        <w:tc>
          <w:tcPr>
            <w:tcW w:w="960" w:type="dxa"/>
            <w:vAlign w:val="bottom"/>
          </w:tcPr>
          <w:p>
            <w:pPr>
              <w:jc w:val="right"/>
              <w:ind w:right="21"/>
              <w:spacing w:after="0"/>
              <w:rPr>
                <w:sz w:val="20"/>
                <w:szCs w:val="20"/>
                <w:color w:val="auto"/>
              </w:rPr>
            </w:pPr>
            <w:r>
              <w:rPr>
                <w:rFonts w:ascii="Arial" w:cs="Arial" w:eastAsia="Arial" w:hAnsi="Arial"/>
                <w:sz w:val="16"/>
                <w:szCs w:val="16"/>
                <w:color w:val="auto"/>
              </w:rPr>
              <w:t>11</w:t>
            </w:r>
          </w:p>
        </w:tc>
        <w:tc>
          <w:tcPr>
            <w:tcW w:w="20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(62)</w:t>
            </w:r>
          </w:p>
        </w:tc>
        <w:tc>
          <w:tcPr>
            <w:tcW w:w="18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17"/>
        </w:trPr>
        <w:tc>
          <w:tcPr>
            <w:tcW w:w="3740" w:type="dxa"/>
            <w:vAlign w:val="bottom"/>
            <w:shd w:val="clear" w:color="auto" w:fill="D4F1F5"/>
          </w:tcPr>
          <w:p>
            <w:pPr>
              <w:ind w:left="140"/>
              <w:spacing w:after="0"/>
              <w:rPr>
                <w:sz w:val="20"/>
                <w:szCs w:val="20"/>
                <w:color w:val="auto"/>
              </w:rPr>
            </w:pPr>
            <w:r>
              <w:rPr>
                <w:rFonts w:ascii="Arial" w:cs="Arial" w:eastAsia="Arial" w:hAnsi="Arial"/>
                <w:sz w:val="16"/>
                <w:szCs w:val="16"/>
                <w:color w:val="auto"/>
              </w:rPr>
              <w:t>Energy-related businesses</w:t>
            </w:r>
          </w:p>
        </w:tc>
        <w:tc>
          <w:tcPr>
            <w:tcW w:w="180" w:type="dxa"/>
            <w:vAlign w:val="bottom"/>
            <w:tcBorders>
              <w:bottom w:val="single" w:sz="8" w:color="auto"/>
            </w:tcBorders>
            <w:shd w:val="clear" w:color="auto" w:fill="D4F1F5"/>
          </w:tcPr>
          <w:p>
            <w:pPr>
              <w:spacing w:after="0"/>
              <w:rPr>
                <w:sz w:val="18"/>
                <w:szCs w:val="18"/>
                <w:color w:val="auto"/>
              </w:rPr>
            </w:pPr>
          </w:p>
        </w:tc>
        <w:tc>
          <w:tcPr>
            <w:tcW w:w="960" w:type="dxa"/>
            <w:vAlign w:val="bottom"/>
            <w:tcBorders>
              <w:bottom w:val="single" w:sz="8" w:color="auto"/>
            </w:tcBorders>
            <w:shd w:val="clear" w:color="auto" w:fill="D4F1F5"/>
          </w:tcPr>
          <w:p>
            <w:pPr>
              <w:jc w:val="right"/>
              <w:ind w:right="21"/>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auto"/>
            </w:tcBorders>
            <w:shd w:val="clear" w:color="auto" w:fill="D4F1F5"/>
          </w:tcPr>
          <w:p>
            <w:pPr>
              <w:spacing w:after="0"/>
              <w:rPr>
                <w:sz w:val="18"/>
                <w:szCs w:val="18"/>
                <w:color w:val="auto"/>
              </w:rPr>
            </w:pPr>
          </w:p>
        </w:tc>
        <w:tc>
          <w:tcPr>
            <w:tcW w:w="980" w:type="dxa"/>
            <w:vAlign w:val="bottom"/>
            <w:tcBorders>
              <w:bottom w:val="single" w:sz="8" w:color="auto"/>
            </w:tcBorders>
            <w:shd w:val="clear" w:color="auto" w:fill="D4F1F5"/>
          </w:tcPr>
          <w:p>
            <w:pPr>
              <w:jc w:val="right"/>
              <w:spacing w:after="0"/>
              <w:rPr>
                <w:sz w:val="20"/>
                <w:szCs w:val="20"/>
                <w:color w:val="auto"/>
              </w:rPr>
            </w:pPr>
            <w:r>
              <w:rPr>
                <w:rFonts w:ascii="Arial" w:cs="Arial" w:eastAsia="Arial" w:hAnsi="Arial"/>
                <w:sz w:val="16"/>
                <w:szCs w:val="16"/>
                <w:color w:val="auto"/>
              </w:rPr>
              <w:t>216</w:t>
            </w:r>
          </w:p>
        </w:tc>
        <w:tc>
          <w:tcPr>
            <w:tcW w:w="100" w:type="dxa"/>
            <w:vAlign w:val="bottom"/>
            <w:shd w:val="clear" w:color="auto" w:fill="D4F1F5"/>
          </w:tcPr>
          <w:p>
            <w:pPr>
              <w:spacing w:after="0"/>
              <w:rPr>
                <w:sz w:val="18"/>
                <w:szCs w:val="18"/>
                <w:color w:val="auto"/>
              </w:rPr>
            </w:pPr>
          </w:p>
        </w:tc>
        <w:tc>
          <w:tcPr>
            <w:tcW w:w="140" w:type="dxa"/>
            <w:vAlign w:val="bottom"/>
            <w:shd w:val="clear" w:color="auto" w:fill="D4F1F5"/>
          </w:tcPr>
          <w:p>
            <w:pPr>
              <w:spacing w:after="0"/>
              <w:rPr>
                <w:sz w:val="18"/>
                <w:szCs w:val="18"/>
                <w:color w:val="auto"/>
              </w:rPr>
            </w:pPr>
          </w:p>
        </w:tc>
        <w:tc>
          <w:tcPr>
            <w:tcW w:w="980" w:type="dxa"/>
            <w:vAlign w:val="bottom"/>
            <w:shd w:val="clear" w:color="auto" w:fill="D4F1F5"/>
          </w:tcPr>
          <w:p>
            <w:pPr>
              <w:spacing w:after="0"/>
              <w:rPr>
                <w:sz w:val="18"/>
                <w:szCs w:val="18"/>
                <w:color w:val="auto"/>
              </w:rPr>
            </w:pPr>
          </w:p>
        </w:tc>
        <w:tc>
          <w:tcPr>
            <w:tcW w:w="80" w:type="dxa"/>
            <w:vAlign w:val="bottom"/>
            <w:shd w:val="clear" w:color="auto" w:fill="D4F1F5"/>
          </w:tcPr>
          <w:p>
            <w:pPr>
              <w:spacing w:after="0"/>
              <w:rPr>
                <w:sz w:val="18"/>
                <w:szCs w:val="18"/>
                <w:color w:val="auto"/>
              </w:rPr>
            </w:pPr>
          </w:p>
        </w:tc>
        <w:tc>
          <w:tcPr>
            <w:tcW w:w="180" w:type="dxa"/>
            <w:vAlign w:val="bottom"/>
            <w:tcBorders>
              <w:bottom w:val="single" w:sz="8" w:color="auto"/>
            </w:tcBorders>
            <w:shd w:val="clear" w:color="auto" w:fill="D4F1F5"/>
          </w:tcPr>
          <w:p>
            <w:pPr>
              <w:spacing w:after="0"/>
              <w:rPr>
                <w:sz w:val="18"/>
                <w:szCs w:val="18"/>
                <w:color w:val="auto"/>
              </w:rPr>
            </w:pPr>
          </w:p>
        </w:tc>
        <w:tc>
          <w:tcPr>
            <w:tcW w:w="980" w:type="dxa"/>
            <w:vAlign w:val="bottom"/>
            <w:tcBorders>
              <w:bottom w:val="single" w:sz="8" w:color="auto"/>
            </w:tcBorders>
            <w:shd w:val="clear" w:color="auto" w:fill="D4F1F5"/>
          </w:tcPr>
          <w:p>
            <w:pPr>
              <w:jc w:val="right"/>
              <w:ind w:right="21"/>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auto"/>
            </w:tcBorders>
            <w:shd w:val="clear" w:color="auto" w:fill="D4F1F5"/>
          </w:tcPr>
          <w:p>
            <w:pPr>
              <w:spacing w:after="0"/>
              <w:rPr>
                <w:sz w:val="18"/>
                <w:szCs w:val="18"/>
                <w:color w:val="auto"/>
              </w:rPr>
            </w:pPr>
          </w:p>
        </w:tc>
        <w:tc>
          <w:tcPr>
            <w:tcW w:w="1020" w:type="dxa"/>
            <w:vAlign w:val="bottom"/>
            <w:tcBorders>
              <w:bottom w:val="single" w:sz="8" w:color="auto"/>
            </w:tcBorders>
            <w:shd w:val="clear" w:color="auto" w:fill="D4F1F5"/>
          </w:tcPr>
          <w:p>
            <w:pPr>
              <w:jc w:val="right"/>
              <w:ind w:right="1"/>
              <w:spacing w:after="0"/>
              <w:rPr>
                <w:sz w:val="20"/>
                <w:szCs w:val="20"/>
                <w:color w:val="auto"/>
              </w:rPr>
            </w:pPr>
            <w:r>
              <w:rPr>
                <w:rFonts w:ascii="Arial" w:cs="Arial" w:eastAsia="Arial" w:hAnsi="Arial"/>
                <w:sz w:val="16"/>
                <w:szCs w:val="16"/>
                <w:color w:val="auto"/>
              </w:rPr>
              <w:t>183</w:t>
            </w:r>
          </w:p>
        </w:tc>
        <w:tc>
          <w:tcPr>
            <w:tcW w:w="80" w:type="dxa"/>
            <w:vAlign w:val="bottom"/>
            <w:shd w:val="clear" w:color="auto" w:fill="D4F1F5"/>
          </w:tcPr>
          <w:p>
            <w:pPr>
              <w:spacing w:after="0"/>
              <w:rPr>
                <w:sz w:val="18"/>
                <w:szCs w:val="18"/>
                <w:color w:val="auto"/>
              </w:rPr>
            </w:pPr>
          </w:p>
        </w:tc>
        <w:tc>
          <w:tcPr>
            <w:tcW w:w="220" w:type="dxa"/>
            <w:vAlign w:val="bottom"/>
            <w:shd w:val="clear" w:color="auto" w:fill="D4F1F5"/>
          </w:tcPr>
          <w:p>
            <w:pPr>
              <w:spacing w:after="0"/>
              <w:rPr>
                <w:sz w:val="18"/>
                <w:szCs w:val="18"/>
                <w:color w:val="auto"/>
              </w:rPr>
            </w:pPr>
          </w:p>
        </w:tc>
        <w:tc>
          <w:tcPr>
            <w:tcW w:w="900" w:type="dxa"/>
            <w:vAlign w:val="bottom"/>
            <w:shd w:val="clear" w:color="auto" w:fill="D4F1F5"/>
          </w:tcPr>
          <w:p>
            <w:pPr>
              <w:spacing w:after="0"/>
              <w:rPr>
                <w:sz w:val="18"/>
                <w:szCs w:val="18"/>
                <w:color w:val="auto"/>
              </w:rPr>
            </w:pPr>
          </w:p>
        </w:tc>
      </w:tr>
      <w:tr>
        <w:trPr>
          <w:trHeight w:val="209"/>
        </w:trPr>
        <w:tc>
          <w:tcPr>
            <w:tcW w:w="3740" w:type="dxa"/>
            <w:vAlign w:val="bottom"/>
            <w:tcBorders>
              <w:bottom w:val="single" w:sz="8" w:color="D4F1F5"/>
            </w:tcBorders>
          </w:tcPr>
          <w:p>
            <w:pPr>
              <w:ind w:left="240"/>
              <w:spacing w:after="0"/>
              <w:rPr>
                <w:sz w:val="20"/>
                <w:szCs w:val="20"/>
                <w:color w:val="auto"/>
              </w:rPr>
            </w:pPr>
            <w:r>
              <w:rPr>
                <w:rFonts w:ascii="Arial" w:cs="Arial" w:eastAsia="Arial" w:hAnsi="Arial"/>
                <w:sz w:val="16"/>
                <w:szCs w:val="16"/>
                <w:color w:val="auto"/>
              </w:rPr>
              <w:t>Total other revenues</w:t>
            </w:r>
          </w:p>
        </w:tc>
        <w:tc>
          <w:tcPr>
            <w:tcW w:w="1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11</w:t>
            </w:r>
          </w:p>
        </w:tc>
        <w:tc>
          <w:tcPr>
            <w:tcW w:w="2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216</w:t>
            </w:r>
          </w:p>
        </w:tc>
        <w:tc>
          <w:tcPr>
            <w:tcW w:w="100" w:type="dxa"/>
            <w:vAlign w:val="bottom"/>
            <w:tcBorders>
              <w:bottom w:val="single" w:sz="8" w:color="D4F1F5"/>
            </w:tcBorders>
          </w:tcPr>
          <w:p>
            <w:pPr>
              <w:spacing w:after="0"/>
              <w:rPr>
                <w:sz w:val="18"/>
                <w:szCs w:val="18"/>
                <w:color w:val="auto"/>
              </w:rPr>
            </w:pPr>
          </w:p>
        </w:tc>
        <w:tc>
          <w:tcPr>
            <w:tcW w:w="140" w:type="dxa"/>
            <w:vAlign w:val="bottom"/>
            <w:tcBorders>
              <w:bottom w:val="single" w:sz="8" w:color="D4F1F5"/>
            </w:tcBorders>
          </w:tcPr>
          <w:p>
            <w:pPr>
              <w:spacing w:after="0"/>
              <w:rPr>
                <w:sz w:val="18"/>
                <w:szCs w:val="18"/>
                <w:color w:val="auto"/>
              </w:rPr>
            </w:pPr>
          </w:p>
        </w:tc>
        <w:tc>
          <w:tcPr>
            <w:tcW w:w="980" w:type="dxa"/>
            <w:vAlign w:val="bottom"/>
            <w:tcBorders>
              <w:bottom w:val="single" w:sz="8" w:color="D4F1F5"/>
            </w:tcBorders>
          </w:tcPr>
          <w:p>
            <w:pPr>
              <w:jc w:val="right"/>
              <w:ind w:right="1"/>
              <w:spacing w:after="0"/>
              <w:rPr>
                <w:sz w:val="20"/>
                <w:szCs w:val="20"/>
                <w:color w:val="auto"/>
              </w:rPr>
            </w:pPr>
            <w:r>
              <w:rPr>
                <w:rFonts w:ascii="Arial" w:cs="Arial" w:eastAsia="Arial" w:hAnsi="Arial"/>
                <w:sz w:val="16"/>
                <w:szCs w:val="16"/>
                <w:color w:val="auto"/>
              </w:rPr>
              <w:t>227</w:t>
            </w:r>
          </w:p>
        </w:tc>
        <w:tc>
          <w:tcPr>
            <w:tcW w:w="80" w:type="dxa"/>
            <w:vAlign w:val="bottom"/>
            <w:tcBorders>
              <w:bottom w:val="single" w:sz="8" w:color="D4F1F5"/>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(62)</w:t>
            </w:r>
          </w:p>
        </w:tc>
        <w:tc>
          <w:tcPr>
            <w:tcW w:w="1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183</w:t>
            </w:r>
          </w:p>
        </w:tc>
        <w:tc>
          <w:tcPr>
            <w:tcW w:w="80" w:type="dxa"/>
            <w:vAlign w:val="bottom"/>
            <w:tcBorders>
              <w:bottom w:val="single" w:sz="8" w:color="D4F1F5"/>
            </w:tcBorders>
          </w:tcPr>
          <w:p>
            <w:pPr>
              <w:spacing w:after="0"/>
              <w:rPr>
                <w:sz w:val="18"/>
                <w:szCs w:val="18"/>
                <w:color w:val="auto"/>
              </w:rPr>
            </w:pPr>
          </w:p>
        </w:tc>
        <w:tc>
          <w:tcPr>
            <w:tcW w:w="220" w:type="dxa"/>
            <w:vAlign w:val="bottom"/>
            <w:tcBorders>
              <w:bottom w:val="single" w:sz="8" w:color="D4F1F5"/>
            </w:tcBorders>
          </w:tcPr>
          <w:p>
            <w:pPr>
              <w:spacing w:after="0"/>
              <w:rPr>
                <w:sz w:val="18"/>
                <w:szCs w:val="18"/>
                <w:color w:val="auto"/>
              </w:rPr>
            </w:pPr>
          </w:p>
        </w:tc>
        <w:tc>
          <w:tcPr>
            <w:tcW w:w="900" w:type="dxa"/>
            <w:vAlign w:val="bottom"/>
            <w:tcBorders>
              <w:bottom w:val="single" w:sz="8" w:color="D4F1F5"/>
            </w:tcBorders>
          </w:tcPr>
          <w:p>
            <w:pPr>
              <w:jc w:val="right"/>
              <w:spacing w:after="0"/>
              <w:rPr>
                <w:sz w:val="20"/>
                <w:szCs w:val="20"/>
                <w:color w:val="auto"/>
              </w:rPr>
            </w:pPr>
            <w:r>
              <w:rPr>
                <w:rFonts w:ascii="Arial" w:cs="Arial" w:eastAsia="Arial" w:hAnsi="Arial"/>
                <w:sz w:val="16"/>
                <w:szCs w:val="16"/>
                <w:color w:val="auto"/>
              </w:rPr>
              <w:t>121</w:t>
            </w:r>
          </w:p>
        </w:tc>
      </w:tr>
      <w:tr>
        <w:trPr>
          <w:trHeight w:val="197"/>
        </w:trPr>
        <w:tc>
          <w:tcPr>
            <w:tcW w:w="3740" w:type="dxa"/>
            <w:vAlign w:val="bottom"/>
            <w:shd w:val="clear" w:color="auto" w:fill="D4F1F5"/>
          </w:tcPr>
          <w:p>
            <w:pPr>
              <w:ind w:left="20"/>
              <w:spacing w:after="0" w:line="197" w:lineRule="exact"/>
              <w:rPr>
                <w:sz w:val="20"/>
                <w:szCs w:val="20"/>
                <w:color w:val="auto"/>
              </w:rPr>
            </w:pPr>
            <w:r>
              <w:rPr>
                <w:rFonts w:ascii="Arial" w:cs="Arial" w:eastAsia="Arial" w:hAnsi="Arial"/>
                <w:sz w:val="16"/>
                <w:szCs w:val="16"/>
                <w:color w:val="auto"/>
              </w:rPr>
              <w:t>Intersegment revenues</w:t>
            </w:r>
            <w:r>
              <w:rPr>
                <w:rFonts w:ascii="Arial" w:cs="Arial" w:eastAsia="Arial" w:hAnsi="Arial"/>
                <w:sz w:val="21"/>
                <w:szCs w:val="21"/>
                <w:color w:val="auto"/>
                <w:vertAlign w:val="superscript"/>
              </w:rPr>
              <w:t>(3)</w:t>
            </w:r>
            <w:r>
              <w:rPr>
                <w:rFonts w:ascii="Arial" w:cs="Arial" w:eastAsia="Arial" w:hAnsi="Arial"/>
                <w:sz w:val="16"/>
                <w:szCs w:val="16"/>
                <w:color w:val="auto"/>
              </w:rPr>
              <w:t>:</w:t>
            </w:r>
          </w:p>
        </w:tc>
        <w:tc>
          <w:tcPr>
            <w:tcW w:w="180" w:type="dxa"/>
            <w:vAlign w:val="bottom"/>
            <w:shd w:val="clear" w:color="auto" w:fill="D4F1F5"/>
          </w:tcPr>
          <w:p>
            <w:pPr>
              <w:spacing w:after="0"/>
              <w:rPr>
                <w:sz w:val="17"/>
                <w:szCs w:val="17"/>
                <w:color w:val="auto"/>
              </w:rPr>
            </w:pPr>
          </w:p>
        </w:tc>
        <w:tc>
          <w:tcPr>
            <w:tcW w:w="960" w:type="dxa"/>
            <w:vAlign w:val="bottom"/>
            <w:shd w:val="clear" w:color="auto" w:fill="D4F1F5"/>
          </w:tcPr>
          <w:p>
            <w:pPr>
              <w:spacing w:after="0"/>
              <w:rPr>
                <w:sz w:val="17"/>
                <w:szCs w:val="17"/>
                <w:color w:val="auto"/>
              </w:rPr>
            </w:pPr>
          </w:p>
        </w:tc>
        <w:tc>
          <w:tcPr>
            <w:tcW w:w="200" w:type="dxa"/>
            <w:vAlign w:val="bottom"/>
            <w:shd w:val="clear" w:color="auto" w:fill="D4F1F5"/>
          </w:tcPr>
          <w:p>
            <w:pPr>
              <w:spacing w:after="0"/>
              <w:rPr>
                <w:sz w:val="17"/>
                <w:szCs w:val="17"/>
                <w:color w:val="auto"/>
              </w:rPr>
            </w:pPr>
          </w:p>
        </w:tc>
        <w:tc>
          <w:tcPr>
            <w:tcW w:w="980" w:type="dxa"/>
            <w:vAlign w:val="bottom"/>
            <w:shd w:val="clear" w:color="auto" w:fill="D4F1F5"/>
          </w:tcPr>
          <w:p>
            <w:pPr>
              <w:spacing w:after="0"/>
              <w:rPr>
                <w:sz w:val="17"/>
                <w:szCs w:val="17"/>
                <w:color w:val="auto"/>
              </w:rPr>
            </w:pPr>
          </w:p>
        </w:tc>
        <w:tc>
          <w:tcPr>
            <w:tcW w:w="100" w:type="dxa"/>
            <w:vAlign w:val="bottom"/>
            <w:shd w:val="clear" w:color="auto" w:fill="D4F1F5"/>
          </w:tcPr>
          <w:p>
            <w:pPr>
              <w:spacing w:after="0"/>
              <w:rPr>
                <w:sz w:val="17"/>
                <w:szCs w:val="17"/>
                <w:color w:val="auto"/>
              </w:rPr>
            </w:pPr>
          </w:p>
        </w:tc>
        <w:tc>
          <w:tcPr>
            <w:tcW w:w="140" w:type="dxa"/>
            <w:vAlign w:val="bottom"/>
            <w:shd w:val="clear" w:color="auto" w:fill="D4F1F5"/>
          </w:tcPr>
          <w:p>
            <w:pPr>
              <w:spacing w:after="0"/>
              <w:rPr>
                <w:sz w:val="17"/>
                <w:szCs w:val="17"/>
                <w:color w:val="auto"/>
              </w:rPr>
            </w:pPr>
          </w:p>
        </w:tc>
        <w:tc>
          <w:tcPr>
            <w:tcW w:w="980" w:type="dxa"/>
            <w:vAlign w:val="bottom"/>
            <w:shd w:val="clear" w:color="auto" w:fill="D4F1F5"/>
          </w:tcPr>
          <w:p>
            <w:pPr>
              <w:spacing w:after="0"/>
              <w:rPr>
                <w:sz w:val="17"/>
                <w:szCs w:val="17"/>
                <w:color w:val="auto"/>
              </w:rPr>
            </w:pPr>
          </w:p>
        </w:tc>
        <w:tc>
          <w:tcPr>
            <w:tcW w:w="80" w:type="dxa"/>
            <w:vAlign w:val="bottom"/>
            <w:shd w:val="clear" w:color="auto" w:fill="D4F1F5"/>
          </w:tcPr>
          <w:p>
            <w:pPr>
              <w:spacing w:after="0"/>
              <w:rPr>
                <w:sz w:val="17"/>
                <w:szCs w:val="17"/>
                <w:color w:val="auto"/>
              </w:rPr>
            </w:pPr>
          </w:p>
        </w:tc>
        <w:tc>
          <w:tcPr>
            <w:tcW w:w="180" w:type="dxa"/>
            <w:vAlign w:val="bottom"/>
            <w:shd w:val="clear" w:color="auto" w:fill="D4F1F5"/>
          </w:tcPr>
          <w:p>
            <w:pPr>
              <w:spacing w:after="0"/>
              <w:rPr>
                <w:sz w:val="17"/>
                <w:szCs w:val="17"/>
                <w:color w:val="auto"/>
              </w:rPr>
            </w:pPr>
          </w:p>
        </w:tc>
        <w:tc>
          <w:tcPr>
            <w:tcW w:w="980" w:type="dxa"/>
            <w:vAlign w:val="bottom"/>
            <w:shd w:val="clear" w:color="auto" w:fill="D4F1F5"/>
          </w:tcPr>
          <w:p>
            <w:pPr>
              <w:spacing w:after="0"/>
              <w:rPr>
                <w:sz w:val="17"/>
                <w:szCs w:val="17"/>
                <w:color w:val="auto"/>
              </w:rPr>
            </w:pPr>
          </w:p>
        </w:tc>
        <w:tc>
          <w:tcPr>
            <w:tcW w:w="180" w:type="dxa"/>
            <w:vAlign w:val="bottom"/>
            <w:shd w:val="clear" w:color="auto" w:fill="D4F1F5"/>
          </w:tcPr>
          <w:p>
            <w:pPr>
              <w:spacing w:after="0"/>
              <w:rPr>
                <w:sz w:val="17"/>
                <w:szCs w:val="17"/>
                <w:color w:val="auto"/>
              </w:rPr>
            </w:pPr>
          </w:p>
        </w:tc>
        <w:tc>
          <w:tcPr>
            <w:tcW w:w="1020" w:type="dxa"/>
            <w:vAlign w:val="bottom"/>
            <w:shd w:val="clear" w:color="auto" w:fill="D4F1F5"/>
          </w:tcPr>
          <w:p>
            <w:pPr>
              <w:spacing w:after="0"/>
              <w:rPr>
                <w:sz w:val="17"/>
                <w:szCs w:val="17"/>
                <w:color w:val="auto"/>
              </w:rPr>
            </w:pPr>
          </w:p>
        </w:tc>
        <w:tc>
          <w:tcPr>
            <w:tcW w:w="80" w:type="dxa"/>
            <w:vAlign w:val="bottom"/>
            <w:shd w:val="clear" w:color="auto" w:fill="D4F1F5"/>
          </w:tcPr>
          <w:p>
            <w:pPr>
              <w:spacing w:after="0"/>
              <w:rPr>
                <w:sz w:val="17"/>
                <w:szCs w:val="17"/>
                <w:color w:val="auto"/>
              </w:rPr>
            </w:pPr>
          </w:p>
        </w:tc>
        <w:tc>
          <w:tcPr>
            <w:tcW w:w="220" w:type="dxa"/>
            <w:vAlign w:val="bottom"/>
            <w:shd w:val="clear" w:color="auto" w:fill="D4F1F5"/>
          </w:tcPr>
          <w:p>
            <w:pPr>
              <w:spacing w:after="0"/>
              <w:rPr>
                <w:sz w:val="17"/>
                <w:szCs w:val="17"/>
                <w:color w:val="auto"/>
              </w:rPr>
            </w:pPr>
          </w:p>
        </w:tc>
        <w:tc>
          <w:tcPr>
            <w:tcW w:w="900" w:type="dxa"/>
            <w:vAlign w:val="bottom"/>
            <w:shd w:val="clear" w:color="auto" w:fill="D4F1F5"/>
          </w:tcPr>
          <w:p>
            <w:pPr>
              <w:spacing w:after="0"/>
              <w:rPr>
                <w:sz w:val="17"/>
                <w:szCs w:val="17"/>
                <w:color w:val="auto"/>
              </w:rPr>
            </w:pPr>
          </w:p>
        </w:tc>
      </w:tr>
      <w:tr>
        <w:trPr>
          <w:trHeight w:val="215"/>
        </w:trPr>
        <w:tc>
          <w:tcPr>
            <w:tcW w:w="3740" w:type="dxa"/>
            <w:vAlign w:val="bottom"/>
          </w:tcPr>
          <w:p>
            <w:pPr>
              <w:ind w:left="140"/>
              <w:spacing w:after="0"/>
              <w:rPr>
                <w:sz w:val="20"/>
                <w:szCs w:val="20"/>
                <w:color w:val="auto"/>
              </w:rPr>
            </w:pPr>
            <w:r>
              <w:rPr>
                <w:rFonts w:ascii="Arial" w:cs="Arial" w:eastAsia="Arial" w:hAnsi="Arial"/>
                <w:sz w:val="16"/>
                <w:szCs w:val="16"/>
                <w:color w:val="auto"/>
              </w:rPr>
              <w:t>Utilities</w:t>
            </w:r>
          </w:p>
        </w:tc>
        <w:tc>
          <w:tcPr>
            <w:tcW w:w="180" w:type="dxa"/>
            <w:vAlign w:val="bottom"/>
          </w:tcPr>
          <w:p>
            <w:pPr>
              <w:spacing w:after="0"/>
              <w:rPr>
                <w:sz w:val="18"/>
                <w:szCs w:val="18"/>
                <w:color w:val="auto"/>
              </w:rPr>
            </w:pPr>
          </w:p>
        </w:tc>
        <w:tc>
          <w:tcPr>
            <w:tcW w:w="960" w:type="dxa"/>
            <w:vAlign w:val="bottom"/>
          </w:tcPr>
          <w:p>
            <w:pPr>
              <w:jc w:val="right"/>
              <w:ind w:right="21"/>
              <w:spacing w:after="0"/>
              <w:rPr>
                <w:sz w:val="20"/>
                <w:szCs w:val="20"/>
                <w:color w:val="auto"/>
              </w:rPr>
            </w:pPr>
            <w:r>
              <w:rPr>
                <w:rFonts w:ascii="Arial" w:cs="Arial" w:eastAsia="Arial" w:hAnsi="Arial"/>
                <w:sz w:val="16"/>
                <w:szCs w:val="16"/>
                <w:color w:val="auto"/>
              </w:rPr>
              <w:t>9</w:t>
            </w:r>
          </w:p>
        </w:tc>
        <w:tc>
          <w:tcPr>
            <w:tcW w:w="20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ind w:right="21"/>
              <w:spacing w:after="0"/>
              <w:rPr>
                <w:sz w:val="20"/>
                <w:szCs w:val="20"/>
                <w:color w:val="auto"/>
              </w:rPr>
            </w:pPr>
            <w:r>
              <w:rPr>
                <w:rFonts w:ascii="Arial" w:cs="Arial" w:eastAsia="Arial" w:hAnsi="Arial"/>
                <w:sz w:val="16"/>
                <w:szCs w:val="16"/>
                <w:color w:val="auto"/>
              </w:rPr>
              <w:t>6</w:t>
            </w:r>
          </w:p>
        </w:tc>
        <w:tc>
          <w:tcPr>
            <w:tcW w:w="18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17"/>
        </w:trPr>
        <w:tc>
          <w:tcPr>
            <w:tcW w:w="3740" w:type="dxa"/>
            <w:vAlign w:val="bottom"/>
            <w:shd w:val="clear" w:color="auto" w:fill="D4F1F5"/>
          </w:tcPr>
          <w:p>
            <w:pPr>
              <w:ind w:left="140"/>
              <w:spacing w:after="0"/>
              <w:rPr>
                <w:sz w:val="20"/>
                <w:szCs w:val="20"/>
                <w:color w:val="auto"/>
              </w:rPr>
            </w:pPr>
            <w:r>
              <w:rPr>
                <w:rFonts w:ascii="Arial" w:cs="Arial" w:eastAsia="Arial" w:hAnsi="Arial"/>
                <w:sz w:val="16"/>
                <w:szCs w:val="16"/>
                <w:color w:val="auto"/>
              </w:rPr>
              <w:t>Energy-related businesses</w:t>
            </w:r>
          </w:p>
        </w:tc>
        <w:tc>
          <w:tcPr>
            <w:tcW w:w="180" w:type="dxa"/>
            <w:vAlign w:val="bottom"/>
            <w:tcBorders>
              <w:bottom w:val="single" w:sz="8" w:color="auto"/>
            </w:tcBorders>
            <w:shd w:val="clear" w:color="auto" w:fill="D4F1F5"/>
          </w:tcPr>
          <w:p>
            <w:pPr>
              <w:spacing w:after="0"/>
              <w:rPr>
                <w:sz w:val="18"/>
                <w:szCs w:val="18"/>
                <w:color w:val="auto"/>
              </w:rPr>
            </w:pPr>
          </w:p>
        </w:tc>
        <w:tc>
          <w:tcPr>
            <w:tcW w:w="960" w:type="dxa"/>
            <w:vAlign w:val="bottom"/>
            <w:tcBorders>
              <w:bottom w:val="single" w:sz="8" w:color="auto"/>
            </w:tcBorders>
            <w:shd w:val="clear" w:color="auto" w:fill="D4F1F5"/>
          </w:tcPr>
          <w:p>
            <w:pPr>
              <w:jc w:val="right"/>
              <w:ind w:right="21"/>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auto"/>
            </w:tcBorders>
            <w:shd w:val="clear" w:color="auto" w:fill="D4F1F5"/>
          </w:tcPr>
          <w:p>
            <w:pPr>
              <w:spacing w:after="0"/>
              <w:rPr>
                <w:sz w:val="18"/>
                <w:szCs w:val="18"/>
                <w:color w:val="auto"/>
              </w:rPr>
            </w:pPr>
          </w:p>
        </w:tc>
        <w:tc>
          <w:tcPr>
            <w:tcW w:w="980" w:type="dxa"/>
            <w:vAlign w:val="bottom"/>
            <w:tcBorders>
              <w:bottom w:val="single" w:sz="8" w:color="auto"/>
            </w:tcBorders>
            <w:shd w:val="clear" w:color="auto" w:fill="D4F1F5"/>
          </w:tcPr>
          <w:p>
            <w:pPr>
              <w:jc w:val="right"/>
              <w:spacing w:after="0"/>
              <w:rPr>
                <w:sz w:val="20"/>
                <w:szCs w:val="20"/>
                <w:color w:val="auto"/>
              </w:rPr>
            </w:pPr>
            <w:r>
              <w:rPr>
                <w:rFonts w:ascii="Arial" w:cs="Arial" w:eastAsia="Arial" w:hAnsi="Arial"/>
                <w:sz w:val="16"/>
                <w:szCs w:val="16"/>
                <w:color w:val="auto"/>
              </w:rPr>
              <w:t>10</w:t>
            </w:r>
          </w:p>
        </w:tc>
        <w:tc>
          <w:tcPr>
            <w:tcW w:w="100" w:type="dxa"/>
            <w:vAlign w:val="bottom"/>
            <w:shd w:val="clear" w:color="auto" w:fill="D4F1F5"/>
          </w:tcPr>
          <w:p>
            <w:pPr>
              <w:spacing w:after="0"/>
              <w:rPr>
                <w:sz w:val="18"/>
                <w:szCs w:val="18"/>
                <w:color w:val="auto"/>
              </w:rPr>
            </w:pPr>
          </w:p>
        </w:tc>
        <w:tc>
          <w:tcPr>
            <w:tcW w:w="140" w:type="dxa"/>
            <w:vAlign w:val="bottom"/>
            <w:shd w:val="clear" w:color="auto" w:fill="D4F1F5"/>
          </w:tcPr>
          <w:p>
            <w:pPr>
              <w:spacing w:after="0"/>
              <w:rPr>
                <w:sz w:val="18"/>
                <w:szCs w:val="18"/>
                <w:color w:val="auto"/>
              </w:rPr>
            </w:pPr>
          </w:p>
        </w:tc>
        <w:tc>
          <w:tcPr>
            <w:tcW w:w="980" w:type="dxa"/>
            <w:vAlign w:val="bottom"/>
            <w:shd w:val="clear" w:color="auto" w:fill="D4F1F5"/>
          </w:tcPr>
          <w:p>
            <w:pPr>
              <w:spacing w:after="0"/>
              <w:rPr>
                <w:sz w:val="18"/>
                <w:szCs w:val="18"/>
                <w:color w:val="auto"/>
              </w:rPr>
            </w:pPr>
          </w:p>
        </w:tc>
        <w:tc>
          <w:tcPr>
            <w:tcW w:w="80" w:type="dxa"/>
            <w:vAlign w:val="bottom"/>
            <w:tcBorders>
              <w:bottom w:val="single" w:sz="8" w:color="auto"/>
            </w:tcBorders>
            <w:shd w:val="clear" w:color="auto" w:fill="D4F1F5"/>
          </w:tcPr>
          <w:p>
            <w:pPr>
              <w:spacing w:after="0"/>
              <w:rPr>
                <w:sz w:val="18"/>
                <w:szCs w:val="18"/>
                <w:color w:val="auto"/>
              </w:rPr>
            </w:pPr>
          </w:p>
        </w:tc>
        <w:tc>
          <w:tcPr>
            <w:tcW w:w="180" w:type="dxa"/>
            <w:vAlign w:val="bottom"/>
            <w:tcBorders>
              <w:bottom w:val="single" w:sz="8" w:color="auto"/>
            </w:tcBorders>
            <w:shd w:val="clear" w:color="auto" w:fill="D4F1F5"/>
          </w:tcPr>
          <w:p>
            <w:pPr>
              <w:spacing w:after="0"/>
              <w:rPr>
                <w:sz w:val="18"/>
                <w:szCs w:val="18"/>
                <w:color w:val="auto"/>
              </w:rPr>
            </w:pPr>
          </w:p>
        </w:tc>
        <w:tc>
          <w:tcPr>
            <w:tcW w:w="980" w:type="dxa"/>
            <w:vAlign w:val="bottom"/>
            <w:tcBorders>
              <w:bottom w:val="single" w:sz="8" w:color="auto"/>
            </w:tcBorders>
            <w:shd w:val="clear" w:color="auto" w:fill="D4F1F5"/>
          </w:tcPr>
          <w:p>
            <w:pPr>
              <w:jc w:val="right"/>
              <w:ind w:right="21"/>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auto"/>
            </w:tcBorders>
            <w:shd w:val="clear" w:color="auto" w:fill="D4F1F5"/>
          </w:tcPr>
          <w:p>
            <w:pPr>
              <w:spacing w:after="0"/>
              <w:rPr>
                <w:sz w:val="18"/>
                <w:szCs w:val="18"/>
                <w:color w:val="auto"/>
              </w:rPr>
            </w:pPr>
          </w:p>
        </w:tc>
        <w:tc>
          <w:tcPr>
            <w:tcW w:w="1020" w:type="dxa"/>
            <w:vAlign w:val="bottom"/>
            <w:tcBorders>
              <w:bottom w:val="single" w:sz="8" w:color="auto"/>
            </w:tcBorders>
            <w:shd w:val="clear" w:color="auto" w:fill="D4F1F5"/>
          </w:tcPr>
          <w:p>
            <w:pPr>
              <w:jc w:val="right"/>
              <w:ind w:right="1"/>
              <w:spacing w:after="0"/>
              <w:rPr>
                <w:sz w:val="20"/>
                <w:szCs w:val="20"/>
                <w:color w:val="auto"/>
              </w:rPr>
            </w:pPr>
            <w:r>
              <w:rPr>
                <w:rFonts w:ascii="Arial" w:cs="Arial" w:eastAsia="Arial" w:hAnsi="Arial"/>
                <w:sz w:val="16"/>
                <w:szCs w:val="16"/>
                <w:color w:val="auto"/>
              </w:rPr>
              <w:t>19</w:t>
            </w:r>
          </w:p>
        </w:tc>
        <w:tc>
          <w:tcPr>
            <w:tcW w:w="80" w:type="dxa"/>
            <w:vAlign w:val="bottom"/>
            <w:shd w:val="clear" w:color="auto" w:fill="D4F1F5"/>
          </w:tcPr>
          <w:p>
            <w:pPr>
              <w:spacing w:after="0"/>
              <w:rPr>
                <w:sz w:val="18"/>
                <w:szCs w:val="18"/>
                <w:color w:val="auto"/>
              </w:rPr>
            </w:pPr>
          </w:p>
        </w:tc>
        <w:tc>
          <w:tcPr>
            <w:tcW w:w="220" w:type="dxa"/>
            <w:vAlign w:val="bottom"/>
            <w:shd w:val="clear" w:color="auto" w:fill="D4F1F5"/>
          </w:tcPr>
          <w:p>
            <w:pPr>
              <w:spacing w:after="0"/>
              <w:rPr>
                <w:sz w:val="18"/>
                <w:szCs w:val="18"/>
                <w:color w:val="auto"/>
              </w:rPr>
            </w:pPr>
          </w:p>
        </w:tc>
        <w:tc>
          <w:tcPr>
            <w:tcW w:w="900" w:type="dxa"/>
            <w:vAlign w:val="bottom"/>
            <w:shd w:val="clear" w:color="auto" w:fill="D4F1F5"/>
          </w:tcPr>
          <w:p>
            <w:pPr>
              <w:spacing w:after="0"/>
              <w:rPr>
                <w:sz w:val="18"/>
                <w:szCs w:val="18"/>
                <w:color w:val="auto"/>
              </w:rPr>
            </w:pPr>
          </w:p>
        </w:tc>
      </w:tr>
      <w:tr>
        <w:trPr>
          <w:trHeight w:val="209"/>
        </w:trPr>
        <w:tc>
          <w:tcPr>
            <w:tcW w:w="3740" w:type="dxa"/>
            <w:vAlign w:val="bottom"/>
            <w:tcBorders>
              <w:bottom w:val="single" w:sz="8" w:color="D4F1F5"/>
            </w:tcBorders>
          </w:tcPr>
          <w:p>
            <w:pPr>
              <w:ind w:left="240"/>
              <w:spacing w:after="0"/>
              <w:rPr>
                <w:sz w:val="20"/>
                <w:szCs w:val="20"/>
                <w:color w:val="auto"/>
              </w:rPr>
            </w:pPr>
            <w:r>
              <w:rPr>
                <w:rFonts w:ascii="Arial" w:cs="Arial" w:eastAsia="Arial" w:hAnsi="Arial"/>
                <w:sz w:val="16"/>
                <w:szCs w:val="16"/>
                <w:color w:val="auto"/>
              </w:rPr>
              <w:t>Total intersegment revenues</w:t>
            </w:r>
          </w:p>
        </w:tc>
        <w:tc>
          <w:tcPr>
            <w:tcW w:w="1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9</w:t>
            </w:r>
          </w:p>
        </w:tc>
        <w:tc>
          <w:tcPr>
            <w:tcW w:w="2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w:t>
            </w: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19</w:t>
            </w:r>
          </w:p>
        </w:tc>
        <w:tc>
          <w:tcPr>
            <w:tcW w:w="8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6</w:t>
            </w:r>
          </w:p>
        </w:tc>
        <w:tc>
          <w:tcPr>
            <w:tcW w:w="1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19</w:t>
            </w:r>
          </w:p>
        </w:tc>
        <w:tc>
          <w:tcPr>
            <w:tcW w:w="8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w:t>
            </w:r>
          </w:p>
        </w:tc>
      </w:tr>
      <w:tr>
        <w:trPr>
          <w:trHeight w:val="217"/>
        </w:trPr>
        <w:tc>
          <w:tcPr>
            <w:tcW w:w="3740" w:type="dxa"/>
            <w:vAlign w:val="bottom"/>
            <w:tcBorders>
              <w:bottom w:val="single" w:sz="8" w:color="D4F1F5"/>
            </w:tcBorders>
            <w:shd w:val="clear" w:color="auto" w:fill="D4F1F5"/>
          </w:tcPr>
          <w:p>
            <w:pPr>
              <w:ind w:left="140"/>
              <w:spacing w:after="0"/>
              <w:rPr>
                <w:sz w:val="20"/>
                <w:szCs w:val="20"/>
                <w:color w:val="auto"/>
              </w:rPr>
            </w:pPr>
            <w:r>
              <w:rPr>
                <w:rFonts w:ascii="Arial" w:cs="Arial" w:eastAsia="Arial" w:hAnsi="Arial"/>
                <w:sz w:val="16"/>
                <w:szCs w:val="16"/>
                <w:color w:val="auto"/>
              </w:rPr>
              <w:t>Segment revenues</w:t>
            </w:r>
          </w:p>
        </w:tc>
        <w:tc>
          <w:tcPr>
            <w:tcW w:w="180" w:type="dxa"/>
            <w:vAlign w:val="bottom"/>
            <w:tcBorders>
              <w:bottom w:val="single" w:sz="8" w:color="auto"/>
            </w:tcBorders>
            <w:shd w:val="clear" w:color="auto" w:fill="D4F1F5"/>
          </w:tcPr>
          <w:p>
            <w:pPr>
              <w:jc w:val="right"/>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shd w:val="clear" w:color="auto" w:fill="D4F1F5"/>
          </w:tcPr>
          <w:p>
            <w:pPr>
              <w:jc w:val="right"/>
              <w:ind w:right="21"/>
              <w:spacing w:after="0"/>
              <w:rPr>
                <w:sz w:val="20"/>
                <w:szCs w:val="20"/>
                <w:color w:val="auto"/>
              </w:rPr>
            </w:pPr>
            <w:r>
              <w:rPr>
                <w:rFonts w:ascii="Arial" w:cs="Arial" w:eastAsia="Arial" w:hAnsi="Arial"/>
                <w:sz w:val="16"/>
                <w:szCs w:val="16"/>
                <w:color w:val="auto"/>
              </w:rPr>
              <w:t>3,231</w:t>
            </w:r>
          </w:p>
        </w:tc>
        <w:tc>
          <w:tcPr>
            <w:tcW w:w="200" w:type="dxa"/>
            <w:vAlign w:val="bottom"/>
            <w:tcBorders>
              <w:bottom w:val="single" w:sz="8" w:color="auto"/>
            </w:tcBorders>
            <w:shd w:val="clear" w:color="auto" w:fill="D4F1F5"/>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shd w:val="clear" w:color="auto" w:fill="D4F1F5"/>
          </w:tcPr>
          <w:p>
            <w:pPr>
              <w:jc w:val="right"/>
              <w:spacing w:after="0"/>
              <w:rPr>
                <w:sz w:val="20"/>
                <w:szCs w:val="20"/>
                <w:color w:val="auto"/>
              </w:rPr>
            </w:pPr>
            <w:r>
              <w:rPr>
                <w:rFonts w:ascii="Arial" w:cs="Arial" w:eastAsia="Arial" w:hAnsi="Arial"/>
                <w:sz w:val="16"/>
                <w:szCs w:val="16"/>
                <w:color w:val="auto"/>
              </w:rPr>
              <w:t>443</w:t>
            </w:r>
          </w:p>
        </w:tc>
        <w:tc>
          <w:tcPr>
            <w:tcW w:w="100" w:type="dxa"/>
            <w:vAlign w:val="bottom"/>
            <w:tcBorders>
              <w:bottom w:val="single" w:sz="8" w:color="D4F1F5"/>
            </w:tcBorders>
            <w:shd w:val="clear" w:color="auto" w:fill="D4F1F5"/>
          </w:tcPr>
          <w:p>
            <w:pPr>
              <w:spacing w:after="0"/>
              <w:rPr>
                <w:sz w:val="18"/>
                <w:szCs w:val="18"/>
                <w:color w:val="auto"/>
              </w:rPr>
            </w:pPr>
          </w:p>
        </w:tc>
        <w:tc>
          <w:tcPr>
            <w:tcW w:w="140" w:type="dxa"/>
            <w:vAlign w:val="bottom"/>
            <w:tcBorders>
              <w:bottom w:val="single" w:sz="8" w:color="D4F1F5"/>
            </w:tcBorders>
            <w:shd w:val="clear" w:color="auto" w:fill="D4F1F5"/>
          </w:tcPr>
          <w:p>
            <w:pPr>
              <w:spacing w:after="0"/>
              <w:rPr>
                <w:sz w:val="18"/>
                <w:szCs w:val="18"/>
                <w:color w:val="auto"/>
              </w:rPr>
            </w:pPr>
          </w:p>
        </w:tc>
        <w:tc>
          <w:tcPr>
            <w:tcW w:w="980" w:type="dxa"/>
            <w:vAlign w:val="bottom"/>
            <w:tcBorders>
              <w:bottom w:val="single" w:sz="8" w:color="D4F1F5"/>
            </w:tcBorders>
            <w:shd w:val="clear" w:color="auto" w:fill="D4F1F5"/>
          </w:tcPr>
          <w:p>
            <w:pPr>
              <w:jc w:val="right"/>
              <w:ind w:right="1"/>
              <w:spacing w:after="0"/>
              <w:rPr>
                <w:sz w:val="20"/>
                <w:szCs w:val="20"/>
                <w:color w:val="auto"/>
              </w:rPr>
            </w:pPr>
            <w:r>
              <w:rPr>
                <w:rFonts w:ascii="Arial" w:cs="Arial" w:eastAsia="Arial" w:hAnsi="Arial"/>
                <w:sz w:val="16"/>
                <w:szCs w:val="16"/>
                <w:color w:val="auto"/>
              </w:rPr>
              <w:t>3,674</w:t>
            </w:r>
          </w:p>
        </w:tc>
        <w:tc>
          <w:tcPr>
            <w:tcW w:w="80" w:type="dxa"/>
            <w:vAlign w:val="bottom"/>
            <w:tcBorders>
              <w:bottom w:val="single" w:sz="8" w:color="D4F1F5"/>
            </w:tcBorders>
            <w:shd w:val="clear" w:color="auto" w:fill="D4F1F5"/>
          </w:tcPr>
          <w:p>
            <w:pPr>
              <w:spacing w:after="0"/>
              <w:rPr>
                <w:sz w:val="18"/>
                <w:szCs w:val="18"/>
                <w:color w:val="auto"/>
              </w:rPr>
            </w:pPr>
          </w:p>
        </w:tc>
        <w:tc>
          <w:tcPr>
            <w:tcW w:w="180" w:type="dxa"/>
            <w:vAlign w:val="bottom"/>
            <w:tcBorders>
              <w:bottom w:val="single" w:sz="8" w:color="auto"/>
            </w:tcBorders>
            <w:shd w:val="clear" w:color="auto" w:fill="D4F1F5"/>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shd w:val="clear" w:color="auto" w:fill="D4F1F5"/>
          </w:tcPr>
          <w:p>
            <w:pPr>
              <w:jc w:val="right"/>
              <w:ind w:right="21"/>
              <w:spacing w:after="0"/>
              <w:rPr>
                <w:sz w:val="20"/>
                <w:szCs w:val="20"/>
                <w:color w:val="auto"/>
              </w:rPr>
            </w:pPr>
            <w:r>
              <w:rPr>
                <w:rFonts w:ascii="Arial" w:cs="Arial" w:eastAsia="Arial" w:hAnsi="Arial"/>
                <w:sz w:val="16"/>
                <w:szCs w:val="16"/>
                <w:color w:val="auto"/>
              </w:rPr>
              <w:t>3,401</w:t>
            </w:r>
          </w:p>
        </w:tc>
        <w:tc>
          <w:tcPr>
            <w:tcW w:w="180" w:type="dxa"/>
            <w:vAlign w:val="bottom"/>
            <w:tcBorders>
              <w:bottom w:val="single" w:sz="8" w:color="auto"/>
            </w:tcBorders>
            <w:shd w:val="clear" w:color="auto" w:fill="D4F1F5"/>
          </w:tcPr>
          <w:p>
            <w:pPr>
              <w:jc w:val="right"/>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shd w:val="clear" w:color="auto" w:fill="D4F1F5"/>
          </w:tcPr>
          <w:p>
            <w:pPr>
              <w:jc w:val="right"/>
              <w:ind w:right="1"/>
              <w:spacing w:after="0"/>
              <w:rPr>
                <w:sz w:val="20"/>
                <w:szCs w:val="20"/>
                <w:color w:val="auto"/>
              </w:rPr>
            </w:pPr>
            <w:r>
              <w:rPr>
                <w:rFonts w:ascii="Arial" w:cs="Arial" w:eastAsia="Arial" w:hAnsi="Arial"/>
                <w:sz w:val="16"/>
                <w:szCs w:val="16"/>
                <w:color w:val="auto"/>
              </w:rPr>
              <w:t>426</w:t>
            </w:r>
          </w:p>
        </w:tc>
        <w:tc>
          <w:tcPr>
            <w:tcW w:w="80" w:type="dxa"/>
            <w:vAlign w:val="bottom"/>
            <w:tcBorders>
              <w:bottom w:val="single" w:sz="8" w:color="D4F1F5"/>
            </w:tcBorders>
            <w:shd w:val="clear" w:color="auto" w:fill="D4F1F5"/>
          </w:tcPr>
          <w:p>
            <w:pPr>
              <w:spacing w:after="0"/>
              <w:rPr>
                <w:sz w:val="18"/>
                <w:szCs w:val="18"/>
                <w:color w:val="auto"/>
              </w:rPr>
            </w:pPr>
          </w:p>
        </w:tc>
        <w:tc>
          <w:tcPr>
            <w:tcW w:w="220" w:type="dxa"/>
            <w:vAlign w:val="bottom"/>
            <w:tcBorders>
              <w:bottom w:val="single" w:sz="8" w:color="D4F1F5"/>
            </w:tcBorders>
            <w:shd w:val="clear" w:color="auto" w:fill="D4F1F5"/>
          </w:tcPr>
          <w:p>
            <w:pPr>
              <w:spacing w:after="0"/>
              <w:rPr>
                <w:sz w:val="18"/>
                <w:szCs w:val="18"/>
                <w:color w:val="auto"/>
              </w:rPr>
            </w:pPr>
          </w:p>
        </w:tc>
        <w:tc>
          <w:tcPr>
            <w:tcW w:w="900" w:type="dxa"/>
            <w:vAlign w:val="bottom"/>
            <w:tcBorders>
              <w:bottom w:val="single" w:sz="8" w:color="D4F1F5"/>
            </w:tcBorders>
            <w:shd w:val="clear" w:color="auto" w:fill="D4F1F5"/>
          </w:tcPr>
          <w:p>
            <w:pPr>
              <w:jc w:val="right"/>
              <w:spacing w:after="0"/>
              <w:rPr>
                <w:sz w:val="20"/>
                <w:szCs w:val="20"/>
                <w:color w:val="auto"/>
              </w:rPr>
            </w:pPr>
            <w:r>
              <w:rPr>
                <w:rFonts w:ascii="Arial" w:cs="Arial" w:eastAsia="Arial" w:hAnsi="Arial"/>
                <w:sz w:val="16"/>
                <w:szCs w:val="16"/>
                <w:color w:val="auto"/>
              </w:rPr>
              <w:t>3,827</w:t>
            </w:r>
          </w:p>
        </w:tc>
      </w:tr>
      <w:tr>
        <w:trPr>
          <w:trHeight w:val="189"/>
        </w:trPr>
        <w:tc>
          <w:tcPr>
            <w:tcW w:w="3740" w:type="dxa"/>
            <w:vAlign w:val="bottom"/>
            <w:tcBorders>
              <w:bottom w:val="single" w:sz="8" w:color="D4F1F5"/>
            </w:tcBorders>
          </w:tcPr>
          <w:p>
            <w:pPr>
              <w:ind w:left="20"/>
              <w:spacing w:after="0"/>
              <w:rPr>
                <w:sz w:val="20"/>
                <w:szCs w:val="20"/>
                <w:color w:val="auto"/>
              </w:rPr>
            </w:pPr>
            <w:r>
              <w:rPr>
                <w:rFonts w:ascii="Arial" w:cs="Arial" w:eastAsia="Arial" w:hAnsi="Arial"/>
                <w:sz w:val="16"/>
                <w:szCs w:val="16"/>
                <w:color w:val="auto"/>
              </w:rPr>
              <w:t>Intersegment eliminations</w:t>
            </w:r>
          </w:p>
        </w:tc>
        <w:tc>
          <w:tcPr>
            <w:tcW w:w="180" w:type="dxa"/>
            <w:vAlign w:val="bottom"/>
            <w:tcBorders>
              <w:bottom w:val="single" w:sz="8" w:color="D4F1F5"/>
            </w:tcBorders>
          </w:tcPr>
          <w:p>
            <w:pPr>
              <w:spacing w:after="0"/>
              <w:rPr>
                <w:sz w:val="16"/>
                <w:szCs w:val="16"/>
                <w:color w:val="auto"/>
              </w:rPr>
            </w:pPr>
          </w:p>
        </w:tc>
        <w:tc>
          <w:tcPr>
            <w:tcW w:w="960" w:type="dxa"/>
            <w:vAlign w:val="bottom"/>
            <w:tcBorders>
              <w:bottom w:val="single" w:sz="8" w:color="D4F1F5"/>
            </w:tcBorders>
          </w:tcPr>
          <w:p>
            <w:pPr>
              <w:spacing w:after="0"/>
              <w:rPr>
                <w:sz w:val="16"/>
                <w:szCs w:val="16"/>
                <w:color w:val="auto"/>
              </w:rPr>
            </w:pPr>
          </w:p>
        </w:tc>
        <w:tc>
          <w:tcPr>
            <w:tcW w:w="200" w:type="dxa"/>
            <w:vAlign w:val="bottom"/>
            <w:tcBorders>
              <w:bottom w:val="single" w:sz="8" w:color="D4F1F5"/>
            </w:tcBorders>
          </w:tcPr>
          <w:p>
            <w:pPr>
              <w:spacing w:after="0"/>
              <w:rPr>
                <w:sz w:val="16"/>
                <w:szCs w:val="16"/>
                <w:color w:val="auto"/>
              </w:rPr>
            </w:pPr>
          </w:p>
        </w:tc>
        <w:tc>
          <w:tcPr>
            <w:tcW w:w="980" w:type="dxa"/>
            <w:vAlign w:val="bottom"/>
            <w:tcBorders>
              <w:bottom w:val="single" w:sz="8" w:color="D4F1F5"/>
            </w:tcBorders>
          </w:tcPr>
          <w:p>
            <w:pPr>
              <w:spacing w:after="0"/>
              <w:rPr>
                <w:sz w:val="16"/>
                <w:szCs w:val="16"/>
                <w:color w:val="auto"/>
              </w:rPr>
            </w:pPr>
          </w:p>
        </w:tc>
        <w:tc>
          <w:tcPr>
            <w:tcW w:w="100" w:type="dxa"/>
            <w:vAlign w:val="bottom"/>
            <w:tcBorders>
              <w:bottom w:val="single" w:sz="8" w:color="D4F1F5"/>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w:t>
            </w:r>
          </w:p>
        </w:tc>
        <w:tc>
          <w:tcPr>
            <w:tcW w:w="80" w:type="dxa"/>
            <w:vAlign w:val="bottom"/>
            <w:tcBorders>
              <w:bottom w:val="single" w:sz="8" w:color="D4F1F5"/>
            </w:tcBorders>
          </w:tcPr>
          <w:p>
            <w:pPr>
              <w:spacing w:after="0"/>
              <w:rPr>
                <w:sz w:val="16"/>
                <w:szCs w:val="16"/>
                <w:color w:val="auto"/>
              </w:rPr>
            </w:pPr>
          </w:p>
        </w:tc>
        <w:tc>
          <w:tcPr>
            <w:tcW w:w="180" w:type="dxa"/>
            <w:vAlign w:val="bottom"/>
            <w:tcBorders>
              <w:bottom w:val="single" w:sz="8" w:color="D4F1F5"/>
            </w:tcBorders>
          </w:tcPr>
          <w:p>
            <w:pPr>
              <w:spacing w:after="0"/>
              <w:rPr>
                <w:sz w:val="16"/>
                <w:szCs w:val="16"/>
                <w:color w:val="auto"/>
              </w:rPr>
            </w:pPr>
          </w:p>
        </w:tc>
        <w:tc>
          <w:tcPr>
            <w:tcW w:w="980" w:type="dxa"/>
            <w:vAlign w:val="bottom"/>
            <w:tcBorders>
              <w:bottom w:val="single" w:sz="8" w:color="D4F1F5"/>
            </w:tcBorders>
          </w:tcPr>
          <w:p>
            <w:pPr>
              <w:spacing w:after="0"/>
              <w:rPr>
                <w:sz w:val="16"/>
                <w:szCs w:val="16"/>
                <w:color w:val="auto"/>
              </w:rPr>
            </w:pPr>
          </w:p>
        </w:tc>
        <w:tc>
          <w:tcPr>
            <w:tcW w:w="180" w:type="dxa"/>
            <w:vAlign w:val="bottom"/>
            <w:tcBorders>
              <w:bottom w:val="single" w:sz="8" w:color="D4F1F5"/>
            </w:tcBorders>
          </w:tcPr>
          <w:p>
            <w:pPr>
              <w:spacing w:after="0"/>
              <w:rPr>
                <w:sz w:val="16"/>
                <w:szCs w:val="16"/>
                <w:color w:val="auto"/>
              </w:rPr>
            </w:pPr>
          </w:p>
        </w:tc>
        <w:tc>
          <w:tcPr>
            <w:tcW w:w="1020" w:type="dxa"/>
            <w:vAlign w:val="bottom"/>
            <w:tcBorders>
              <w:bottom w:val="single" w:sz="8" w:color="D4F1F5"/>
            </w:tcBorders>
          </w:tcPr>
          <w:p>
            <w:pPr>
              <w:spacing w:after="0"/>
              <w:rPr>
                <w:sz w:val="16"/>
                <w:szCs w:val="16"/>
                <w:color w:val="auto"/>
              </w:rPr>
            </w:pPr>
          </w:p>
        </w:tc>
        <w:tc>
          <w:tcPr>
            <w:tcW w:w="80" w:type="dxa"/>
            <w:vAlign w:val="bottom"/>
            <w:tcBorders>
              <w:bottom w:val="single" w:sz="8" w:color="D4F1F5"/>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w:t>
            </w:r>
          </w:p>
        </w:tc>
      </w:tr>
      <w:tr>
        <w:trPr>
          <w:trHeight w:val="217"/>
        </w:trPr>
        <w:tc>
          <w:tcPr>
            <w:tcW w:w="3740" w:type="dxa"/>
            <w:vAlign w:val="bottom"/>
            <w:tcBorders>
              <w:bottom w:val="single" w:sz="8" w:color="auto"/>
            </w:tcBorders>
            <w:shd w:val="clear" w:color="auto" w:fill="D4F1F5"/>
          </w:tcPr>
          <w:p>
            <w:pPr>
              <w:ind w:left="140"/>
              <w:spacing w:after="0"/>
              <w:rPr>
                <w:sz w:val="20"/>
                <w:szCs w:val="20"/>
                <w:color w:val="auto"/>
              </w:rPr>
            </w:pPr>
            <w:r>
              <w:rPr>
                <w:rFonts w:ascii="Arial" w:cs="Arial" w:eastAsia="Arial" w:hAnsi="Arial"/>
                <w:sz w:val="16"/>
                <w:szCs w:val="16"/>
                <w:color w:val="auto"/>
              </w:rPr>
              <w:t>Revenues</w:t>
            </w:r>
          </w:p>
        </w:tc>
        <w:tc>
          <w:tcPr>
            <w:tcW w:w="180" w:type="dxa"/>
            <w:vAlign w:val="bottom"/>
            <w:tcBorders>
              <w:bottom w:val="single" w:sz="8" w:color="auto"/>
            </w:tcBorders>
            <w:shd w:val="clear" w:color="auto" w:fill="D4F1F5"/>
          </w:tcPr>
          <w:p>
            <w:pPr>
              <w:spacing w:after="0"/>
              <w:rPr>
                <w:sz w:val="18"/>
                <w:szCs w:val="18"/>
                <w:color w:val="auto"/>
              </w:rPr>
            </w:pPr>
          </w:p>
        </w:tc>
        <w:tc>
          <w:tcPr>
            <w:tcW w:w="960" w:type="dxa"/>
            <w:vAlign w:val="bottom"/>
            <w:tcBorders>
              <w:bottom w:val="single" w:sz="8" w:color="auto"/>
            </w:tcBorders>
            <w:shd w:val="clear" w:color="auto" w:fill="D4F1F5"/>
          </w:tcPr>
          <w:p>
            <w:pPr>
              <w:spacing w:after="0"/>
              <w:rPr>
                <w:sz w:val="18"/>
                <w:szCs w:val="18"/>
                <w:color w:val="auto"/>
              </w:rPr>
            </w:pPr>
          </w:p>
        </w:tc>
        <w:tc>
          <w:tcPr>
            <w:tcW w:w="200" w:type="dxa"/>
            <w:vAlign w:val="bottom"/>
            <w:tcBorders>
              <w:bottom w:val="single" w:sz="8" w:color="auto"/>
            </w:tcBorders>
            <w:shd w:val="clear" w:color="auto" w:fill="D4F1F5"/>
          </w:tcPr>
          <w:p>
            <w:pPr>
              <w:spacing w:after="0"/>
              <w:rPr>
                <w:sz w:val="18"/>
                <w:szCs w:val="18"/>
                <w:color w:val="auto"/>
              </w:rPr>
            </w:pPr>
          </w:p>
        </w:tc>
        <w:tc>
          <w:tcPr>
            <w:tcW w:w="980" w:type="dxa"/>
            <w:vAlign w:val="bottom"/>
            <w:tcBorders>
              <w:bottom w:val="single" w:sz="8" w:color="auto"/>
            </w:tcBorders>
            <w:shd w:val="clear" w:color="auto" w:fill="D4F1F5"/>
          </w:tcPr>
          <w:p>
            <w:pPr>
              <w:spacing w:after="0"/>
              <w:rPr>
                <w:sz w:val="18"/>
                <w:szCs w:val="18"/>
                <w:color w:val="auto"/>
              </w:rPr>
            </w:pPr>
          </w:p>
        </w:tc>
        <w:tc>
          <w:tcPr>
            <w:tcW w:w="100" w:type="dxa"/>
            <w:vAlign w:val="bottom"/>
            <w:tcBorders>
              <w:bottom w:val="single" w:sz="8" w:color="auto"/>
            </w:tcBorders>
            <w:shd w:val="clear" w:color="auto" w:fill="D4F1F5"/>
          </w:tcPr>
          <w:p>
            <w:pPr>
              <w:spacing w:after="0"/>
              <w:rPr>
                <w:sz w:val="18"/>
                <w:szCs w:val="18"/>
                <w:color w:val="auto"/>
              </w:rPr>
            </w:pPr>
          </w:p>
        </w:tc>
        <w:tc>
          <w:tcPr>
            <w:tcW w:w="140" w:type="dxa"/>
            <w:vAlign w:val="bottom"/>
            <w:tcBorders>
              <w:bottom w:val="single" w:sz="8" w:color="auto"/>
            </w:tcBorders>
            <w:shd w:val="clear" w:color="auto" w:fill="D4F1F5"/>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shd w:val="clear" w:color="auto" w:fill="D4F1F5"/>
          </w:tcPr>
          <w:p>
            <w:pPr>
              <w:jc w:val="right"/>
              <w:ind w:right="1"/>
              <w:spacing w:after="0"/>
              <w:rPr>
                <w:sz w:val="20"/>
                <w:szCs w:val="20"/>
                <w:color w:val="auto"/>
              </w:rPr>
            </w:pPr>
            <w:r>
              <w:rPr>
                <w:rFonts w:ascii="Arial" w:cs="Arial" w:eastAsia="Arial" w:hAnsi="Arial"/>
                <w:sz w:val="16"/>
                <w:szCs w:val="16"/>
                <w:color w:val="auto"/>
              </w:rPr>
              <w:t>3,655</w:t>
            </w:r>
          </w:p>
        </w:tc>
        <w:tc>
          <w:tcPr>
            <w:tcW w:w="80" w:type="dxa"/>
            <w:vAlign w:val="bottom"/>
            <w:tcBorders>
              <w:bottom w:val="single" w:sz="8" w:color="auto"/>
            </w:tcBorders>
            <w:shd w:val="clear" w:color="auto" w:fill="D4F1F5"/>
          </w:tcPr>
          <w:p>
            <w:pPr>
              <w:spacing w:after="0"/>
              <w:rPr>
                <w:sz w:val="18"/>
                <w:szCs w:val="18"/>
                <w:color w:val="auto"/>
              </w:rPr>
            </w:pPr>
          </w:p>
        </w:tc>
        <w:tc>
          <w:tcPr>
            <w:tcW w:w="180" w:type="dxa"/>
            <w:vAlign w:val="bottom"/>
            <w:tcBorders>
              <w:bottom w:val="single" w:sz="8" w:color="auto"/>
            </w:tcBorders>
            <w:shd w:val="clear" w:color="auto" w:fill="D4F1F5"/>
          </w:tcPr>
          <w:p>
            <w:pPr>
              <w:spacing w:after="0"/>
              <w:rPr>
                <w:sz w:val="18"/>
                <w:szCs w:val="18"/>
                <w:color w:val="auto"/>
              </w:rPr>
            </w:pPr>
          </w:p>
        </w:tc>
        <w:tc>
          <w:tcPr>
            <w:tcW w:w="980" w:type="dxa"/>
            <w:vAlign w:val="bottom"/>
            <w:tcBorders>
              <w:bottom w:val="single" w:sz="8" w:color="auto"/>
            </w:tcBorders>
            <w:shd w:val="clear" w:color="auto" w:fill="D4F1F5"/>
          </w:tcPr>
          <w:p>
            <w:pPr>
              <w:spacing w:after="0"/>
              <w:rPr>
                <w:sz w:val="18"/>
                <w:szCs w:val="18"/>
                <w:color w:val="auto"/>
              </w:rPr>
            </w:pPr>
          </w:p>
        </w:tc>
        <w:tc>
          <w:tcPr>
            <w:tcW w:w="180" w:type="dxa"/>
            <w:vAlign w:val="bottom"/>
            <w:tcBorders>
              <w:bottom w:val="single" w:sz="8" w:color="auto"/>
            </w:tcBorders>
            <w:shd w:val="clear" w:color="auto" w:fill="D4F1F5"/>
          </w:tcPr>
          <w:p>
            <w:pPr>
              <w:spacing w:after="0"/>
              <w:rPr>
                <w:sz w:val="18"/>
                <w:szCs w:val="18"/>
                <w:color w:val="auto"/>
              </w:rPr>
            </w:pPr>
          </w:p>
        </w:tc>
        <w:tc>
          <w:tcPr>
            <w:tcW w:w="1020" w:type="dxa"/>
            <w:vAlign w:val="bottom"/>
            <w:tcBorders>
              <w:bottom w:val="single" w:sz="8" w:color="auto"/>
            </w:tcBorders>
            <w:shd w:val="clear" w:color="auto" w:fill="D4F1F5"/>
          </w:tcPr>
          <w:p>
            <w:pPr>
              <w:spacing w:after="0"/>
              <w:rPr>
                <w:sz w:val="18"/>
                <w:szCs w:val="18"/>
                <w:color w:val="auto"/>
              </w:rPr>
            </w:pPr>
          </w:p>
        </w:tc>
        <w:tc>
          <w:tcPr>
            <w:tcW w:w="80" w:type="dxa"/>
            <w:vAlign w:val="bottom"/>
            <w:tcBorders>
              <w:bottom w:val="single" w:sz="8" w:color="auto"/>
            </w:tcBorders>
            <w:shd w:val="clear" w:color="auto" w:fill="D4F1F5"/>
          </w:tcPr>
          <w:p>
            <w:pPr>
              <w:spacing w:after="0"/>
              <w:rPr>
                <w:sz w:val="18"/>
                <w:szCs w:val="18"/>
                <w:color w:val="auto"/>
              </w:rPr>
            </w:pPr>
          </w:p>
        </w:tc>
        <w:tc>
          <w:tcPr>
            <w:tcW w:w="220" w:type="dxa"/>
            <w:vAlign w:val="bottom"/>
            <w:tcBorders>
              <w:bottom w:val="single" w:sz="8" w:color="auto"/>
            </w:tcBorders>
            <w:shd w:val="clear" w:color="auto" w:fill="D4F1F5"/>
          </w:tcPr>
          <w:p>
            <w:pPr>
              <w:jc w:val="right"/>
              <w:ind w:right="1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shd w:val="clear" w:color="auto" w:fill="D4F1F5"/>
          </w:tcPr>
          <w:p>
            <w:pPr>
              <w:jc w:val="right"/>
              <w:spacing w:after="0"/>
              <w:rPr>
                <w:sz w:val="20"/>
                <w:szCs w:val="20"/>
                <w:color w:val="auto"/>
              </w:rPr>
            </w:pPr>
            <w:r>
              <w:rPr>
                <w:rFonts w:ascii="Arial" w:cs="Arial" w:eastAsia="Arial" w:hAnsi="Arial"/>
                <w:sz w:val="16"/>
                <w:szCs w:val="16"/>
                <w:color w:val="auto"/>
              </w:rPr>
              <w:t>3,802</w:t>
            </w:r>
          </w:p>
        </w:tc>
      </w:tr>
    </w:tbl>
    <w:p>
      <w:pPr>
        <w:spacing w:after="0" w:line="61" w:lineRule="exact"/>
        <w:rPr>
          <w:sz w:val="20"/>
          <w:szCs w:val="20"/>
          <w:color w:val="auto"/>
        </w:rPr>
      </w:pPr>
    </w:p>
    <w:p>
      <w:pPr>
        <w:ind w:left="300" w:hanging="292"/>
        <w:spacing w:after="0"/>
        <w:tabs>
          <w:tab w:leader="none" w:pos="300" w:val="left"/>
        </w:tabs>
        <w:numPr>
          <w:ilvl w:val="0"/>
          <w:numId w:val="43"/>
        </w:numPr>
        <w:rPr>
          <w:rFonts w:ascii="Arial" w:cs="Arial" w:eastAsia="Arial" w:hAnsi="Arial"/>
          <w:sz w:val="21"/>
          <w:szCs w:val="21"/>
          <w:i w:val="1"/>
          <w:iCs w:val="1"/>
          <w:color w:val="auto"/>
          <w:vertAlign w:val="superscript"/>
        </w:rPr>
      </w:pPr>
      <w:r>
        <w:rPr>
          <w:rFonts w:ascii="Arial" w:cs="Arial" w:eastAsia="Arial" w:hAnsi="Arial"/>
          <w:sz w:val="14"/>
          <w:szCs w:val="14"/>
          <w:i w:val="1"/>
          <w:iCs w:val="1"/>
          <w:color w:val="auto"/>
        </w:rPr>
        <w:t>We did not have revenues from transactions with a single external customer that amounted to 10% or more of Sempra’s total revenues.</w:t>
      </w:r>
    </w:p>
    <w:p>
      <w:pPr>
        <w:spacing w:after="0" w:line="26" w:lineRule="exact"/>
        <w:rPr>
          <w:rFonts w:ascii="Arial" w:cs="Arial" w:eastAsia="Arial" w:hAnsi="Arial"/>
          <w:sz w:val="21"/>
          <w:szCs w:val="21"/>
          <w:i w:val="1"/>
          <w:iCs w:val="1"/>
          <w:color w:val="auto"/>
          <w:vertAlign w:val="superscript"/>
        </w:rPr>
      </w:pPr>
    </w:p>
    <w:p>
      <w:pPr>
        <w:ind w:left="340" w:hanging="332"/>
        <w:spacing w:after="0" w:line="209" w:lineRule="auto"/>
        <w:tabs>
          <w:tab w:leader="none" w:pos="304" w:val="left"/>
        </w:tabs>
        <w:numPr>
          <w:ilvl w:val="0"/>
          <w:numId w:val="43"/>
        </w:numPr>
        <w:rPr>
          <w:rFonts w:ascii="Arial" w:cs="Arial" w:eastAsia="Arial" w:hAnsi="Arial"/>
          <w:sz w:val="21"/>
          <w:szCs w:val="21"/>
          <w:i w:val="1"/>
          <w:iCs w:val="1"/>
          <w:color w:val="auto"/>
          <w:vertAlign w:val="superscript"/>
        </w:rPr>
      </w:pPr>
      <w:r>
        <w:rPr>
          <w:rFonts w:ascii="Arial" w:cs="Arial" w:eastAsia="Arial" w:hAnsi="Arial"/>
          <w:sz w:val="14"/>
          <w:szCs w:val="14"/>
          <w:i w:val="1"/>
          <w:iCs w:val="1"/>
          <w:color w:val="auto"/>
        </w:rPr>
        <w:t>See “Revenues from Sources Other Than Contracts with Customers” in Note 3 of the Notes to Consolidated Financial Statements in the Annual Report for a description of this revenue source, which may be additive or subtractive from period to period.</w:t>
      </w:r>
    </w:p>
    <w:p>
      <w:pPr>
        <w:spacing w:after="0" w:line="29" w:lineRule="exact"/>
        <w:rPr>
          <w:rFonts w:ascii="Arial" w:cs="Arial" w:eastAsia="Arial" w:hAnsi="Arial"/>
          <w:sz w:val="21"/>
          <w:szCs w:val="21"/>
          <w:i w:val="1"/>
          <w:iCs w:val="1"/>
          <w:color w:val="auto"/>
          <w:vertAlign w:val="superscript"/>
        </w:rPr>
      </w:pPr>
    </w:p>
    <w:p>
      <w:pPr>
        <w:ind w:left="340" w:right="40" w:hanging="332"/>
        <w:spacing w:after="0" w:line="208" w:lineRule="auto"/>
        <w:tabs>
          <w:tab w:leader="none" w:pos="304" w:val="left"/>
        </w:tabs>
        <w:numPr>
          <w:ilvl w:val="0"/>
          <w:numId w:val="43"/>
        </w:numPr>
        <w:rPr>
          <w:rFonts w:ascii="Arial" w:cs="Arial" w:eastAsia="Arial" w:hAnsi="Arial"/>
          <w:sz w:val="21"/>
          <w:szCs w:val="21"/>
          <w:i w:val="1"/>
          <w:iCs w:val="1"/>
          <w:color w:val="auto"/>
          <w:vertAlign w:val="superscript"/>
        </w:rPr>
      </w:pPr>
      <w:r>
        <w:rPr>
          <w:rFonts w:ascii="Arial" w:cs="Arial" w:eastAsia="Arial" w:hAnsi="Arial"/>
          <w:sz w:val="14"/>
          <w:szCs w:val="14"/>
          <w:i w:val="1"/>
          <w:iCs w:val="1"/>
          <w:color w:val="auto"/>
        </w:rPr>
        <w:t>See “Transactions with Affiliates” in Note 1 of the Notes to Consolidated Financial Statements in the Annual Report for a description of services provided by one operating segment to another operating segment within Sempra.</w:t>
      </w:r>
    </w:p>
    <w:p>
      <w:pPr>
        <w:spacing w:after="0" w:line="200" w:lineRule="exact"/>
        <w:rPr>
          <w:sz w:val="20"/>
          <w:szCs w:val="20"/>
          <w:color w:val="auto"/>
        </w:rPr>
      </w:pPr>
    </w:p>
    <w:p>
      <w:pPr>
        <w:spacing w:after="0" w:line="26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21" w:right="45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SDG&amp;E</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SDG&amp;E is a regulated public utility that provides electric service to San Diego and southern Orange counties and natural gas service to San Diego County.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SDG&amp;E has one operating and reportable segment.</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SDG&amp;E’s CODM is its president, who utilizes earnings attributable to common shares to manage the business, assess performance and allocate resources.</w:t>
      </w:r>
    </w:p>
    <w:p>
      <w:pPr>
        <w:spacing w:after="0" w:line="131" w:lineRule="exact"/>
        <w:rPr>
          <w:sz w:val="20"/>
          <w:szCs w:val="20"/>
          <w:color w:val="auto"/>
        </w:rPr>
      </w:pPr>
    </w:p>
    <w:p>
      <w:pPr>
        <w:ind w:right="220"/>
        <w:spacing w:after="0" w:line="297" w:lineRule="auto"/>
        <w:rPr>
          <w:sz w:val="20"/>
          <w:szCs w:val="20"/>
          <w:color w:val="auto"/>
        </w:rPr>
      </w:pPr>
      <w:r>
        <w:rPr>
          <w:rFonts w:ascii="Times New Roman" w:cs="Times New Roman" w:eastAsia="Times New Roman" w:hAnsi="Times New Roman"/>
          <w:sz w:val="18"/>
          <w:szCs w:val="18"/>
          <w:color w:val="auto"/>
        </w:rPr>
        <w:t>Total assets at SDG&amp;E are $33.5 billion and $32.7 billion at March 31, 2026 and December 31, 2025, respectively. The following table presents selected information for SDG&amp;E’s single segment and reconciliation of earnings attributable to common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55245</wp:posOffset>
            </wp:positionV>
            <wp:extent cx="7132320" cy="29972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32320" cy="299720"/>
                    </a:xfrm>
                    <a:prstGeom prst="rect">
                      <a:avLst/>
                    </a:prstGeom>
                    <a:noFill/>
                  </pic:spPr>
                </pic:pic>
              </a:graphicData>
            </a:graphic>
          </wp:anchor>
        </w:drawing>
      </w:r>
    </w:p>
    <w:p>
      <w:pPr>
        <w:spacing w:after="0" w:line="79"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FFFFFF"/>
        </w:rPr>
        <w:t>SEGMENT INFORMATION</w:t>
      </w:r>
    </w:p>
    <w:p>
      <w:pPr>
        <w:spacing w:after="0" w:line="66" w:lineRule="exact"/>
        <w:rPr>
          <w:sz w:val="20"/>
          <w:szCs w:val="20"/>
          <w:color w:val="auto"/>
        </w:rPr>
      </w:pPr>
    </w:p>
    <w:p>
      <w:pPr>
        <w:ind w:left="20"/>
        <w:spacing w:after="0"/>
        <w:rPr>
          <w:sz w:val="20"/>
          <w:szCs w:val="20"/>
          <w:color w:val="auto"/>
        </w:rPr>
      </w:pPr>
      <w:r>
        <w:rPr>
          <w:rFonts w:ascii="Arial" w:cs="Arial" w:eastAsia="Arial" w:hAnsi="Arial"/>
          <w:sz w:val="14"/>
          <w:szCs w:val="14"/>
          <w:i w:val="1"/>
          <w:iCs w:val="1"/>
          <w:color w:val="FFFFFF"/>
        </w:rPr>
        <w:t>(Dollars in millions)</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8180" w:type="dxa"/>
            <w:vAlign w:val="bottom"/>
          </w:tcPr>
          <w:p>
            <w:pPr>
              <w:spacing w:after="0"/>
              <w:rPr>
                <w:sz w:val="16"/>
                <w:szCs w:val="16"/>
                <w:color w:val="auto"/>
              </w:rPr>
            </w:pPr>
          </w:p>
        </w:tc>
        <w:tc>
          <w:tcPr>
            <w:tcW w:w="25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color w:val="auto"/>
              </w:rPr>
              <w:t>Three months ended March 31,</w:t>
            </w:r>
          </w:p>
        </w:tc>
        <w:tc>
          <w:tcPr>
            <w:tcW w:w="500" w:type="dxa"/>
            <w:vAlign w:val="bottom"/>
            <w:tcBorders>
              <w:bottom w:val="single" w:sz="8" w:color="auto"/>
            </w:tcBorders>
          </w:tcPr>
          <w:p>
            <w:pPr>
              <w:spacing w:after="0"/>
              <w:rPr>
                <w:sz w:val="16"/>
                <w:szCs w:val="16"/>
                <w:color w:val="auto"/>
              </w:rPr>
            </w:pPr>
          </w:p>
        </w:tc>
      </w:tr>
      <w:tr>
        <w:trPr>
          <w:trHeight w:val="209"/>
        </w:trPr>
        <w:tc>
          <w:tcPr>
            <w:tcW w:w="81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2026</w:t>
            </w:r>
          </w:p>
        </w:tc>
        <w:tc>
          <w:tcPr>
            <w:tcW w:w="5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1"/>
              <w:spacing w:after="0"/>
              <w:rPr>
                <w:sz w:val="20"/>
                <w:szCs w:val="20"/>
                <w:color w:val="auto"/>
              </w:rPr>
            </w:pPr>
            <w:r>
              <w:rPr>
                <w:rFonts w:ascii="Arial" w:cs="Arial" w:eastAsia="Arial" w:hAnsi="Arial"/>
                <w:sz w:val="14"/>
                <w:szCs w:val="14"/>
                <w:color w:val="auto"/>
              </w:rPr>
              <w:t>2025</w:t>
            </w:r>
          </w:p>
        </w:tc>
        <w:tc>
          <w:tcPr>
            <w:tcW w:w="500" w:type="dxa"/>
            <w:vAlign w:val="bottom"/>
            <w:tcBorders>
              <w:bottom w:val="single" w:sz="8" w:color="auto"/>
            </w:tcBorders>
          </w:tcPr>
          <w:p>
            <w:pPr>
              <w:spacing w:after="0"/>
              <w:rPr>
                <w:sz w:val="18"/>
                <w:szCs w:val="18"/>
                <w:color w:val="auto"/>
              </w:rPr>
            </w:pPr>
          </w:p>
        </w:tc>
      </w:tr>
      <w:tr>
        <w:trPr>
          <w:trHeight w:val="213"/>
        </w:trPr>
        <w:tc>
          <w:tcPr>
            <w:tcW w:w="8180" w:type="dxa"/>
            <w:vAlign w:val="bottom"/>
            <w:shd w:val="clear" w:color="auto" w:fill="D4F1F5"/>
          </w:tcPr>
          <w:p>
            <w:pPr>
              <w:ind w:left="20"/>
              <w:spacing w:after="0"/>
              <w:rPr>
                <w:sz w:val="20"/>
                <w:szCs w:val="20"/>
                <w:color w:val="auto"/>
              </w:rPr>
            </w:pPr>
            <w:r>
              <w:rPr>
                <w:rFonts w:ascii="Arial" w:cs="Arial" w:eastAsia="Arial" w:hAnsi="Arial"/>
                <w:sz w:val="16"/>
                <w:szCs w:val="16"/>
                <w:b w:val="1"/>
                <w:bCs w:val="1"/>
                <w:color w:val="auto"/>
              </w:rPr>
              <w:t>SDG&amp;E:</w:t>
            </w:r>
          </w:p>
        </w:tc>
        <w:tc>
          <w:tcPr>
            <w:tcW w:w="960" w:type="dxa"/>
            <w:vAlign w:val="bottom"/>
            <w:shd w:val="clear" w:color="auto" w:fill="D4F1F5"/>
          </w:tcPr>
          <w:p>
            <w:pPr>
              <w:spacing w:after="0"/>
              <w:rPr>
                <w:sz w:val="18"/>
                <w:szCs w:val="18"/>
                <w:color w:val="auto"/>
              </w:rPr>
            </w:pPr>
          </w:p>
        </w:tc>
        <w:tc>
          <w:tcPr>
            <w:tcW w:w="560" w:type="dxa"/>
            <w:vAlign w:val="bottom"/>
            <w:shd w:val="clear" w:color="auto" w:fill="D4F1F5"/>
          </w:tcPr>
          <w:p>
            <w:pPr>
              <w:spacing w:after="0"/>
              <w:rPr>
                <w:sz w:val="18"/>
                <w:szCs w:val="18"/>
                <w:color w:val="auto"/>
              </w:rPr>
            </w:pPr>
          </w:p>
        </w:tc>
        <w:tc>
          <w:tcPr>
            <w:tcW w:w="1040" w:type="dxa"/>
            <w:vAlign w:val="bottom"/>
            <w:shd w:val="clear" w:color="auto" w:fill="D4F1F5"/>
          </w:tcPr>
          <w:p>
            <w:pPr>
              <w:spacing w:after="0"/>
              <w:rPr>
                <w:sz w:val="18"/>
                <w:szCs w:val="18"/>
                <w:color w:val="auto"/>
              </w:rPr>
            </w:pPr>
          </w:p>
        </w:tc>
        <w:tc>
          <w:tcPr>
            <w:tcW w:w="500" w:type="dxa"/>
            <w:vAlign w:val="bottom"/>
            <w:shd w:val="clear" w:color="auto" w:fill="D4F1F5"/>
          </w:tcPr>
          <w:p>
            <w:pPr>
              <w:spacing w:after="0"/>
              <w:rPr>
                <w:sz w:val="18"/>
                <w:szCs w:val="18"/>
                <w:color w:val="auto"/>
              </w:rPr>
            </w:pPr>
          </w:p>
        </w:tc>
      </w:tr>
      <w:tr>
        <w:trPr>
          <w:trHeight w:val="215"/>
        </w:trPr>
        <w:tc>
          <w:tcPr>
            <w:tcW w:w="8180" w:type="dxa"/>
            <w:vAlign w:val="bottom"/>
          </w:tcPr>
          <w:p>
            <w:pPr>
              <w:ind w:left="20"/>
              <w:spacing w:after="0"/>
              <w:rPr>
                <w:sz w:val="20"/>
                <w:szCs w:val="20"/>
                <w:color w:val="auto"/>
              </w:rPr>
            </w:pPr>
            <w:r>
              <w:rPr>
                <w:rFonts w:ascii="Arial" w:cs="Arial" w:eastAsia="Arial" w:hAnsi="Arial"/>
                <w:sz w:val="16"/>
                <w:szCs w:val="16"/>
                <w:color w:val="auto"/>
              </w:rPr>
              <w:t>Revenues from external customers:</w:t>
            </w:r>
          </w:p>
        </w:tc>
        <w:tc>
          <w:tcPr>
            <w:tcW w:w="9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00" w:type="dxa"/>
            <w:vAlign w:val="bottom"/>
          </w:tcPr>
          <w:p>
            <w:pPr>
              <w:spacing w:after="0"/>
              <w:rPr>
                <w:sz w:val="18"/>
                <w:szCs w:val="18"/>
                <w:color w:val="auto"/>
              </w:rPr>
            </w:pPr>
          </w:p>
        </w:tc>
      </w:tr>
      <w:tr>
        <w:trPr>
          <w:trHeight w:val="217"/>
        </w:trPr>
        <w:tc>
          <w:tcPr>
            <w:tcW w:w="8180" w:type="dxa"/>
            <w:vAlign w:val="bottom"/>
            <w:shd w:val="clear" w:color="auto" w:fill="D4F1F5"/>
          </w:tcPr>
          <w:p>
            <w:pPr>
              <w:ind w:left="140"/>
              <w:spacing w:after="0"/>
              <w:rPr>
                <w:sz w:val="20"/>
                <w:szCs w:val="20"/>
                <w:color w:val="auto"/>
              </w:rPr>
            </w:pPr>
            <w:r>
              <w:rPr>
                <w:rFonts w:ascii="Arial" w:cs="Arial" w:eastAsia="Arial" w:hAnsi="Arial"/>
                <w:sz w:val="16"/>
                <w:szCs w:val="16"/>
                <w:color w:val="auto"/>
              </w:rPr>
              <w:t>Electric</w:t>
            </w:r>
          </w:p>
        </w:tc>
        <w:tc>
          <w:tcPr>
            <w:tcW w:w="960" w:type="dxa"/>
            <w:vAlign w:val="bottom"/>
            <w:shd w:val="clear" w:color="auto" w:fill="D4F1F5"/>
          </w:tcPr>
          <w:p>
            <w:pPr>
              <w:jc w:val="right"/>
              <w:ind w:right="783"/>
              <w:spacing w:after="0"/>
              <w:rPr>
                <w:sz w:val="20"/>
                <w:szCs w:val="20"/>
                <w:color w:val="auto"/>
              </w:rPr>
            </w:pPr>
            <w:r>
              <w:rPr>
                <w:rFonts w:ascii="Arial" w:cs="Arial" w:eastAsia="Arial" w:hAnsi="Arial"/>
                <w:sz w:val="16"/>
                <w:szCs w:val="16"/>
                <w:color w:val="auto"/>
                <w:w w:val="89"/>
              </w:rPr>
              <w:t>$</w:t>
            </w:r>
          </w:p>
        </w:tc>
        <w:tc>
          <w:tcPr>
            <w:tcW w:w="560" w:type="dxa"/>
            <w:vAlign w:val="bottom"/>
            <w:shd w:val="clear" w:color="auto" w:fill="D4F1F5"/>
          </w:tcPr>
          <w:p>
            <w:pPr>
              <w:jc w:val="right"/>
              <w:ind w:right="39"/>
              <w:spacing w:after="0"/>
              <w:rPr>
                <w:sz w:val="20"/>
                <w:szCs w:val="20"/>
                <w:color w:val="auto"/>
              </w:rPr>
            </w:pPr>
            <w:r>
              <w:rPr>
                <w:rFonts w:ascii="Arial" w:cs="Arial" w:eastAsia="Arial" w:hAnsi="Arial"/>
                <w:sz w:val="16"/>
                <w:szCs w:val="16"/>
                <w:color w:val="auto"/>
              </w:rPr>
              <w:t>1,235</w:t>
            </w:r>
          </w:p>
        </w:tc>
        <w:tc>
          <w:tcPr>
            <w:tcW w:w="1040" w:type="dxa"/>
            <w:vAlign w:val="bottom"/>
            <w:shd w:val="clear" w:color="auto" w:fill="D4F1F5"/>
          </w:tcPr>
          <w:p>
            <w:pPr>
              <w:jc w:val="right"/>
              <w:ind w:right="801"/>
              <w:spacing w:after="0"/>
              <w:rPr>
                <w:sz w:val="20"/>
                <w:szCs w:val="20"/>
                <w:color w:val="auto"/>
              </w:rPr>
            </w:pPr>
            <w:r>
              <w:rPr>
                <w:rFonts w:ascii="Arial" w:cs="Arial" w:eastAsia="Arial" w:hAnsi="Arial"/>
                <w:sz w:val="16"/>
                <w:szCs w:val="16"/>
                <w:color w:val="auto"/>
              </w:rPr>
              <w:t>$</w:t>
            </w:r>
          </w:p>
        </w:tc>
        <w:tc>
          <w:tcPr>
            <w:tcW w:w="500" w:type="dxa"/>
            <w:vAlign w:val="bottom"/>
            <w:shd w:val="clear" w:color="auto" w:fill="D4F1F5"/>
          </w:tcPr>
          <w:p>
            <w:pPr>
              <w:jc w:val="right"/>
              <w:spacing w:after="0"/>
              <w:rPr>
                <w:sz w:val="20"/>
                <w:szCs w:val="20"/>
                <w:color w:val="auto"/>
              </w:rPr>
            </w:pPr>
            <w:r>
              <w:rPr>
                <w:rFonts w:ascii="Arial" w:cs="Arial" w:eastAsia="Arial" w:hAnsi="Arial"/>
                <w:sz w:val="16"/>
                <w:szCs w:val="16"/>
                <w:color w:val="auto"/>
                <w:w w:val="99"/>
              </w:rPr>
              <w:t>1,075</w:t>
            </w:r>
          </w:p>
        </w:tc>
      </w:tr>
      <w:tr>
        <w:trPr>
          <w:trHeight w:val="215"/>
        </w:trPr>
        <w:tc>
          <w:tcPr>
            <w:tcW w:w="8180" w:type="dxa"/>
            <w:vAlign w:val="bottom"/>
            <w:tcBorders>
              <w:bottom w:val="single" w:sz="8" w:color="D4F1F5"/>
            </w:tcBorders>
          </w:tcPr>
          <w:p>
            <w:pPr>
              <w:ind w:left="140"/>
              <w:spacing w:after="0"/>
              <w:rPr>
                <w:sz w:val="20"/>
                <w:szCs w:val="20"/>
                <w:color w:val="auto"/>
              </w:rPr>
            </w:pPr>
            <w:r>
              <w:rPr>
                <w:rFonts w:ascii="Arial" w:cs="Arial" w:eastAsia="Arial" w:hAnsi="Arial"/>
                <w:sz w:val="16"/>
                <w:szCs w:val="16"/>
                <w:color w:val="auto"/>
              </w:rPr>
              <w:t>Natural gas</w:t>
            </w:r>
          </w:p>
        </w:tc>
        <w:tc>
          <w:tcPr>
            <w:tcW w:w="96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321</w:t>
            </w:r>
          </w:p>
        </w:tc>
        <w:tc>
          <w:tcPr>
            <w:tcW w:w="104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359</w:t>
            </w:r>
          </w:p>
        </w:tc>
      </w:tr>
      <w:tr>
        <w:trPr>
          <w:trHeight w:val="210"/>
        </w:trPr>
        <w:tc>
          <w:tcPr>
            <w:tcW w:w="8180" w:type="dxa"/>
            <w:vAlign w:val="bottom"/>
            <w:shd w:val="clear" w:color="auto" w:fill="D4F1F5"/>
          </w:tcPr>
          <w:p>
            <w:pPr>
              <w:ind w:left="240"/>
              <w:spacing w:after="0" w:line="210" w:lineRule="exact"/>
              <w:rPr>
                <w:sz w:val="20"/>
                <w:szCs w:val="20"/>
                <w:color w:val="auto"/>
              </w:rPr>
            </w:pPr>
            <w:r>
              <w:rPr>
                <w:rFonts w:ascii="Arial" w:cs="Arial" w:eastAsia="Arial" w:hAnsi="Arial"/>
                <w:sz w:val="16"/>
                <w:szCs w:val="16"/>
                <w:color w:val="auto"/>
              </w:rPr>
              <w:t>Total revenues from external customers</w:t>
            </w:r>
            <w:r>
              <w:rPr>
                <w:rFonts w:ascii="Arial" w:cs="Arial" w:eastAsia="Arial" w:hAnsi="Arial"/>
                <w:sz w:val="21"/>
                <w:szCs w:val="21"/>
                <w:color w:val="auto"/>
                <w:vertAlign w:val="superscript"/>
              </w:rPr>
              <w:t>(1)</w:t>
            </w:r>
          </w:p>
        </w:tc>
        <w:tc>
          <w:tcPr>
            <w:tcW w:w="960" w:type="dxa"/>
            <w:vAlign w:val="bottom"/>
            <w:tcBorders>
              <w:bottom w:val="single" w:sz="8" w:color="auto"/>
            </w:tcBorders>
            <w:shd w:val="clear" w:color="auto" w:fill="D4F1F5"/>
          </w:tcPr>
          <w:p>
            <w:pPr>
              <w:spacing w:after="0"/>
              <w:rPr>
                <w:sz w:val="18"/>
                <w:szCs w:val="18"/>
                <w:color w:val="auto"/>
              </w:rPr>
            </w:pPr>
          </w:p>
        </w:tc>
        <w:tc>
          <w:tcPr>
            <w:tcW w:w="560" w:type="dxa"/>
            <w:vAlign w:val="bottom"/>
            <w:tcBorders>
              <w:bottom w:val="single" w:sz="8" w:color="auto"/>
            </w:tcBorders>
            <w:shd w:val="clear" w:color="auto" w:fill="D4F1F5"/>
          </w:tcPr>
          <w:p>
            <w:pPr>
              <w:jc w:val="right"/>
              <w:ind w:right="39"/>
              <w:spacing w:after="0"/>
              <w:rPr>
                <w:sz w:val="20"/>
                <w:szCs w:val="20"/>
                <w:color w:val="auto"/>
              </w:rPr>
            </w:pPr>
            <w:r>
              <w:rPr>
                <w:rFonts w:ascii="Arial" w:cs="Arial" w:eastAsia="Arial" w:hAnsi="Arial"/>
                <w:sz w:val="16"/>
                <w:szCs w:val="16"/>
                <w:color w:val="auto"/>
              </w:rPr>
              <w:t>1,556</w:t>
            </w:r>
          </w:p>
        </w:tc>
        <w:tc>
          <w:tcPr>
            <w:tcW w:w="1040" w:type="dxa"/>
            <w:vAlign w:val="bottom"/>
            <w:tcBorders>
              <w:bottom w:val="single" w:sz="8" w:color="auto"/>
            </w:tcBorders>
            <w:shd w:val="clear" w:color="auto" w:fill="D4F1F5"/>
          </w:tcPr>
          <w:p>
            <w:pPr>
              <w:spacing w:after="0"/>
              <w:rPr>
                <w:sz w:val="18"/>
                <w:szCs w:val="18"/>
                <w:color w:val="auto"/>
              </w:rPr>
            </w:pPr>
          </w:p>
        </w:tc>
        <w:tc>
          <w:tcPr>
            <w:tcW w:w="500" w:type="dxa"/>
            <w:vAlign w:val="bottom"/>
            <w:tcBorders>
              <w:bottom w:val="single" w:sz="8" w:color="auto"/>
            </w:tcBorders>
            <w:shd w:val="clear" w:color="auto" w:fill="D4F1F5"/>
          </w:tcPr>
          <w:p>
            <w:pPr>
              <w:jc w:val="right"/>
              <w:spacing w:after="0"/>
              <w:rPr>
                <w:sz w:val="20"/>
                <w:szCs w:val="20"/>
                <w:color w:val="auto"/>
              </w:rPr>
            </w:pPr>
            <w:r>
              <w:rPr>
                <w:rFonts w:ascii="Arial" w:cs="Arial" w:eastAsia="Arial" w:hAnsi="Arial"/>
                <w:sz w:val="16"/>
                <w:szCs w:val="16"/>
                <w:color w:val="auto"/>
                <w:w w:val="99"/>
              </w:rPr>
              <w:t>1,434</w:t>
            </w:r>
          </w:p>
        </w:tc>
      </w:tr>
      <w:tr>
        <w:trPr>
          <w:trHeight w:val="196"/>
        </w:trPr>
        <w:tc>
          <w:tcPr>
            <w:tcW w:w="8180" w:type="dxa"/>
            <w:vAlign w:val="bottom"/>
          </w:tcPr>
          <w:p>
            <w:pPr>
              <w:ind w:left="20"/>
              <w:spacing w:after="0" w:line="196" w:lineRule="exact"/>
              <w:rPr>
                <w:sz w:val="20"/>
                <w:szCs w:val="20"/>
                <w:color w:val="auto"/>
              </w:rPr>
            </w:pPr>
            <w:r>
              <w:rPr>
                <w:rFonts w:ascii="Arial" w:cs="Arial" w:eastAsia="Arial" w:hAnsi="Arial"/>
                <w:sz w:val="16"/>
                <w:szCs w:val="16"/>
                <w:color w:val="auto"/>
              </w:rPr>
              <w:t>Other revenues</w:t>
            </w:r>
            <w:r>
              <w:rPr>
                <w:rFonts w:ascii="Arial" w:cs="Arial" w:eastAsia="Arial" w:hAnsi="Arial"/>
                <w:sz w:val="21"/>
                <w:szCs w:val="21"/>
                <w:color w:val="auto"/>
                <w:vertAlign w:val="superscript"/>
              </w:rPr>
              <w:t>(2)</w:t>
            </w:r>
            <w:r>
              <w:rPr>
                <w:rFonts w:ascii="Arial" w:cs="Arial" w:eastAsia="Arial" w:hAnsi="Arial"/>
                <w:sz w:val="16"/>
                <w:szCs w:val="16"/>
                <w:color w:val="auto"/>
              </w:rPr>
              <w:t>:</w:t>
            </w:r>
          </w:p>
        </w:tc>
        <w:tc>
          <w:tcPr>
            <w:tcW w:w="9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500" w:type="dxa"/>
            <w:vAlign w:val="bottom"/>
          </w:tcPr>
          <w:p>
            <w:pPr>
              <w:spacing w:after="0"/>
              <w:rPr>
                <w:sz w:val="17"/>
                <w:szCs w:val="17"/>
                <w:color w:val="auto"/>
              </w:rPr>
            </w:pPr>
          </w:p>
        </w:tc>
      </w:tr>
      <w:tr>
        <w:trPr>
          <w:trHeight w:val="216"/>
        </w:trPr>
        <w:tc>
          <w:tcPr>
            <w:tcW w:w="8180" w:type="dxa"/>
            <w:vAlign w:val="bottom"/>
            <w:shd w:val="clear" w:color="auto" w:fill="D4F1F5"/>
          </w:tcPr>
          <w:p>
            <w:pPr>
              <w:ind w:left="140"/>
              <w:spacing w:after="0"/>
              <w:rPr>
                <w:sz w:val="20"/>
                <w:szCs w:val="20"/>
                <w:color w:val="auto"/>
              </w:rPr>
            </w:pPr>
            <w:r>
              <w:rPr>
                <w:rFonts w:ascii="Arial" w:cs="Arial" w:eastAsia="Arial" w:hAnsi="Arial"/>
                <w:sz w:val="16"/>
                <w:szCs w:val="16"/>
                <w:color w:val="auto"/>
              </w:rPr>
              <w:t>Electric</w:t>
            </w:r>
          </w:p>
        </w:tc>
        <w:tc>
          <w:tcPr>
            <w:tcW w:w="960" w:type="dxa"/>
            <w:vAlign w:val="bottom"/>
            <w:shd w:val="clear" w:color="auto" w:fill="D4F1F5"/>
          </w:tcPr>
          <w:p>
            <w:pPr>
              <w:spacing w:after="0"/>
              <w:rPr>
                <w:sz w:val="18"/>
                <w:szCs w:val="18"/>
                <w:color w:val="auto"/>
              </w:rPr>
            </w:pPr>
          </w:p>
        </w:tc>
        <w:tc>
          <w:tcPr>
            <w:tcW w:w="560" w:type="dxa"/>
            <w:vAlign w:val="bottom"/>
            <w:shd w:val="clear" w:color="auto" w:fill="D4F1F5"/>
          </w:tcPr>
          <w:p>
            <w:pPr>
              <w:jc w:val="right"/>
              <w:spacing w:after="0"/>
              <w:rPr>
                <w:sz w:val="20"/>
                <w:szCs w:val="20"/>
                <w:color w:val="auto"/>
              </w:rPr>
            </w:pPr>
            <w:r>
              <w:rPr>
                <w:rFonts w:ascii="Arial" w:cs="Arial" w:eastAsia="Arial" w:hAnsi="Arial"/>
                <w:sz w:val="16"/>
                <w:szCs w:val="16"/>
                <w:color w:val="auto"/>
              </w:rPr>
              <w:t>(7)</w:t>
            </w:r>
          </w:p>
        </w:tc>
        <w:tc>
          <w:tcPr>
            <w:tcW w:w="1040" w:type="dxa"/>
            <w:vAlign w:val="bottom"/>
            <w:shd w:val="clear" w:color="auto" w:fill="D4F1F5"/>
          </w:tcPr>
          <w:p>
            <w:pPr>
              <w:spacing w:after="0"/>
              <w:rPr>
                <w:sz w:val="18"/>
                <w:szCs w:val="18"/>
                <w:color w:val="auto"/>
              </w:rPr>
            </w:pPr>
          </w:p>
        </w:tc>
        <w:tc>
          <w:tcPr>
            <w:tcW w:w="500" w:type="dxa"/>
            <w:vAlign w:val="bottom"/>
            <w:shd w:val="clear" w:color="auto" w:fill="D4F1F5"/>
          </w:tcPr>
          <w:p>
            <w:pPr>
              <w:jc w:val="right"/>
              <w:spacing w:after="0"/>
              <w:rPr>
                <w:sz w:val="20"/>
                <w:szCs w:val="20"/>
                <w:color w:val="auto"/>
              </w:rPr>
            </w:pPr>
            <w:r>
              <w:rPr>
                <w:rFonts w:ascii="Arial" w:cs="Arial" w:eastAsia="Arial" w:hAnsi="Arial"/>
                <w:sz w:val="16"/>
                <w:szCs w:val="16"/>
                <w:color w:val="auto"/>
              </w:rPr>
              <w:t>(11)</w:t>
            </w:r>
          </w:p>
        </w:tc>
      </w:tr>
      <w:tr>
        <w:trPr>
          <w:trHeight w:val="215"/>
        </w:trPr>
        <w:tc>
          <w:tcPr>
            <w:tcW w:w="8180" w:type="dxa"/>
            <w:vAlign w:val="bottom"/>
            <w:tcBorders>
              <w:bottom w:val="single" w:sz="8" w:color="D4F1F5"/>
            </w:tcBorders>
          </w:tcPr>
          <w:p>
            <w:pPr>
              <w:ind w:left="140"/>
              <w:spacing w:after="0"/>
              <w:rPr>
                <w:sz w:val="20"/>
                <w:szCs w:val="20"/>
                <w:color w:val="auto"/>
              </w:rPr>
            </w:pPr>
            <w:r>
              <w:rPr>
                <w:rFonts w:ascii="Arial" w:cs="Arial" w:eastAsia="Arial" w:hAnsi="Arial"/>
                <w:sz w:val="16"/>
                <w:szCs w:val="16"/>
                <w:color w:val="auto"/>
              </w:rPr>
              <w:t>Natural gas</w:t>
            </w:r>
          </w:p>
        </w:tc>
        <w:tc>
          <w:tcPr>
            <w:tcW w:w="96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w:t>
            </w:r>
          </w:p>
        </w:tc>
        <w:tc>
          <w:tcPr>
            <w:tcW w:w="104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w:t>
            </w:r>
          </w:p>
        </w:tc>
      </w:tr>
      <w:tr>
        <w:trPr>
          <w:trHeight w:val="210"/>
        </w:trPr>
        <w:tc>
          <w:tcPr>
            <w:tcW w:w="8180" w:type="dxa"/>
            <w:vAlign w:val="bottom"/>
            <w:shd w:val="clear" w:color="auto" w:fill="D4F1F5"/>
          </w:tcPr>
          <w:p>
            <w:pPr>
              <w:ind w:left="240"/>
              <w:spacing w:after="0"/>
              <w:rPr>
                <w:sz w:val="20"/>
                <w:szCs w:val="20"/>
                <w:color w:val="auto"/>
              </w:rPr>
            </w:pPr>
            <w:r>
              <w:rPr>
                <w:rFonts w:ascii="Arial" w:cs="Arial" w:eastAsia="Arial" w:hAnsi="Arial"/>
                <w:sz w:val="16"/>
                <w:szCs w:val="16"/>
                <w:color w:val="auto"/>
              </w:rPr>
              <w:t>Total other revenues</w:t>
            </w:r>
          </w:p>
        </w:tc>
        <w:tc>
          <w:tcPr>
            <w:tcW w:w="960" w:type="dxa"/>
            <w:vAlign w:val="bottom"/>
            <w:tcBorders>
              <w:bottom w:val="single" w:sz="8" w:color="auto"/>
            </w:tcBorders>
            <w:shd w:val="clear" w:color="auto" w:fill="D4F1F5"/>
          </w:tcPr>
          <w:p>
            <w:pPr>
              <w:spacing w:after="0"/>
              <w:rPr>
                <w:sz w:val="18"/>
                <w:szCs w:val="18"/>
                <w:color w:val="auto"/>
              </w:rPr>
            </w:pPr>
          </w:p>
        </w:tc>
        <w:tc>
          <w:tcPr>
            <w:tcW w:w="560" w:type="dxa"/>
            <w:vAlign w:val="bottom"/>
            <w:tcBorders>
              <w:bottom w:val="single" w:sz="8" w:color="auto"/>
            </w:tcBorders>
            <w:shd w:val="clear" w:color="auto" w:fill="D4F1F5"/>
          </w:tcPr>
          <w:p>
            <w:pPr>
              <w:jc w:val="right"/>
              <w:spacing w:after="0"/>
              <w:rPr>
                <w:sz w:val="20"/>
                <w:szCs w:val="20"/>
                <w:color w:val="auto"/>
              </w:rPr>
            </w:pPr>
            <w:r>
              <w:rPr>
                <w:rFonts w:ascii="Arial" w:cs="Arial" w:eastAsia="Arial" w:hAnsi="Arial"/>
                <w:sz w:val="16"/>
                <w:szCs w:val="16"/>
                <w:color w:val="auto"/>
              </w:rPr>
              <w:t>(9)</w:t>
            </w:r>
          </w:p>
        </w:tc>
        <w:tc>
          <w:tcPr>
            <w:tcW w:w="1040" w:type="dxa"/>
            <w:vAlign w:val="bottom"/>
            <w:tcBorders>
              <w:bottom w:val="single" w:sz="8" w:color="auto"/>
            </w:tcBorders>
            <w:shd w:val="clear" w:color="auto" w:fill="D4F1F5"/>
          </w:tcPr>
          <w:p>
            <w:pPr>
              <w:spacing w:after="0"/>
              <w:rPr>
                <w:sz w:val="18"/>
                <w:szCs w:val="18"/>
                <w:color w:val="auto"/>
              </w:rPr>
            </w:pPr>
          </w:p>
        </w:tc>
        <w:tc>
          <w:tcPr>
            <w:tcW w:w="500" w:type="dxa"/>
            <w:vAlign w:val="bottom"/>
            <w:tcBorders>
              <w:bottom w:val="single" w:sz="8" w:color="auto"/>
            </w:tcBorders>
            <w:shd w:val="clear" w:color="auto" w:fill="D4F1F5"/>
          </w:tcPr>
          <w:p>
            <w:pPr>
              <w:jc w:val="right"/>
              <w:spacing w:after="0"/>
              <w:rPr>
                <w:sz w:val="20"/>
                <w:szCs w:val="20"/>
                <w:color w:val="auto"/>
              </w:rPr>
            </w:pPr>
            <w:r>
              <w:rPr>
                <w:rFonts w:ascii="Arial" w:cs="Arial" w:eastAsia="Arial" w:hAnsi="Arial"/>
                <w:sz w:val="16"/>
                <w:szCs w:val="16"/>
                <w:color w:val="auto"/>
              </w:rPr>
              <w:t>(14)</w:t>
            </w:r>
          </w:p>
        </w:tc>
      </w:tr>
      <w:tr>
        <w:trPr>
          <w:trHeight w:val="209"/>
        </w:trPr>
        <w:tc>
          <w:tcPr>
            <w:tcW w:w="8180" w:type="dxa"/>
            <w:vAlign w:val="bottom"/>
          </w:tcPr>
          <w:p>
            <w:pPr>
              <w:ind w:left="240"/>
              <w:spacing w:after="0"/>
              <w:rPr>
                <w:sz w:val="20"/>
                <w:szCs w:val="20"/>
                <w:color w:val="auto"/>
              </w:rPr>
            </w:pPr>
            <w:r>
              <w:rPr>
                <w:rFonts w:ascii="Arial" w:cs="Arial" w:eastAsia="Arial" w:hAnsi="Arial"/>
                <w:sz w:val="16"/>
                <w:szCs w:val="16"/>
                <w:color w:val="auto"/>
              </w:rPr>
              <w:t>Total revenues</w:t>
            </w:r>
          </w:p>
        </w:tc>
        <w:tc>
          <w:tcPr>
            <w:tcW w:w="960" w:type="dxa"/>
            <w:vAlign w:val="bottom"/>
          </w:tcPr>
          <w:p>
            <w:pPr>
              <w:spacing w:after="0"/>
              <w:rPr>
                <w:sz w:val="18"/>
                <w:szCs w:val="18"/>
                <w:color w:val="auto"/>
              </w:rPr>
            </w:pPr>
          </w:p>
        </w:tc>
        <w:tc>
          <w:tcPr>
            <w:tcW w:w="560" w:type="dxa"/>
            <w:vAlign w:val="bottom"/>
          </w:tcPr>
          <w:p>
            <w:pPr>
              <w:jc w:val="right"/>
              <w:ind w:right="39"/>
              <w:spacing w:after="0"/>
              <w:rPr>
                <w:sz w:val="20"/>
                <w:szCs w:val="20"/>
                <w:color w:val="auto"/>
              </w:rPr>
            </w:pPr>
            <w:r>
              <w:rPr>
                <w:rFonts w:ascii="Arial" w:cs="Arial" w:eastAsia="Arial" w:hAnsi="Arial"/>
                <w:sz w:val="16"/>
                <w:szCs w:val="16"/>
                <w:color w:val="auto"/>
              </w:rPr>
              <w:t>1,547</w:t>
            </w:r>
          </w:p>
        </w:tc>
        <w:tc>
          <w:tcPr>
            <w:tcW w:w="10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w w:val="99"/>
              </w:rPr>
              <w:t>1,420</w:t>
            </w:r>
          </w:p>
        </w:tc>
      </w:tr>
      <w:tr>
        <w:trPr>
          <w:trHeight w:val="217"/>
        </w:trPr>
        <w:tc>
          <w:tcPr>
            <w:tcW w:w="8180" w:type="dxa"/>
            <w:vAlign w:val="bottom"/>
            <w:shd w:val="clear" w:color="auto" w:fill="D4F1F5"/>
          </w:tcPr>
          <w:p>
            <w:pPr>
              <w:ind w:left="20"/>
              <w:spacing w:after="0"/>
              <w:rPr>
                <w:sz w:val="20"/>
                <w:szCs w:val="20"/>
                <w:color w:val="auto"/>
              </w:rPr>
            </w:pPr>
            <w:r>
              <w:rPr>
                <w:rFonts w:ascii="Arial" w:cs="Arial" w:eastAsia="Arial" w:hAnsi="Arial"/>
                <w:sz w:val="16"/>
                <w:szCs w:val="16"/>
                <w:color w:val="auto"/>
              </w:rPr>
              <w:t>Operation and maintenance</w:t>
            </w:r>
          </w:p>
        </w:tc>
        <w:tc>
          <w:tcPr>
            <w:tcW w:w="960" w:type="dxa"/>
            <w:vAlign w:val="bottom"/>
            <w:shd w:val="clear" w:color="auto" w:fill="D4F1F5"/>
          </w:tcPr>
          <w:p>
            <w:pPr>
              <w:spacing w:after="0"/>
              <w:rPr>
                <w:sz w:val="18"/>
                <w:szCs w:val="18"/>
                <w:color w:val="auto"/>
              </w:rPr>
            </w:pPr>
          </w:p>
        </w:tc>
        <w:tc>
          <w:tcPr>
            <w:tcW w:w="560" w:type="dxa"/>
            <w:vAlign w:val="bottom"/>
            <w:shd w:val="clear" w:color="auto" w:fill="D4F1F5"/>
          </w:tcPr>
          <w:p>
            <w:pPr>
              <w:jc w:val="right"/>
              <w:spacing w:after="0"/>
              <w:rPr>
                <w:sz w:val="20"/>
                <w:szCs w:val="20"/>
                <w:color w:val="auto"/>
              </w:rPr>
            </w:pPr>
            <w:r>
              <w:rPr>
                <w:rFonts w:ascii="Arial" w:cs="Arial" w:eastAsia="Arial" w:hAnsi="Arial"/>
                <w:sz w:val="16"/>
                <w:szCs w:val="16"/>
                <w:color w:val="auto"/>
              </w:rPr>
              <w:t>(423)</w:t>
            </w:r>
          </w:p>
        </w:tc>
        <w:tc>
          <w:tcPr>
            <w:tcW w:w="1040" w:type="dxa"/>
            <w:vAlign w:val="bottom"/>
            <w:shd w:val="clear" w:color="auto" w:fill="D4F1F5"/>
          </w:tcPr>
          <w:p>
            <w:pPr>
              <w:spacing w:after="0"/>
              <w:rPr>
                <w:sz w:val="18"/>
                <w:szCs w:val="18"/>
                <w:color w:val="auto"/>
              </w:rPr>
            </w:pPr>
          </w:p>
        </w:tc>
        <w:tc>
          <w:tcPr>
            <w:tcW w:w="500" w:type="dxa"/>
            <w:vAlign w:val="bottom"/>
            <w:shd w:val="clear" w:color="auto" w:fill="D4F1F5"/>
          </w:tcPr>
          <w:p>
            <w:pPr>
              <w:jc w:val="right"/>
              <w:spacing w:after="0"/>
              <w:rPr>
                <w:sz w:val="20"/>
                <w:szCs w:val="20"/>
                <w:color w:val="auto"/>
              </w:rPr>
            </w:pPr>
            <w:r>
              <w:rPr>
                <w:rFonts w:ascii="Arial" w:cs="Arial" w:eastAsia="Arial" w:hAnsi="Arial"/>
                <w:sz w:val="16"/>
                <w:szCs w:val="16"/>
                <w:color w:val="auto"/>
              </w:rPr>
              <w:t>(440)</w:t>
            </w:r>
          </w:p>
        </w:tc>
      </w:tr>
      <w:tr>
        <w:trPr>
          <w:trHeight w:val="215"/>
        </w:trPr>
        <w:tc>
          <w:tcPr>
            <w:tcW w:w="8180" w:type="dxa"/>
            <w:vAlign w:val="bottom"/>
          </w:tcPr>
          <w:p>
            <w:pPr>
              <w:ind w:left="20"/>
              <w:spacing w:after="0"/>
              <w:rPr>
                <w:sz w:val="20"/>
                <w:szCs w:val="20"/>
                <w:color w:val="auto"/>
              </w:rPr>
            </w:pPr>
            <w:r>
              <w:rPr>
                <w:rFonts w:ascii="Arial" w:cs="Arial" w:eastAsia="Arial" w:hAnsi="Arial"/>
                <w:sz w:val="16"/>
                <w:szCs w:val="16"/>
                <w:color w:val="auto"/>
              </w:rPr>
              <w:t>Depreciation and amortization</w:t>
            </w:r>
          </w:p>
        </w:tc>
        <w:tc>
          <w:tcPr>
            <w:tcW w:w="9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(344)</w:t>
            </w:r>
          </w:p>
        </w:tc>
        <w:tc>
          <w:tcPr>
            <w:tcW w:w="10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(320)</w:t>
            </w:r>
          </w:p>
        </w:tc>
      </w:tr>
      <w:tr>
        <w:trPr>
          <w:trHeight w:val="217"/>
        </w:trPr>
        <w:tc>
          <w:tcPr>
            <w:tcW w:w="8180" w:type="dxa"/>
            <w:vAlign w:val="bottom"/>
            <w:shd w:val="clear" w:color="auto" w:fill="D4F1F5"/>
          </w:tcPr>
          <w:p>
            <w:pPr>
              <w:ind w:left="20"/>
              <w:spacing w:after="0"/>
              <w:rPr>
                <w:sz w:val="20"/>
                <w:szCs w:val="20"/>
                <w:color w:val="auto"/>
              </w:rPr>
            </w:pPr>
            <w:r>
              <w:rPr>
                <w:rFonts w:ascii="Arial" w:cs="Arial" w:eastAsia="Arial" w:hAnsi="Arial"/>
                <w:sz w:val="16"/>
                <w:szCs w:val="16"/>
                <w:color w:val="auto"/>
              </w:rPr>
              <w:t>Interest income</w:t>
            </w:r>
          </w:p>
        </w:tc>
        <w:tc>
          <w:tcPr>
            <w:tcW w:w="960" w:type="dxa"/>
            <w:vAlign w:val="bottom"/>
            <w:shd w:val="clear" w:color="auto" w:fill="D4F1F5"/>
          </w:tcPr>
          <w:p>
            <w:pPr>
              <w:spacing w:after="0"/>
              <w:rPr>
                <w:sz w:val="18"/>
                <w:szCs w:val="18"/>
                <w:color w:val="auto"/>
              </w:rPr>
            </w:pPr>
          </w:p>
        </w:tc>
        <w:tc>
          <w:tcPr>
            <w:tcW w:w="560" w:type="dxa"/>
            <w:vAlign w:val="bottom"/>
            <w:shd w:val="clear" w:color="auto" w:fill="D4F1F5"/>
          </w:tcPr>
          <w:p>
            <w:pPr>
              <w:jc w:val="right"/>
              <w:ind w:right="39"/>
              <w:spacing w:after="0"/>
              <w:rPr>
                <w:sz w:val="20"/>
                <w:szCs w:val="20"/>
                <w:color w:val="auto"/>
              </w:rPr>
            </w:pPr>
            <w:r>
              <w:rPr>
                <w:rFonts w:ascii="Arial" w:cs="Arial" w:eastAsia="Arial" w:hAnsi="Arial"/>
                <w:sz w:val="16"/>
                <w:szCs w:val="16"/>
                <w:color w:val="auto"/>
              </w:rPr>
              <w:t>1</w:t>
            </w:r>
          </w:p>
        </w:tc>
        <w:tc>
          <w:tcPr>
            <w:tcW w:w="1040" w:type="dxa"/>
            <w:vAlign w:val="bottom"/>
            <w:shd w:val="clear" w:color="auto" w:fill="D4F1F5"/>
          </w:tcPr>
          <w:p>
            <w:pPr>
              <w:spacing w:after="0"/>
              <w:rPr>
                <w:sz w:val="18"/>
                <w:szCs w:val="18"/>
                <w:color w:val="auto"/>
              </w:rPr>
            </w:pPr>
          </w:p>
        </w:tc>
        <w:tc>
          <w:tcPr>
            <w:tcW w:w="500" w:type="dxa"/>
            <w:vAlign w:val="bottom"/>
            <w:shd w:val="clear" w:color="auto" w:fill="D4F1F5"/>
          </w:tcPr>
          <w:p>
            <w:pPr>
              <w:jc w:val="right"/>
              <w:spacing w:after="0"/>
              <w:rPr>
                <w:sz w:val="20"/>
                <w:szCs w:val="20"/>
                <w:color w:val="auto"/>
              </w:rPr>
            </w:pPr>
            <w:r>
              <w:rPr>
                <w:rFonts w:ascii="Arial" w:cs="Arial" w:eastAsia="Arial" w:hAnsi="Arial"/>
                <w:sz w:val="16"/>
                <w:szCs w:val="16"/>
                <w:color w:val="auto"/>
              </w:rPr>
              <w:t>—</w:t>
            </w:r>
          </w:p>
        </w:tc>
      </w:tr>
      <w:tr>
        <w:trPr>
          <w:trHeight w:val="215"/>
        </w:trPr>
        <w:tc>
          <w:tcPr>
            <w:tcW w:w="8180" w:type="dxa"/>
            <w:vAlign w:val="bottom"/>
          </w:tcPr>
          <w:p>
            <w:pPr>
              <w:ind w:left="20"/>
              <w:spacing w:after="0"/>
              <w:rPr>
                <w:sz w:val="20"/>
                <w:szCs w:val="20"/>
                <w:color w:val="auto"/>
              </w:rPr>
            </w:pPr>
            <w:r>
              <w:rPr>
                <w:rFonts w:ascii="Arial" w:cs="Arial" w:eastAsia="Arial" w:hAnsi="Arial"/>
                <w:sz w:val="16"/>
                <w:szCs w:val="16"/>
                <w:color w:val="auto"/>
              </w:rPr>
              <w:t>Interest expense</w:t>
            </w:r>
          </w:p>
        </w:tc>
        <w:tc>
          <w:tcPr>
            <w:tcW w:w="9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(147)</w:t>
            </w:r>
          </w:p>
        </w:tc>
        <w:tc>
          <w:tcPr>
            <w:tcW w:w="10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(135)</w:t>
            </w:r>
          </w:p>
        </w:tc>
      </w:tr>
      <w:tr>
        <w:trPr>
          <w:trHeight w:val="217"/>
        </w:trPr>
        <w:tc>
          <w:tcPr>
            <w:tcW w:w="8180" w:type="dxa"/>
            <w:vAlign w:val="bottom"/>
            <w:shd w:val="clear" w:color="auto" w:fill="D4F1F5"/>
          </w:tcPr>
          <w:p>
            <w:pPr>
              <w:ind w:left="20"/>
              <w:spacing w:after="0"/>
              <w:rPr>
                <w:sz w:val="20"/>
                <w:szCs w:val="20"/>
                <w:color w:val="auto"/>
              </w:rPr>
            </w:pPr>
            <w:r>
              <w:rPr>
                <w:rFonts w:ascii="Arial" w:cs="Arial" w:eastAsia="Arial" w:hAnsi="Arial"/>
                <w:sz w:val="16"/>
                <w:szCs w:val="16"/>
                <w:color w:val="auto"/>
              </w:rPr>
              <w:t>Income tax expense</w:t>
            </w:r>
          </w:p>
        </w:tc>
        <w:tc>
          <w:tcPr>
            <w:tcW w:w="960" w:type="dxa"/>
            <w:vAlign w:val="bottom"/>
            <w:shd w:val="clear" w:color="auto" w:fill="D4F1F5"/>
          </w:tcPr>
          <w:p>
            <w:pPr>
              <w:spacing w:after="0"/>
              <w:rPr>
                <w:sz w:val="18"/>
                <w:szCs w:val="18"/>
                <w:color w:val="auto"/>
              </w:rPr>
            </w:pPr>
          </w:p>
        </w:tc>
        <w:tc>
          <w:tcPr>
            <w:tcW w:w="560" w:type="dxa"/>
            <w:vAlign w:val="bottom"/>
            <w:shd w:val="clear" w:color="auto" w:fill="D4F1F5"/>
          </w:tcPr>
          <w:p>
            <w:pPr>
              <w:jc w:val="right"/>
              <w:spacing w:after="0"/>
              <w:rPr>
                <w:sz w:val="20"/>
                <w:szCs w:val="20"/>
                <w:color w:val="auto"/>
              </w:rPr>
            </w:pPr>
            <w:r>
              <w:rPr>
                <w:rFonts w:ascii="Arial" w:cs="Arial" w:eastAsia="Arial" w:hAnsi="Arial"/>
                <w:sz w:val="16"/>
                <w:szCs w:val="16"/>
                <w:color w:val="auto"/>
              </w:rPr>
              <w:t>(69)</w:t>
            </w:r>
          </w:p>
        </w:tc>
        <w:tc>
          <w:tcPr>
            <w:tcW w:w="1040" w:type="dxa"/>
            <w:vAlign w:val="bottom"/>
            <w:shd w:val="clear" w:color="auto" w:fill="D4F1F5"/>
          </w:tcPr>
          <w:p>
            <w:pPr>
              <w:spacing w:after="0"/>
              <w:rPr>
                <w:sz w:val="18"/>
                <w:szCs w:val="18"/>
                <w:color w:val="auto"/>
              </w:rPr>
            </w:pPr>
          </w:p>
        </w:tc>
        <w:tc>
          <w:tcPr>
            <w:tcW w:w="500" w:type="dxa"/>
            <w:vAlign w:val="bottom"/>
            <w:shd w:val="clear" w:color="auto" w:fill="D4F1F5"/>
          </w:tcPr>
          <w:p>
            <w:pPr>
              <w:jc w:val="right"/>
              <w:spacing w:after="0"/>
              <w:rPr>
                <w:sz w:val="20"/>
                <w:szCs w:val="20"/>
                <w:color w:val="auto"/>
              </w:rPr>
            </w:pPr>
            <w:r>
              <w:rPr>
                <w:rFonts w:ascii="Arial" w:cs="Arial" w:eastAsia="Arial" w:hAnsi="Arial"/>
                <w:sz w:val="16"/>
                <w:szCs w:val="16"/>
                <w:color w:val="auto"/>
              </w:rPr>
              <w:t>(14)</w:t>
            </w:r>
          </w:p>
        </w:tc>
      </w:tr>
      <w:tr>
        <w:trPr>
          <w:trHeight w:val="216"/>
        </w:trPr>
        <w:tc>
          <w:tcPr>
            <w:tcW w:w="8180" w:type="dxa"/>
            <w:vAlign w:val="bottom"/>
            <w:tcBorders>
              <w:bottom w:val="single" w:sz="8" w:color="D4F1F5"/>
            </w:tcBorders>
          </w:tcPr>
          <w:p>
            <w:pPr>
              <w:ind w:left="20"/>
              <w:spacing w:after="0" w:line="216" w:lineRule="exact"/>
              <w:rPr>
                <w:sz w:val="20"/>
                <w:szCs w:val="20"/>
                <w:color w:val="auto"/>
              </w:rPr>
            </w:pPr>
            <w:r>
              <w:rPr>
                <w:rFonts w:ascii="Arial" w:cs="Arial" w:eastAsia="Arial" w:hAnsi="Arial"/>
                <w:sz w:val="16"/>
                <w:szCs w:val="16"/>
                <w:color w:val="auto"/>
              </w:rPr>
              <w:t>Other segment items</w:t>
            </w:r>
            <w:r>
              <w:rPr>
                <w:rFonts w:ascii="Arial" w:cs="Arial" w:eastAsia="Arial" w:hAnsi="Arial"/>
                <w:sz w:val="21"/>
                <w:szCs w:val="21"/>
                <w:color w:val="auto"/>
                <w:vertAlign w:val="superscript"/>
              </w:rPr>
              <w:t>(3)</w:t>
            </w:r>
          </w:p>
        </w:tc>
        <w:tc>
          <w:tcPr>
            <w:tcW w:w="96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(269)</w:t>
            </w:r>
          </w:p>
        </w:tc>
        <w:tc>
          <w:tcPr>
            <w:tcW w:w="104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(230)</w:t>
            </w:r>
          </w:p>
        </w:tc>
      </w:tr>
      <w:tr>
        <w:trPr>
          <w:trHeight w:val="217"/>
        </w:trPr>
        <w:tc>
          <w:tcPr>
            <w:tcW w:w="8180" w:type="dxa"/>
            <w:vAlign w:val="bottom"/>
            <w:tcBorders>
              <w:bottom w:val="single" w:sz="8" w:color="D4F1F5"/>
            </w:tcBorders>
            <w:shd w:val="clear" w:color="auto" w:fill="D4F1F5"/>
          </w:tcPr>
          <w:p>
            <w:pPr>
              <w:ind w:left="140"/>
              <w:spacing w:after="0"/>
              <w:rPr>
                <w:sz w:val="20"/>
                <w:szCs w:val="20"/>
                <w:color w:val="auto"/>
              </w:rPr>
            </w:pPr>
            <w:r>
              <w:rPr>
                <w:rFonts w:ascii="Arial" w:cs="Arial" w:eastAsia="Arial" w:hAnsi="Arial"/>
                <w:sz w:val="16"/>
                <w:szCs w:val="16"/>
                <w:color w:val="auto"/>
              </w:rPr>
              <w:t>Earnings attributable to common shares</w:t>
            </w:r>
          </w:p>
        </w:tc>
        <w:tc>
          <w:tcPr>
            <w:tcW w:w="960" w:type="dxa"/>
            <w:vAlign w:val="bottom"/>
            <w:tcBorders>
              <w:bottom w:val="single" w:sz="8" w:color="auto"/>
            </w:tcBorders>
            <w:shd w:val="clear" w:color="auto" w:fill="D4F1F5"/>
          </w:tcPr>
          <w:p>
            <w:pPr>
              <w:jc w:val="right"/>
              <w:ind w:right="783"/>
              <w:spacing w:after="0"/>
              <w:rPr>
                <w:sz w:val="20"/>
                <w:szCs w:val="20"/>
                <w:color w:val="auto"/>
              </w:rPr>
            </w:pPr>
            <w:r>
              <w:rPr>
                <w:rFonts w:ascii="Arial" w:cs="Arial" w:eastAsia="Arial" w:hAnsi="Arial"/>
                <w:sz w:val="16"/>
                <w:szCs w:val="16"/>
                <w:color w:val="auto"/>
                <w:w w:val="89"/>
              </w:rPr>
              <w:t>$</w:t>
            </w:r>
          </w:p>
        </w:tc>
        <w:tc>
          <w:tcPr>
            <w:tcW w:w="560" w:type="dxa"/>
            <w:vAlign w:val="bottom"/>
            <w:tcBorders>
              <w:bottom w:val="single" w:sz="8" w:color="auto"/>
            </w:tcBorders>
            <w:shd w:val="clear" w:color="auto" w:fill="D4F1F5"/>
          </w:tcPr>
          <w:p>
            <w:pPr>
              <w:jc w:val="right"/>
              <w:ind w:right="39"/>
              <w:spacing w:after="0"/>
              <w:rPr>
                <w:sz w:val="20"/>
                <w:szCs w:val="20"/>
                <w:color w:val="auto"/>
              </w:rPr>
            </w:pPr>
            <w:r>
              <w:rPr>
                <w:rFonts w:ascii="Arial" w:cs="Arial" w:eastAsia="Arial" w:hAnsi="Arial"/>
                <w:sz w:val="16"/>
                <w:szCs w:val="16"/>
                <w:color w:val="auto"/>
              </w:rPr>
              <w:t>296</w:t>
            </w:r>
          </w:p>
        </w:tc>
        <w:tc>
          <w:tcPr>
            <w:tcW w:w="1040" w:type="dxa"/>
            <w:vAlign w:val="bottom"/>
            <w:tcBorders>
              <w:bottom w:val="single" w:sz="8" w:color="auto"/>
            </w:tcBorders>
            <w:shd w:val="clear" w:color="auto" w:fill="D4F1F5"/>
          </w:tcPr>
          <w:p>
            <w:pPr>
              <w:jc w:val="right"/>
              <w:ind w:right="801"/>
              <w:spacing w:after="0"/>
              <w:rPr>
                <w:sz w:val="20"/>
                <w:szCs w:val="20"/>
                <w:color w:val="auto"/>
              </w:rPr>
            </w:pPr>
            <w:r>
              <w:rPr>
                <w:rFonts w:ascii="Arial" w:cs="Arial" w:eastAsia="Arial" w:hAnsi="Arial"/>
                <w:sz w:val="16"/>
                <w:szCs w:val="16"/>
                <w:color w:val="auto"/>
              </w:rPr>
              <w:t>$</w:t>
            </w:r>
          </w:p>
        </w:tc>
        <w:tc>
          <w:tcPr>
            <w:tcW w:w="500" w:type="dxa"/>
            <w:vAlign w:val="bottom"/>
            <w:tcBorders>
              <w:bottom w:val="single" w:sz="8" w:color="auto"/>
            </w:tcBorders>
            <w:shd w:val="clear" w:color="auto" w:fill="D4F1F5"/>
          </w:tcPr>
          <w:p>
            <w:pPr>
              <w:jc w:val="right"/>
              <w:spacing w:after="0"/>
              <w:rPr>
                <w:sz w:val="20"/>
                <w:szCs w:val="20"/>
                <w:color w:val="auto"/>
              </w:rPr>
            </w:pPr>
            <w:r>
              <w:rPr>
                <w:rFonts w:ascii="Arial" w:cs="Arial" w:eastAsia="Arial" w:hAnsi="Arial"/>
                <w:sz w:val="16"/>
                <w:szCs w:val="16"/>
                <w:color w:val="auto"/>
              </w:rPr>
              <w:t>281</w:t>
            </w:r>
          </w:p>
        </w:tc>
      </w:tr>
      <w:tr>
        <w:trPr>
          <w:trHeight w:val="203"/>
        </w:trPr>
        <w:tc>
          <w:tcPr>
            <w:tcW w:w="8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500" w:type="dxa"/>
            <w:vAlign w:val="bottom"/>
          </w:tcPr>
          <w:p>
            <w:pPr>
              <w:spacing w:after="0"/>
              <w:rPr>
                <w:sz w:val="17"/>
                <w:szCs w:val="17"/>
                <w:color w:val="auto"/>
              </w:rPr>
            </w:pPr>
          </w:p>
        </w:tc>
      </w:tr>
      <w:tr>
        <w:trPr>
          <w:trHeight w:val="223"/>
        </w:trPr>
        <w:tc>
          <w:tcPr>
            <w:tcW w:w="8180" w:type="dxa"/>
            <w:vAlign w:val="bottom"/>
            <w:tcBorders>
              <w:bottom w:val="single" w:sz="8" w:color="B6B6B6"/>
            </w:tcBorders>
            <w:shd w:val="clear" w:color="auto" w:fill="D4F1F5"/>
          </w:tcPr>
          <w:p>
            <w:pPr>
              <w:ind w:left="20"/>
              <w:spacing w:after="0"/>
              <w:rPr>
                <w:sz w:val="20"/>
                <w:szCs w:val="20"/>
                <w:color w:val="auto"/>
              </w:rPr>
            </w:pPr>
            <w:r>
              <w:rPr>
                <w:rFonts w:ascii="Arial" w:cs="Arial" w:eastAsia="Arial" w:hAnsi="Arial"/>
                <w:sz w:val="16"/>
                <w:szCs w:val="16"/>
                <w:color w:val="auto"/>
              </w:rPr>
              <w:t>Capital expenditures for property, plant and equipment</w:t>
            </w:r>
          </w:p>
        </w:tc>
        <w:tc>
          <w:tcPr>
            <w:tcW w:w="960" w:type="dxa"/>
            <w:vAlign w:val="bottom"/>
            <w:tcBorders>
              <w:bottom w:val="single" w:sz="8" w:color="B6B6B6"/>
            </w:tcBorders>
            <w:shd w:val="clear" w:color="auto" w:fill="D4F1F5"/>
          </w:tcPr>
          <w:p>
            <w:pPr>
              <w:jc w:val="right"/>
              <w:ind w:right="783"/>
              <w:spacing w:after="0"/>
              <w:rPr>
                <w:sz w:val="20"/>
                <w:szCs w:val="20"/>
                <w:color w:val="auto"/>
              </w:rPr>
            </w:pPr>
            <w:r>
              <w:rPr>
                <w:rFonts w:ascii="Arial" w:cs="Arial" w:eastAsia="Arial" w:hAnsi="Arial"/>
                <w:sz w:val="16"/>
                <w:szCs w:val="16"/>
                <w:color w:val="auto"/>
                <w:w w:val="89"/>
              </w:rPr>
              <w:t>$</w:t>
            </w:r>
          </w:p>
        </w:tc>
        <w:tc>
          <w:tcPr>
            <w:tcW w:w="560" w:type="dxa"/>
            <w:vAlign w:val="bottom"/>
            <w:tcBorders>
              <w:bottom w:val="single" w:sz="8" w:color="B6B6B6"/>
            </w:tcBorders>
            <w:shd w:val="clear" w:color="auto" w:fill="D4F1F5"/>
          </w:tcPr>
          <w:p>
            <w:pPr>
              <w:jc w:val="right"/>
              <w:ind w:right="39"/>
              <w:spacing w:after="0"/>
              <w:rPr>
                <w:sz w:val="20"/>
                <w:szCs w:val="20"/>
                <w:color w:val="auto"/>
              </w:rPr>
            </w:pPr>
            <w:r>
              <w:rPr>
                <w:rFonts w:ascii="Arial" w:cs="Arial" w:eastAsia="Arial" w:hAnsi="Arial"/>
                <w:sz w:val="16"/>
                <w:szCs w:val="16"/>
                <w:color w:val="auto"/>
              </w:rPr>
              <w:t>486</w:t>
            </w:r>
          </w:p>
        </w:tc>
        <w:tc>
          <w:tcPr>
            <w:tcW w:w="1040" w:type="dxa"/>
            <w:vAlign w:val="bottom"/>
            <w:tcBorders>
              <w:bottom w:val="single" w:sz="8" w:color="B6B6B6"/>
            </w:tcBorders>
            <w:shd w:val="clear" w:color="auto" w:fill="D4F1F5"/>
          </w:tcPr>
          <w:p>
            <w:pPr>
              <w:jc w:val="right"/>
              <w:ind w:right="801"/>
              <w:spacing w:after="0"/>
              <w:rPr>
                <w:sz w:val="20"/>
                <w:szCs w:val="20"/>
                <w:color w:val="auto"/>
              </w:rPr>
            </w:pPr>
            <w:r>
              <w:rPr>
                <w:rFonts w:ascii="Arial" w:cs="Arial" w:eastAsia="Arial" w:hAnsi="Arial"/>
                <w:sz w:val="16"/>
                <w:szCs w:val="16"/>
                <w:color w:val="auto"/>
              </w:rPr>
              <w:t>$</w:t>
            </w:r>
          </w:p>
        </w:tc>
        <w:tc>
          <w:tcPr>
            <w:tcW w:w="500" w:type="dxa"/>
            <w:vAlign w:val="bottom"/>
            <w:tcBorders>
              <w:bottom w:val="single" w:sz="8" w:color="B6B6B6"/>
            </w:tcBorders>
            <w:shd w:val="clear" w:color="auto" w:fill="D4F1F5"/>
          </w:tcPr>
          <w:p>
            <w:pPr>
              <w:jc w:val="right"/>
              <w:spacing w:after="0"/>
              <w:rPr>
                <w:sz w:val="20"/>
                <w:szCs w:val="20"/>
                <w:color w:val="auto"/>
              </w:rPr>
            </w:pPr>
            <w:r>
              <w:rPr>
                <w:rFonts w:ascii="Arial" w:cs="Arial" w:eastAsia="Arial" w:hAnsi="Arial"/>
                <w:sz w:val="16"/>
                <w:szCs w:val="16"/>
                <w:color w:val="auto"/>
              </w:rPr>
              <w:t>539</w:t>
            </w:r>
          </w:p>
        </w:tc>
      </w:tr>
    </w:tbl>
    <w:p>
      <w:pPr>
        <w:spacing w:after="0" w:line="142" w:lineRule="exact"/>
        <w:rPr>
          <w:sz w:val="20"/>
          <w:szCs w:val="20"/>
          <w:color w:val="auto"/>
        </w:rPr>
      </w:pPr>
    </w:p>
    <w:p>
      <w:pPr>
        <w:ind w:left="300" w:hanging="292"/>
        <w:spacing w:after="0"/>
        <w:tabs>
          <w:tab w:leader="none" w:pos="300" w:val="left"/>
        </w:tabs>
        <w:numPr>
          <w:ilvl w:val="0"/>
          <w:numId w:val="44"/>
        </w:numPr>
        <w:rPr>
          <w:rFonts w:ascii="Arial" w:cs="Arial" w:eastAsia="Arial" w:hAnsi="Arial"/>
          <w:sz w:val="21"/>
          <w:szCs w:val="21"/>
          <w:i w:val="1"/>
          <w:iCs w:val="1"/>
          <w:color w:val="auto"/>
          <w:vertAlign w:val="superscript"/>
        </w:rPr>
      </w:pPr>
      <w:r>
        <w:rPr>
          <w:rFonts w:ascii="Arial" w:cs="Arial" w:eastAsia="Arial" w:hAnsi="Arial"/>
          <w:sz w:val="14"/>
          <w:szCs w:val="14"/>
          <w:i w:val="1"/>
          <w:iCs w:val="1"/>
          <w:color w:val="auto"/>
        </w:rPr>
        <w:t>SDG&amp;E did not have revenues from transactions with a single external customer that amounted to 10% or more of its total revenues.</w:t>
      </w:r>
    </w:p>
    <w:p>
      <w:pPr>
        <w:spacing w:after="0" w:line="26" w:lineRule="exact"/>
        <w:rPr>
          <w:rFonts w:ascii="Arial" w:cs="Arial" w:eastAsia="Arial" w:hAnsi="Arial"/>
          <w:sz w:val="21"/>
          <w:szCs w:val="21"/>
          <w:i w:val="1"/>
          <w:iCs w:val="1"/>
          <w:color w:val="auto"/>
          <w:vertAlign w:val="superscript"/>
        </w:rPr>
      </w:pPr>
    </w:p>
    <w:p>
      <w:pPr>
        <w:ind w:left="340" w:right="120" w:hanging="332"/>
        <w:spacing w:after="0" w:line="209" w:lineRule="auto"/>
        <w:tabs>
          <w:tab w:leader="none" w:pos="304" w:val="left"/>
        </w:tabs>
        <w:numPr>
          <w:ilvl w:val="0"/>
          <w:numId w:val="44"/>
        </w:numPr>
        <w:rPr>
          <w:rFonts w:ascii="Arial" w:cs="Arial" w:eastAsia="Arial" w:hAnsi="Arial"/>
          <w:sz w:val="21"/>
          <w:szCs w:val="21"/>
          <w:i w:val="1"/>
          <w:iCs w:val="1"/>
          <w:color w:val="auto"/>
          <w:vertAlign w:val="superscript"/>
        </w:rPr>
      </w:pPr>
      <w:r>
        <w:rPr>
          <w:rFonts w:ascii="Arial" w:cs="Arial" w:eastAsia="Arial" w:hAnsi="Arial"/>
          <w:sz w:val="14"/>
          <w:szCs w:val="14"/>
          <w:i w:val="1"/>
          <w:iCs w:val="1"/>
          <w:color w:val="auto"/>
        </w:rPr>
        <w:t>See “Revenues from Sources Other Than Contracts with Customers” in Note 3 of the Notes to Consolidated Financial Statements in the Annual Report for a description of this revenue source, which may be additive or subtractive from period to period.</w:t>
      </w:r>
    </w:p>
    <w:p>
      <w:pPr>
        <w:spacing w:after="0" w:line="1" w:lineRule="exact"/>
        <w:rPr>
          <w:rFonts w:ascii="Arial" w:cs="Arial" w:eastAsia="Arial" w:hAnsi="Arial"/>
          <w:sz w:val="21"/>
          <w:szCs w:val="21"/>
          <w:i w:val="1"/>
          <w:iCs w:val="1"/>
          <w:color w:val="auto"/>
          <w:vertAlign w:val="superscript"/>
        </w:rPr>
      </w:pPr>
    </w:p>
    <w:p>
      <w:pPr>
        <w:ind w:left="300" w:hanging="292"/>
        <w:spacing w:after="0" w:line="214" w:lineRule="auto"/>
        <w:tabs>
          <w:tab w:leader="none" w:pos="300" w:val="left"/>
        </w:tabs>
        <w:numPr>
          <w:ilvl w:val="0"/>
          <w:numId w:val="44"/>
        </w:numPr>
        <w:rPr>
          <w:rFonts w:ascii="Arial" w:cs="Arial" w:eastAsia="Arial" w:hAnsi="Arial"/>
          <w:sz w:val="21"/>
          <w:szCs w:val="21"/>
          <w:i w:val="1"/>
          <w:iCs w:val="1"/>
          <w:color w:val="auto"/>
          <w:vertAlign w:val="superscript"/>
        </w:rPr>
      </w:pPr>
      <w:r>
        <w:rPr>
          <w:rFonts w:ascii="Arial" w:cs="Arial" w:eastAsia="Arial" w:hAnsi="Arial"/>
          <w:sz w:val="14"/>
          <w:szCs w:val="14"/>
          <w:i w:val="1"/>
          <w:iCs w:val="1"/>
          <w:color w:val="auto"/>
        </w:rPr>
        <w:t>Includes cost of electric fuel and purchased power, cost of natural gas, franchise fees and other taxes, and other income (expense), net.</w:t>
      </w: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SOCALGAS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SoCalGas is a regulated public natural gas distribution utility, serving customers throughout most of Southern California and part of central California.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SoCalGas has one operating and reportable segment.</w:t>
      </w:r>
    </w:p>
    <w:p>
      <w:pPr>
        <w:spacing w:after="0" w:line="112" w:lineRule="exact"/>
        <w:rPr>
          <w:sz w:val="20"/>
          <w:szCs w:val="20"/>
          <w:color w:val="auto"/>
        </w:rPr>
      </w:pPr>
    </w:p>
    <w:p>
      <w:pPr>
        <w:jc w:val="both"/>
        <w:ind w:right="300"/>
        <w:spacing w:after="0" w:line="281" w:lineRule="auto"/>
        <w:rPr>
          <w:sz w:val="20"/>
          <w:szCs w:val="20"/>
          <w:color w:val="auto"/>
        </w:rPr>
      </w:pPr>
      <w:r>
        <w:rPr>
          <w:rFonts w:ascii="Times New Roman" w:cs="Times New Roman" w:eastAsia="Times New Roman" w:hAnsi="Times New Roman"/>
          <w:sz w:val="18"/>
          <w:szCs w:val="18"/>
          <w:color w:val="auto"/>
        </w:rPr>
        <w:t>Effective April 18, 2026, SoCalGas’ chief operating officer was appointed president on an interim basis and assumed the responsibilities of the CODM. The CODM utilizes earnings attributable to common shares to manage the business, assess performance and allocate resources. SoCalGas’ CODM was previously its chief executive officer.</w:t>
      </w:r>
    </w:p>
    <w:p>
      <w:pPr>
        <w:spacing w:after="0" w:line="56" w:lineRule="exact"/>
        <w:rPr>
          <w:sz w:val="20"/>
          <w:szCs w:val="20"/>
          <w:color w:val="auto"/>
        </w:rPr>
      </w:pPr>
    </w:p>
    <w:p>
      <w:pPr>
        <w:ind w:right="120"/>
        <w:spacing w:after="0" w:line="297" w:lineRule="auto"/>
        <w:rPr>
          <w:sz w:val="20"/>
          <w:szCs w:val="20"/>
          <w:color w:val="auto"/>
        </w:rPr>
      </w:pPr>
      <w:r>
        <w:rPr>
          <w:rFonts w:ascii="Times New Roman" w:cs="Times New Roman" w:eastAsia="Times New Roman" w:hAnsi="Times New Roman"/>
          <w:sz w:val="18"/>
          <w:szCs w:val="18"/>
          <w:color w:val="auto"/>
        </w:rPr>
        <w:t>Total assets at SoCalGas are $27.6 billion and $27.7 billion at March 31, 2026 and December 31, 2025, respectively. The following table presents selected information for SoCalGas’ single segment and reconciliation of earnings attributable to common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63500</wp:posOffset>
            </wp:positionV>
            <wp:extent cx="7132320" cy="3003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32320" cy="300355"/>
                    </a:xfrm>
                    <a:prstGeom prst="rect">
                      <a:avLst/>
                    </a:prstGeom>
                    <a:noFill/>
                  </pic:spPr>
                </pic:pic>
              </a:graphicData>
            </a:graphic>
          </wp:anchor>
        </w:drawing>
      </w:r>
    </w:p>
    <w:p>
      <w:pPr>
        <w:spacing w:after="0" w:line="93"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FFFFFF"/>
        </w:rPr>
        <w:t>SEGMENT INFORMATION</w:t>
      </w:r>
    </w:p>
    <w:p>
      <w:pPr>
        <w:spacing w:after="0" w:line="66" w:lineRule="exact"/>
        <w:rPr>
          <w:sz w:val="20"/>
          <w:szCs w:val="20"/>
          <w:color w:val="auto"/>
        </w:rPr>
      </w:pPr>
    </w:p>
    <w:p>
      <w:pPr>
        <w:ind w:left="20"/>
        <w:spacing w:after="0"/>
        <w:rPr>
          <w:sz w:val="20"/>
          <w:szCs w:val="20"/>
          <w:color w:val="auto"/>
        </w:rPr>
      </w:pPr>
      <w:r>
        <w:rPr>
          <w:rFonts w:ascii="Arial" w:cs="Arial" w:eastAsia="Arial" w:hAnsi="Arial"/>
          <w:sz w:val="14"/>
          <w:szCs w:val="14"/>
          <w:i w:val="1"/>
          <w:iCs w:val="1"/>
          <w:color w:val="FFFFFF"/>
        </w:rPr>
        <w:t>(Dollars in millions)</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8180" w:type="dxa"/>
            <w:vAlign w:val="bottom"/>
          </w:tcPr>
          <w:p>
            <w:pPr>
              <w:spacing w:after="0"/>
              <w:rPr>
                <w:sz w:val="16"/>
                <w:szCs w:val="16"/>
                <w:color w:val="auto"/>
              </w:rPr>
            </w:pPr>
          </w:p>
        </w:tc>
        <w:tc>
          <w:tcPr>
            <w:tcW w:w="25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color w:val="auto"/>
              </w:rPr>
              <w:t>Three months ended March 31,</w:t>
            </w:r>
          </w:p>
        </w:tc>
        <w:tc>
          <w:tcPr>
            <w:tcW w:w="500" w:type="dxa"/>
            <w:vAlign w:val="bottom"/>
            <w:tcBorders>
              <w:bottom w:val="single" w:sz="8" w:color="auto"/>
            </w:tcBorders>
          </w:tcPr>
          <w:p>
            <w:pPr>
              <w:spacing w:after="0"/>
              <w:rPr>
                <w:sz w:val="16"/>
                <w:szCs w:val="16"/>
                <w:color w:val="auto"/>
              </w:rPr>
            </w:pPr>
          </w:p>
        </w:tc>
      </w:tr>
      <w:tr>
        <w:trPr>
          <w:trHeight w:val="210"/>
        </w:trPr>
        <w:tc>
          <w:tcPr>
            <w:tcW w:w="81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2026</w:t>
            </w:r>
          </w:p>
        </w:tc>
        <w:tc>
          <w:tcPr>
            <w:tcW w:w="5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1"/>
              <w:spacing w:after="0"/>
              <w:rPr>
                <w:sz w:val="20"/>
                <w:szCs w:val="20"/>
                <w:color w:val="auto"/>
              </w:rPr>
            </w:pPr>
            <w:r>
              <w:rPr>
                <w:rFonts w:ascii="Arial" w:cs="Arial" w:eastAsia="Arial" w:hAnsi="Arial"/>
                <w:sz w:val="14"/>
                <w:szCs w:val="14"/>
                <w:color w:val="auto"/>
              </w:rPr>
              <w:t>2025</w:t>
            </w:r>
          </w:p>
        </w:tc>
        <w:tc>
          <w:tcPr>
            <w:tcW w:w="500" w:type="dxa"/>
            <w:vAlign w:val="bottom"/>
            <w:tcBorders>
              <w:bottom w:val="single" w:sz="8" w:color="auto"/>
            </w:tcBorders>
          </w:tcPr>
          <w:p>
            <w:pPr>
              <w:spacing w:after="0"/>
              <w:rPr>
                <w:sz w:val="18"/>
                <w:szCs w:val="18"/>
                <w:color w:val="auto"/>
              </w:rPr>
            </w:pPr>
          </w:p>
        </w:tc>
      </w:tr>
      <w:tr>
        <w:trPr>
          <w:trHeight w:val="213"/>
        </w:trPr>
        <w:tc>
          <w:tcPr>
            <w:tcW w:w="8180" w:type="dxa"/>
            <w:vAlign w:val="bottom"/>
            <w:shd w:val="clear" w:color="auto" w:fill="D4F1F5"/>
          </w:tcPr>
          <w:p>
            <w:pPr>
              <w:ind w:left="20"/>
              <w:spacing w:after="0"/>
              <w:rPr>
                <w:sz w:val="20"/>
                <w:szCs w:val="20"/>
                <w:color w:val="auto"/>
              </w:rPr>
            </w:pPr>
            <w:r>
              <w:rPr>
                <w:rFonts w:ascii="Arial" w:cs="Arial" w:eastAsia="Arial" w:hAnsi="Arial"/>
                <w:sz w:val="16"/>
                <w:szCs w:val="16"/>
                <w:b w:val="1"/>
                <w:bCs w:val="1"/>
                <w:color w:val="auto"/>
              </w:rPr>
              <w:t>SoCalGas:</w:t>
            </w:r>
          </w:p>
        </w:tc>
        <w:tc>
          <w:tcPr>
            <w:tcW w:w="960" w:type="dxa"/>
            <w:vAlign w:val="bottom"/>
            <w:shd w:val="clear" w:color="auto" w:fill="D4F1F5"/>
          </w:tcPr>
          <w:p>
            <w:pPr>
              <w:spacing w:after="0"/>
              <w:rPr>
                <w:sz w:val="18"/>
                <w:szCs w:val="18"/>
                <w:color w:val="auto"/>
              </w:rPr>
            </w:pPr>
          </w:p>
        </w:tc>
        <w:tc>
          <w:tcPr>
            <w:tcW w:w="560" w:type="dxa"/>
            <w:vAlign w:val="bottom"/>
            <w:shd w:val="clear" w:color="auto" w:fill="D4F1F5"/>
          </w:tcPr>
          <w:p>
            <w:pPr>
              <w:spacing w:after="0"/>
              <w:rPr>
                <w:sz w:val="18"/>
                <w:szCs w:val="18"/>
                <w:color w:val="auto"/>
              </w:rPr>
            </w:pPr>
          </w:p>
        </w:tc>
        <w:tc>
          <w:tcPr>
            <w:tcW w:w="1040" w:type="dxa"/>
            <w:vAlign w:val="bottom"/>
            <w:shd w:val="clear" w:color="auto" w:fill="D4F1F5"/>
          </w:tcPr>
          <w:p>
            <w:pPr>
              <w:spacing w:after="0"/>
              <w:rPr>
                <w:sz w:val="18"/>
                <w:szCs w:val="18"/>
                <w:color w:val="auto"/>
              </w:rPr>
            </w:pPr>
          </w:p>
        </w:tc>
        <w:tc>
          <w:tcPr>
            <w:tcW w:w="500" w:type="dxa"/>
            <w:vAlign w:val="bottom"/>
            <w:shd w:val="clear" w:color="auto" w:fill="D4F1F5"/>
          </w:tcPr>
          <w:p>
            <w:pPr>
              <w:spacing w:after="0"/>
              <w:rPr>
                <w:sz w:val="18"/>
                <w:szCs w:val="18"/>
                <w:color w:val="auto"/>
              </w:rPr>
            </w:pPr>
          </w:p>
        </w:tc>
      </w:tr>
      <w:tr>
        <w:trPr>
          <w:trHeight w:val="215"/>
        </w:trPr>
        <w:tc>
          <w:tcPr>
            <w:tcW w:w="8180" w:type="dxa"/>
            <w:vAlign w:val="bottom"/>
          </w:tcPr>
          <w:p>
            <w:pPr>
              <w:ind w:left="20"/>
              <w:spacing w:after="0"/>
              <w:rPr>
                <w:sz w:val="20"/>
                <w:szCs w:val="20"/>
                <w:color w:val="auto"/>
              </w:rPr>
            </w:pPr>
            <w:r>
              <w:rPr>
                <w:rFonts w:ascii="Arial" w:cs="Arial" w:eastAsia="Arial" w:hAnsi="Arial"/>
                <w:sz w:val="16"/>
                <w:szCs w:val="16"/>
                <w:color w:val="auto"/>
              </w:rPr>
              <w:t>Natural gas:</w:t>
            </w:r>
          </w:p>
        </w:tc>
        <w:tc>
          <w:tcPr>
            <w:tcW w:w="9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00" w:type="dxa"/>
            <w:vAlign w:val="bottom"/>
          </w:tcPr>
          <w:p>
            <w:pPr>
              <w:spacing w:after="0"/>
              <w:rPr>
                <w:sz w:val="18"/>
                <w:szCs w:val="18"/>
                <w:color w:val="auto"/>
              </w:rPr>
            </w:pPr>
          </w:p>
        </w:tc>
      </w:tr>
      <w:tr>
        <w:trPr>
          <w:trHeight w:val="217"/>
        </w:trPr>
        <w:tc>
          <w:tcPr>
            <w:tcW w:w="8180" w:type="dxa"/>
            <w:vAlign w:val="bottom"/>
            <w:shd w:val="clear" w:color="auto" w:fill="D4F1F5"/>
          </w:tcPr>
          <w:p>
            <w:pPr>
              <w:ind w:left="140"/>
              <w:spacing w:after="0" w:line="217" w:lineRule="exact"/>
              <w:rPr>
                <w:sz w:val="20"/>
                <w:szCs w:val="20"/>
                <w:color w:val="auto"/>
              </w:rPr>
            </w:pPr>
            <w:r>
              <w:rPr>
                <w:rFonts w:ascii="Arial" w:cs="Arial" w:eastAsia="Arial" w:hAnsi="Arial"/>
                <w:sz w:val="16"/>
                <w:szCs w:val="16"/>
                <w:color w:val="auto"/>
              </w:rPr>
              <w:t>Revenues from external customers</w:t>
            </w:r>
            <w:r>
              <w:rPr>
                <w:rFonts w:ascii="Arial" w:cs="Arial" w:eastAsia="Arial" w:hAnsi="Arial"/>
                <w:sz w:val="21"/>
                <w:szCs w:val="21"/>
                <w:color w:val="auto"/>
                <w:vertAlign w:val="superscript"/>
              </w:rPr>
              <w:t>(1)</w:t>
            </w:r>
          </w:p>
        </w:tc>
        <w:tc>
          <w:tcPr>
            <w:tcW w:w="960" w:type="dxa"/>
            <w:vAlign w:val="bottom"/>
            <w:shd w:val="clear" w:color="auto" w:fill="D4F1F5"/>
          </w:tcPr>
          <w:p>
            <w:pPr>
              <w:jc w:val="right"/>
              <w:ind w:right="783"/>
              <w:spacing w:after="0"/>
              <w:rPr>
                <w:sz w:val="20"/>
                <w:szCs w:val="20"/>
                <w:color w:val="auto"/>
              </w:rPr>
            </w:pPr>
            <w:r>
              <w:rPr>
                <w:rFonts w:ascii="Arial" w:cs="Arial" w:eastAsia="Arial" w:hAnsi="Arial"/>
                <w:sz w:val="16"/>
                <w:szCs w:val="16"/>
                <w:color w:val="auto"/>
                <w:w w:val="89"/>
              </w:rPr>
              <w:t>$</w:t>
            </w:r>
          </w:p>
        </w:tc>
        <w:tc>
          <w:tcPr>
            <w:tcW w:w="560" w:type="dxa"/>
            <w:vAlign w:val="bottom"/>
            <w:shd w:val="clear" w:color="auto" w:fill="D4F1F5"/>
          </w:tcPr>
          <w:p>
            <w:pPr>
              <w:jc w:val="right"/>
              <w:ind w:right="39"/>
              <w:spacing w:after="0"/>
              <w:rPr>
                <w:sz w:val="20"/>
                <w:szCs w:val="20"/>
                <w:color w:val="auto"/>
              </w:rPr>
            </w:pPr>
            <w:r>
              <w:rPr>
                <w:rFonts w:ascii="Arial" w:cs="Arial" w:eastAsia="Arial" w:hAnsi="Arial"/>
                <w:sz w:val="16"/>
                <w:szCs w:val="16"/>
                <w:color w:val="auto"/>
              </w:rPr>
              <w:t>1,708</w:t>
            </w:r>
          </w:p>
        </w:tc>
        <w:tc>
          <w:tcPr>
            <w:tcW w:w="1040" w:type="dxa"/>
            <w:vAlign w:val="bottom"/>
            <w:shd w:val="clear" w:color="auto" w:fill="D4F1F5"/>
          </w:tcPr>
          <w:p>
            <w:pPr>
              <w:jc w:val="right"/>
              <w:ind w:right="801"/>
              <w:spacing w:after="0"/>
              <w:rPr>
                <w:sz w:val="20"/>
                <w:szCs w:val="20"/>
                <w:color w:val="auto"/>
              </w:rPr>
            </w:pPr>
            <w:r>
              <w:rPr>
                <w:rFonts w:ascii="Arial" w:cs="Arial" w:eastAsia="Arial" w:hAnsi="Arial"/>
                <w:sz w:val="16"/>
                <w:szCs w:val="16"/>
                <w:color w:val="auto"/>
              </w:rPr>
              <w:t>$</w:t>
            </w:r>
          </w:p>
        </w:tc>
        <w:tc>
          <w:tcPr>
            <w:tcW w:w="500" w:type="dxa"/>
            <w:vAlign w:val="bottom"/>
            <w:shd w:val="clear" w:color="auto" w:fill="D4F1F5"/>
          </w:tcPr>
          <w:p>
            <w:pPr>
              <w:jc w:val="right"/>
              <w:spacing w:after="0"/>
              <w:rPr>
                <w:sz w:val="20"/>
                <w:szCs w:val="20"/>
                <w:color w:val="auto"/>
              </w:rPr>
            </w:pPr>
            <w:r>
              <w:rPr>
                <w:rFonts w:ascii="Arial" w:cs="Arial" w:eastAsia="Arial" w:hAnsi="Arial"/>
                <w:sz w:val="16"/>
                <w:szCs w:val="16"/>
                <w:color w:val="auto"/>
                <w:w w:val="99"/>
              </w:rPr>
              <w:t>2,068</w:t>
            </w:r>
          </w:p>
        </w:tc>
      </w:tr>
      <w:tr>
        <w:trPr>
          <w:trHeight w:val="216"/>
        </w:trPr>
        <w:tc>
          <w:tcPr>
            <w:tcW w:w="8180" w:type="dxa"/>
            <w:vAlign w:val="bottom"/>
            <w:tcBorders>
              <w:bottom w:val="single" w:sz="8" w:color="D4F1F5"/>
            </w:tcBorders>
          </w:tcPr>
          <w:p>
            <w:pPr>
              <w:ind w:left="140"/>
              <w:spacing w:after="0" w:line="216" w:lineRule="exact"/>
              <w:rPr>
                <w:sz w:val="20"/>
                <w:szCs w:val="20"/>
                <w:color w:val="auto"/>
              </w:rPr>
            </w:pPr>
            <w:r>
              <w:rPr>
                <w:rFonts w:ascii="Arial" w:cs="Arial" w:eastAsia="Arial" w:hAnsi="Arial"/>
                <w:sz w:val="16"/>
                <w:szCs w:val="16"/>
                <w:color w:val="auto"/>
              </w:rPr>
              <w:t>Other revenues</w:t>
            </w:r>
            <w:r>
              <w:rPr>
                <w:rFonts w:ascii="Arial" w:cs="Arial" w:eastAsia="Arial" w:hAnsi="Arial"/>
                <w:sz w:val="21"/>
                <w:szCs w:val="21"/>
                <w:color w:val="auto"/>
                <w:vertAlign w:val="superscript"/>
              </w:rPr>
              <w:t>(2)</w:t>
            </w:r>
          </w:p>
        </w:tc>
        <w:tc>
          <w:tcPr>
            <w:tcW w:w="96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20</w:t>
            </w:r>
          </w:p>
        </w:tc>
        <w:tc>
          <w:tcPr>
            <w:tcW w:w="104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w:t>
            </w:r>
          </w:p>
        </w:tc>
      </w:tr>
      <w:tr>
        <w:trPr>
          <w:trHeight w:val="209"/>
        </w:trPr>
        <w:tc>
          <w:tcPr>
            <w:tcW w:w="8180" w:type="dxa"/>
            <w:vAlign w:val="bottom"/>
            <w:shd w:val="clear" w:color="auto" w:fill="D4F1F5"/>
          </w:tcPr>
          <w:p>
            <w:pPr>
              <w:ind w:left="240"/>
              <w:spacing w:after="0"/>
              <w:rPr>
                <w:sz w:val="20"/>
                <w:szCs w:val="20"/>
                <w:color w:val="auto"/>
              </w:rPr>
            </w:pPr>
            <w:r>
              <w:rPr>
                <w:rFonts w:ascii="Arial" w:cs="Arial" w:eastAsia="Arial" w:hAnsi="Arial"/>
                <w:sz w:val="16"/>
                <w:szCs w:val="16"/>
                <w:color w:val="auto"/>
              </w:rPr>
              <w:t>Total revenues</w:t>
            </w:r>
          </w:p>
        </w:tc>
        <w:tc>
          <w:tcPr>
            <w:tcW w:w="960" w:type="dxa"/>
            <w:vAlign w:val="bottom"/>
            <w:shd w:val="clear" w:color="auto" w:fill="D4F1F5"/>
          </w:tcPr>
          <w:p>
            <w:pPr>
              <w:spacing w:after="0"/>
              <w:rPr>
                <w:sz w:val="18"/>
                <w:szCs w:val="18"/>
                <w:color w:val="auto"/>
              </w:rPr>
            </w:pPr>
          </w:p>
        </w:tc>
        <w:tc>
          <w:tcPr>
            <w:tcW w:w="560" w:type="dxa"/>
            <w:vAlign w:val="bottom"/>
            <w:shd w:val="clear" w:color="auto" w:fill="D4F1F5"/>
          </w:tcPr>
          <w:p>
            <w:pPr>
              <w:jc w:val="right"/>
              <w:ind w:right="39"/>
              <w:spacing w:after="0"/>
              <w:rPr>
                <w:sz w:val="20"/>
                <w:szCs w:val="20"/>
                <w:color w:val="auto"/>
              </w:rPr>
            </w:pPr>
            <w:r>
              <w:rPr>
                <w:rFonts w:ascii="Arial" w:cs="Arial" w:eastAsia="Arial" w:hAnsi="Arial"/>
                <w:sz w:val="16"/>
                <w:szCs w:val="16"/>
                <w:color w:val="auto"/>
              </w:rPr>
              <w:t>1,728</w:t>
            </w:r>
          </w:p>
        </w:tc>
        <w:tc>
          <w:tcPr>
            <w:tcW w:w="1040" w:type="dxa"/>
            <w:vAlign w:val="bottom"/>
            <w:shd w:val="clear" w:color="auto" w:fill="D4F1F5"/>
          </w:tcPr>
          <w:p>
            <w:pPr>
              <w:spacing w:after="0"/>
              <w:rPr>
                <w:sz w:val="18"/>
                <w:szCs w:val="18"/>
                <w:color w:val="auto"/>
              </w:rPr>
            </w:pPr>
          </w:p>
        </w:tc>
        <w:tc>
          <w:tcPr>
            <w:tcW w:w="500" w:type="dxa"/>
            <w:vAlign w:val="bottom"/>
            <w:shd w:val="clear" w:color="auto" w:fill="D4F1F5"/>
          </w:tcPr>
          <w:p>
            <w:pPr>
              <w:jc w:val="right"/>
              <w:spacing w:after="0"/>
              <w:rPr>
                <w:sz w:val="20"/>
                <w:szCs w:val="20"/>
                <w:color w:val="auto"/>
              </w:rPr>
            </w:pPr>
            <w:r>
              <w:rPr>
                <w:rFonts w:ascii="Arial" w:cs="Arial" w:eastAsia="Arial" w:hAnsi="Arial"/>
                <w:sz w:val="16"/>
                <w:szCs w:val="16"/>
                <w:color w:val="auto"/>
                <w:w w:val="99"/>
              </w:rPr>
              <w:t>2,020</w:t>
            </w:r>
          </w:p>
        </w:tc>
      </w:tr>
      <w:tr>
        <w:trPr>
          <w:trHeight w:val="215"/>
        </w:trPr>
        <w:tc>
          <w:tcPr>
            <w:tcW w:w="8180" w:type="dxa"/>
            <w:vAlign w:val="bottom"/>
          </w:tcPr>
          <w:p>
            <w:pPr>
              <w:ind w:left="20"/>
              <w:spacing w:after="0"/>
              <w:rPr>
                <w:sz w:val="20"/>
                <w:szCs w:val="20"/>
                <w:color w:val="auto"/>
              </w:rPr>
            </w:pPr>
            <w:r>
              <w:rPr>
                <w:rFonts w:ascii="Arial" w:cs="Arial" w:eastAsia="Arial" w:hAnsi="Arial"/>
                <w:sz w:val="16"/>
                <w:szCs w:val="16"/>
                <w:color w:val="auto"/>
              </w:rPr>
              <w:t>Operation and maintenance</w:t>
            </w:r>
          </w:p>
        </w:tc>
        <w:tc>
          <w:tcPr>
            <w:tcW w:w="9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(621)</w:t>
            </w:r>
          </w:p>
        </w:tc>
        <w:tc>
          <w:tcPr>
            <w:tcW w:w="10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(757)</w:t>
            </w:r>
          </w:p>
        </w:tc>
      </w:tr>
      <w:tr>
        <w:trPr>
          <w:trHeight w:val="217"/>
        </w:trPr>
        <w:tc>
          <w:tcPr>
            <w:tcW w:w="8180" w:type="dxa"/>
            <w:vAlign w:val="bottom"/>
            <w:shd w:val="clear" w:color="auto" w:fill="D4F1F5"/>
          </w:tcPr>
          <w:p>
            <w:pPr>
              <w:ind w:left="20"/>
              <w:spacing w:after="0"/>
              <w:rPr>
                <w:sz w:val="20"/>
                <w:szCs w:val="20"/>
                <w:color w:val="auto"/>
              </w:rPr>
            </w:pPr>
            <w:r>
              <w:rPr>
                <w:rFonts w:ascii="Arial" w:cs="Arial" w:eastAsia="Arial" w:hAnsi="Arial"/>
                <w:sz w:val="16"/>
                <w:szCs w:val="16"/>
                <w:color w:val="auto"/>
              </w:rPr>
              <w:t>Depreciation and amortization</w:t>
            </w:r>
          </w:p>
        </w:tc>
        <w:tc>
          <w:tcPr>
            <w:tcW w:w="960" w:type="dxa"/>
            <w:vAlign w:val="bottom"/>
            <w:shd w:val="clear" w:color="auto" w:fill="D4F1F5"/>
          </w:tcPr>
          <w:p>
            <w:pPr>
              <w:spacing w:after="0"/>
              <w:rPr>
                <w:sz w:val="18"/>
                <w:szCs w:val="18"/>
                <w:color w:val="auto"/>
              </w:rPr>
            </w:pPr>
          </w:p>
        </w:tc>
        <w:tc>
          <w:tcPr>
            <w:tcW w:w="560" w:type="dxa"/>
            <w:vAlign w:val="bottom"/>
            <w:shd w:val="clear" w:color="auto" w:fill="D4F1F5"/>
          </w:tcPr>
          <w:p>
            <w:pPr>
              <w:jc w:val="right"/>
              <w:spacing w:after="0"/>
              <w:rPr>
                <w:sz w:val="20"/>
                <w:szCs w:val="20"/>
                <w:color w:val="auto"/>
              </w:rPr>
            </w:pPr>
            <w:r>
              <w:rPr>
                <w:rFonts w:ascii="Arial" w:cs="Arial" w:eastAsia="Arial" w:hAnsi="Arial"/>
                <w:sz w:val="16"/>
                <w:szCs w:val="16"/>
                <w:color w:val="auto"/>
              </w:rPr>
              <w:t>(273)</w:t>
            </w:r>
          </w:p>
        </w:tc>
        <w:tc>
          <w:tcPr>
            <w:tcW w:w="1040" w:type="dxa"/>
            <w:vAlign w:val="bottom"/>
            <w:shd w:val="clear" w:color="auto" w:fill="D4F1F5"/>
          </w:tcPr>
          <w:p>
            <w:pPr>
              <w:spacing w:after="0"/>
              <w:rPr>
                <w:sz w:val="18"/>
                <w:szCs w:val="18"/>
                <w:color w:val="auto"/>
              </w:rPr>
            </w:pPr>
          </w:p>
        </w:tc>
        <w:tc>
          <w:tcPr>
            <w:tcW w:w="500" w:type="dxa"/>
            <w:vAlign w:val="bottom"/>
            <w:shd w:val="clear" w:color="auto" w:fill="D4F1F5"/>
          </w:tcPr>
          <w:p>
            <w:pPr>
              <w:jc w:val="right"/>
              <w:spacing w:after="0"/>
              <w:rPr>
                <w:sz w:val="20"/>
                <w:szCs w:val="20"/>
                <w:color w:val="auto"/>
              </w:rPr>
            </w:pPr>
            <w:r>
              <w:rPr>
                <w:rFonts w:ascii="Arial" w:cs="Arial" w:eastAsia="Arial" w:hAnsi="Arial"/>
                <w:sz w:val="16"/>
                <w:szCs w:val="16"/>
                <w:color w:val="auto"/>
              </w:rPr>
              <w:t>(242)</w:t>
            </w:r>
          </w:p>
        </w:tc>
      </w:tr>
      <w:tr>
        <w:trPr>
          <w:trHeight w:val="215"/>
        </w:trPr>
        <w:tc>
          <w:tcPr>
            <w:tcW w:w="8180" w:type="dxa"/>
            <w:vAlign w:val="bottom"/>
          </w:tcPr>
          <w:p>
            <w:pPr>
              <w:ind w:left="20"/>
              <w:spacing w:after="0"/>
              <w:rPr>
                <w:sz w:val="20"/>
                <w:szCs w:val="20"/>
                <w:color w:val="auto"/>
              </w:rPr>
            </w:pPr>
            <w:r>
              <w:rPr>
                <w:rFonts w:ascii="Arial" w:cs="Arial" w:eastAsia="Arial" w:hAnsi="Arial"/>
                <w:sz w:val="16"/>
                <w:szCs w:val="16"/>
                <w:color w:val="auto"/>
              </w:rPr>
              <w:t>Interest income</w:t>
            </w:r>
          </w:p>
        </w:tc>
        <w:tc>
          <w:tcPr>
            <w:tcW w:w="960" w:type="dxa"/>
            <w:vAlign w:val="bottom"/>
          </w:tcPr>
          <w:p>
            <w:pPr>
              <w:spacing w:after="0"/>
              <w:rPr>
                <w:sz w:val="18"/>
                <w:szCs w:val="18"/>
                <w:color w:val="auto"/>
              </w:rPr>
            </w:pPr>
          </w:p>
        </w:tc>
        <w:tc>
          <w:tcPr>
            <w:tcW w:w="560" w:type="dxa"/>
            <w:vAlign w:val="bottom"/>
          </w:tcPr>
          <w:p>
            <w:pPr>
              <w:jc w:val="right"/>
              <w:ind w:right="39"/>
              <w:spacing w:after="0"/>
              <w:rPr>
                <w:sz w:val="20"/>
                <w:szCs w:val="20"/>
                <w:color w:val="auto"/>
              </w:rPr>
            </w:pPr>
            <w:r>
              <w:rPr>
                <w:rFonts w:ascii="Arial" w:cs="Arial" w:eastAsia="Arial" w:hAnsi="Arial"/>
                <w:sz w:val="16"/>
                <w:szCs w:val="16"/>
                <w:color w:val="auto"/>
              </w:rPr>
              <w:t>1</w:t>
            </w:r>
          </w:p>
        </w:tc>
        <w:tc>
          <w:tcPr>
            <w:tcW w:w="10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2</w:t>
            </w:r>
          </w:p>
        </w:tc>
      </w:tr>
      <w:tr>
        <w:trPr>
          <w:trHeight w:val="217"/>
        </w:trPr>
        <w:tc>
          <w:tcPr>
            <w:tcW w:w="8180" w:type="dxa"/>
            <w:vAlign w:val="bottom"/>
            <w:shd w:val="clear" w:color="auto" w:fill="D4F1F5"/>
          </w:tcPr>
          <w:p>
            <w:pPr>
              <w:ind w:left="20"/>
              <w:spacing w:after="0"/>
              <w:rPr>
                <w:sz w:val="20"/>
                <w:szCs w:val="20"/>
                <w:color w:val="auto"/>
              </w:rPr>
            </w:pPr>
            <w:r>
              <w:rPr>
                <w:rFonts w:ascii="Arial" w:cs="Arial" w:eastAsia="Arial" w:hAnsi="Arial"/>
                <w:sz w:val="16"/>
                <w:szCs w:val="16"/>
                <w:color w:val="auto"/>
              </w:rPr>
              <w:t>Interest expense</w:t>
            </w:r>
          </w:p>
        </w:tc>
        <w:tc>
          <w:tcPr>
            <w:tcW w:w="960" w:type="dxa"/>
            <w:vAlign w:val="bottom"/>
            <w:shd w:val="clear" w:color="auto" w:fill="D4F1F5"/>
          </w:tcPr>
          <w:p>
            <w:pPr>
              <w:spacing w:after="0"/>
              <w:rPr>
                <w:sz w:val="18"/>
                <w:szCs w:val="18"/>
                <w:color w:val="auto"/>
              </w:rPr>
            </w:pPr>
          </w:p>
        </w:tc>
        <w:tc>
          <w:tcPr>
            <w:tcW w:w="560" w:type="dxa"/>
            <w:vAlign w:val="bottom"/>
            <w:shd w:val="clear" w:color="auto" w:fill="D4F1F5"/>
          </w:tcPr>
          <w:p>
            <w:pPr>
              <w:jc w:val="right"/>
              <w:spacing w:after="0"/>
              <w:rPr>
                <w:sz w:val="20"/>
                <w:szCs w:val="20"/>
                <w:color w:val="auto"/>
              </w:rPr>
            </w:pPr>
            <w:r>
              <w:rPr>
                <w:rFonts w:ascii="Arial" w:cs="Arial" w:eastAsia="Arial" w:hAnsi="Arial"/>
                <w:sz w:val="16"/>
                <w:szCs w:val="16"/>
                <w:color w:val="auto"/>
              </w:rPr>
              <w:t>(97)</w:t>
            </w:r>
          </w:p>
        </w:tc>
        <w:tc>
          <w:tcPr>
            <w:tcW w:w="1040" w:type="dxa"/>
            <w:vAlign w:val="bottom"/>
            <w:shd w:val="clear" w:color="auto" w:fill="D4F1F5"/>
          </w:tcPr>
          <w:p>
            <w:pPr>
              <w:spacing w:after="0"/>
              <w:rPr>
                <w:sz w:val="18"/>
                <w:szCs w:val="18"/>
                <w:color w:val="auto"/>
              </w:rPr>
            </w:pPr>
          </w:p>
        </w:tc>
        <w:tc>
          <w:tcPr>
            <w:tcW w:w="500" w:type="dxa"/>
            <w:vAlign w:val="bottom"/>
            <w:shd w:val="clear" w:color="auto" w:fill="D4F1F5"/>
          </w:tcPr>
          <w:p>
            <w:pPr>
              <w:jc w:val="right"/>
              <w:spacing w:after="0"/>
              <w:rPr>
                <w:sz w:val="20"/>
                <w:szCs w:val="20"/>
                <w:color w:val="auto"/>
              </w:rPr>
            </w:pPr>
            <w:r>
              <w:rPr>
                <w:rFonts w:ascii="Arial" w:cs="Arial" w:eastAsia="Arial" w:hAnsi="Arial"/>
                <w:sz w:val="16"/>
                <w:szCs w:val="16"/>
                <w:color w:val="auto"/>
              </w:rPr>
              <w:t>(90)</w:t>
            </w:r>
          </w:p>
        </w:tc>
      </w:tr>
      <w:tr>
        <w:trPr>
          <w:trHeight w:val="215"/>
        </w:trPr>
        <w:tc>
          <w:tcPr>
            <w:tcW w:w="8180" w:type="dxa"/>
            <w:vAlign w:val="bottom"/>
          </w:tcPr>
          <w:p>
            <w:pPr>
              <w:ind w:left="20"/>
              <w:spacing w:after="0"/>
              <w:rPr>
                <w:sz w:val="20"/>
                <w:szCs w:val="20"/>
                <w:color w:val="auto"/>
              </w:rPr>
            </w:pPr>
            <w:r>
              <w:rPr>
                <w:rFonts w:ascii="Arial" w:cs="Arial" w:eastAsia="Arial" w:hAnsi="Arial"/>
                <w:sz w:val="16"/>
                <w:szCs w:val="16"/>
                <w:color w:val="auto"/>
              </w:rPr>
              <w:t>Income tax expense</w:t>
            </w:r>
          </w:p>
        </w:tc>
        <w:tc>
          <w:tcPr>
            <w:tcW w:w="9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(20)</w:t>
            </w:r>
          </w:p>
        </w:tc>
        <w:tc>
          <w:tcPr>
            <w:tcW w:w="10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(38)</w:t>
            </w:r>
          </w:p>
        </w:tc>
      </w:tr>
      <w:tr>
        <w:trPr>
          <w:trHeight w:val="217"/>
        </w:trPr>
        <w:tc>
          <w:tcPr>
            <w:tcW w:w="8180" w:type="dxa"/>
            <w:vAlign w:val="bottom"/>
            <w:shd w:val="clear" w:color="auto" w:fill="D4F1F5"/>
          </w:tcPr>
          <w:p>
            <w:pPr>
              <w:ind w:left="20"/>
              <w:spacing w:after="0" w:line="217" w:lineRule="exact"/>
              <w:rPr>
                <w:sz w:val="20"/>
                <w:szCs w:val="20"/>
                <w:color w:val="auto"/>
              </w:rPr>
            </w:pPr>
            <w:r>
              <w:rPr>
                <w:rFonts w:ascii="Arial" w:cs="Arial" w:eastAsia="Arial" w:hAnsi="Arial"/>
                <w:sz w:val="16"/>
                <w:szCs w:val="16"/>
                <w:color w:val="auto"/>
              </w:rPr>
              <w:t>Other segment items</w:t>
            </w:r>
            <w:r>
              <w:rPr>
                <w:rFonts w:ascii="Arial" w:cs="Arial" w:eastAsia="Arial" w:hAnsi="Arial"/>
                <w:sz w:val="21"/>
                <w:szCs w:val="21"/>
                <w:color w:val="auto"/>
                <w:vertAlign w:val="superscript"/>
              </w:rPr>
              <w:t>(3)</w:t>
            </w:r>
          </w:p>
        </w:tc>
        <w:tc>
          <w:tcPr>
            <w:tcW w:w="960" w:type="dxa"/>
            <w:vAlign w:val="bottom"/>
            <w:tcBorders>
              <w:bottom w:val="single" w:sz="8" w:color="auto"/>
            </w:tcBorders>
            <w:shd w:val="clear" w:color="auto" w:fill="D4F1F5"/>
          </w:tcPr>
          <w:p>
            <w:pPr>
              <w:spacing w:after="0"/>
              <w:rPr>
                <w:sz w:val="18"/>
                <w:szCs w:val="18"/>
                <w:color w:val="auto"/>
              </w:rPr>
            </w:pPr>
          </w:p>
        </w:tc>
        <w:tc>
          <w:tcPr>
            <w:tcW w:w="560" w:type="dxa"/>
            <w:vAlign w:val="bottom"/>
            <w:tcBorders>
              <w:bottom w:val="single" w:sz="8" w:color="auto"/>
            </w:tcBorders>
            <w:shd w:val="clear" w:color="auto" w:fill="D4F1F5"/>
          </w:tcPr>
          <w:p>
            <w:pPr>
              <w:jc w:val="right"/>
              <w:spacing w:after="0"/>
              <w:rPr>
                <w:sz w:val="20"/>
                <w:szCs w:val="20"/>
                <w:color w:val="auto"/>
              </w:rPr>
            </w:pPr>
            <w:r>
              <w:rPr>
                <w:rFonts w:ascii="Arial" w:cs="Arial" w:eastAsia="Arial" w:hAnsi="Arial"/>
                <w:sz w:val="16"/>
                <w:szCs w:val="16"/>
                <w:color w:val="auto"/>
              </w:rPr>
              <w:t>(294)</w:t>
            </w:r>
          </w:p>
        </w:tc>
        <w:tc>
          <w:tcPr>
            <w:tcW w:w="1040" w:type="dxa"/>
            <w:vAlign w:val="bottom"/>
            <w:tcBorders>
              <w:bottom w:val="single" w:sz="8" w:color="auto"/>
            </w:tcBorders>
            <w:shd w:val="clear" w:color="auto" w:fill="D4F1F5"/>
          </w:tcPr>
          <w:p>
            <w:pPr>
              <w:spacing w:after="0"/>
              <w:rPr>
                <w:sz w:val="18"/>
                <w:szCs w:val="18"/>
                <w:color w:val="auto"/>
              </w:rPr>
            </w:pPr>
          </w:p>
        </w:tc>
        <w:tc>
          <w:tcPr>
            <w:tcW w:w="500" w:type="dxa"/>
            <w:vAlign w:val="bottom"/>
            <w:tcBorders>
              <w:bottom w:val="single" w:sz="8" w:color="auto"/>
            </w:tcBorders>
            <w:shd w:val="clear" w:color="auto" w:fill="D4F1F5"/>
          </w:tcPr>
          <w:p>
            <w:pPr>
              <w:jc w:val="right"/>
              <w:spacing w:after="0"/>
              <w:rPr>
                <w:sz w:val="20"/>
                <w:szCs w:val="20"/>
                <w:color w:val="auto"/>
              </w:rPr>
            </w:pPr>
            <w:r>
              <w:rPr>
                <w:rFonts w:ascii="Arial" w:cs="Arial" w:eastAsia="Arial" w:hAnsi="Arial"/>
                <w:sz w:val="16"/>
                <w:szCs w:val="16"/>
                <w:color w:val="auto"/>
              </w:rPr>
              <w:t>(452)</w:t>
            </w:r>
          </w:p>
        </w:tc>
      </w:tr>
      <w:tr>
        <w:trPr>
          <w:trHeight w:val="217"/>
        </w:trPr>
        <w:tc>
          <w:tcPr>
            <w:tcW w:w="8180" w:type="dxa"/>
            <w:vAlign w:val="bottom"/>
            <w:tcBorders>
              <w:bottom w:val="single" w:sz="8" w:color="D4F1F5"/>
            </w:tcBorders>
          </w:tcPr>
          <w:p>
            <w:pPr>
              <w:ind w:left="140"/>
              <w:spacing w:after="0"/>
              <w:rPr>
                <w:sz w:val="20"/>
                <w:szCs w:val="20"/>
                <w:color w:val="auto"/>
              </w:rPr>
            </w:pPr>
            <w:r>
              <w:rPr>
                <w:rFonts w:ascii="Arial" w:cs="Arial" w:eastAsia="Arial" w:hAnsi="Arial"/>
                <w:sz w:val="16"/>
                <w:szCs w:val="16"/>
                <w:color w:val="auto"/>
              </w:rPr>
              <w:t>Earnings attributable to common shares</w:t>
            </w:r>
          </w:p>
        </w:tc>
        <w:tc>
          <w:tcPr>
            <w:tcW w:w="960" w:type="dxa"/>
            <w:vAlign w:val="bottom"/>
            <w:tcBorders>
              <w:bottom w:val="single" w:sz="8" w:color="auto"/>
            </w:tcBorders>
          </w:tcPr>
          <w:p>
            <w:pPr>
              <w:jc w:val="right"/>
              <w:ind w:right="783"/>
              <w:spacing w:after="0"/>
              <w:rPr>
                <w:sz w:val="20"/>
                <w:szCs w:val="20"/>
                <w:color w:val="auto"/>
              </w:rPr>
            </w:pPr>
            <w:r>
              <w:rPr>
                <w:rFonts w:ascii="Arial" w:cs="Arial" w:eastAsia="Arial" w:hAnsi="Arial"/>
                <w:sz w:val="16"/>
                <w:szCs w:val="16"/>
                <w:color w:val="auto"/>
                <w:w w:val="89"/>
              </w:rPr>
              <w:t>$</w:t>
            </w:r>
          </w:p>
        </w:tc>
        <w:tc>
          <w:tcPr>
            <w:tcW w:w="5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424</w:t>
            </w:r>
          </w:p>
        </w:tc>
        <w:tc>
          <w:tcPr>
            <w:tcW w:w="1040" w:type="dxa"/>
            <w:vAlign w:val="bottom"/>
            <w:tcBorders>
              <w:bottom w:val="single" w:sz="8" w:color="auto"/>
            </w:tcBorders>
          </w:tcPr>
          <w:p>
            <w:pPr>
              <w:jc w:val="right"/>
              <w:ind w:right="801"/>
              <w:spacing w:after="0"/>
              <w:rPr>
                <w:sz w:val="20"/>
                <w:szCs w:val="20"/>
                <w:color w:val="auto"/>
              </w:rPr>
            </w:pPr>
            <w:r>
              <w:rPr>
                <w:rFonts w:ascii="Arial" w:cs="Arial" w:eastAsia="Arial" w:hAnsi="Arial"/>
                <w:sz w:val="16"/>
                <w:szCs w:val="16"/>
                <w:color w:val="auto"/>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443</w:t>
            </w:r>
          </w:p>
        </w:tc>
      </w:tr>
      <w:tr>
        <w:trPr>
          <w:trHeight w:val="203"/>
        </w:trPr>
        <w:tc>
          <w:tcPr>
            <w:tcW w:w="8180" w:type="dxa"/>
            <w:vAlign w:val="bottom"/>
            <w:shd w:val="clear" w:color="auto" w:fill="D4F1F5"/>
          </w:tcPr>
          <w:p>
            <w:pPr>
              <w:spacing w:after="0"/>
              <w:rPr>
                <w:sz w:val="17"/>
                <w:szCs w:val="17"/>
                <w:color w:val="auto"/>
              </w:rPr>
            </w:pPr>
          </w:p>
        </w:tc>
        <w:tc>
          <w:tcPr>
            <w:tcW w:w="960" w:type="dxa"/>
            <w:vAlign w:val="bottom"/>
            <w:shd w:val="clear" w:color="auto" w:fill="D4F1F5"/>
          </w:tcPr>
          <w:p>
            <w:pPr>
              <w:spacing w:after="0"/>
              <w:rPr>
                <w:sz w:val="17"/>
                <w:szCs w:val="17"/>
                <w:color w:val="auto"/>
              </w:rPr>
            </w:pPr>
          </w:p>
        </w:tc>
        <w:tc>
          <w:tcPr>
            <w:tcW w:w="560" w:type="dxa"/>
            <w:vAlign w:val="bottom"/>
            <w:shd w:val="clear" w:color="auto" w:fill="D4F1F5"/>
          </w:tcPr>
          <w:p>
            <w:pPr>
              <w:spacing w:after="0"/>
              <w:rPr>
                <w:sz w:val="17"/>
                <w:szCs w:val="17"/>
                <w:color w:val="auto"/>
              </w:rPr>
            </w:pPr>
          </w:p>
        </w:tc>
        <w:tc>
          <w:tcPr>
            <w:tcW w:w="1040" w:type="dxa"/>
            <w:vAlign w:val="bottom"/>
            <w:shd w:val="clear" w:color="auto" w:fill="D4F1F5"/>
          </w:tcPr>
          <w:p>
            <w:pPr>
              <w:spacing w:after="0"/>
              <w:rPr>
                <w:sz w:val="17"/>
                <w:szCs w:val="17"/>
                <w:color w:val="auto"/>
              </w:rPr>
            </w:pPr>
          </w:p>
        </w:tc>
        <w:tc>
          <w:tcPr>
            <w:tcW w:w="500" w:type="dxa"/>
            <w:vAlign w:val="bottom"/>
            <w:shd w:val="clear" w:color="auto" w:fill="D4F1F5"/>
          </w:tcPr>
          <w:p>
            <w:pPr>
              <w:spacing w:after="0"/>
              <w:rPr>
                <w:sz w:val="17"/>
                <w:szCs w:val="17"/>
                <w:color w:val="auto"/>
              </w:rPr>
            </w:pPr>
          </w:p>
        </w:tc>
      </w:tr>
      <w:tr>
        <w:trPr>
          <w:trHeight w:val="223"/>
        </w:trPr>
        <w:tc>
          <w:tcPr>
            <w:tcW w:w="8180" w:type="dxa"/>
            <w:vAlign w:val="bottom"/>
            <w:tcBorders>
              <w:bottom w:val="single" w:sz="8" w:color="B6B6B6"/>
            </w:tcBorders>
          </w:tcPr>
          <w:p>
            <w:pPr>
              <w:ind w:left="20"/>
              <w:spacing w:after="0"/>
              <w:rPr>
                <w:sz w:val="20"/>
                <w:szCs w:val="20"/>
                <w:color w:val="auto"/>
              </w:rPr>
            </w:pPr>
            <w:r>
              <w:rPr>
                <w:rFonts w:ascii="Arial" w:cs="Arial" w:eastAsia="Arial" w:hAnsi="Arial"/>
                <w:sz w:val="16"/>
                <w:szCs w:val="16"/>
                <w:color w:val="auto"/>
              </w:rPr>
              <w:t>Capital expenditures for property, plant and equipment</w:t>
            </w:r>
          </w:p>
        </w:tc>
        <w:tc>
          <w:tcPr>
            <w:tcW w:w="960" w:type="dxa"/>
            <w:vAlign w:val="bottom"/>
            <w:tcBorders>
              <w:bottom w:val="single" w:sz="8" w:color="B6B6B6"/>
            </w:tcBorders>
          </w:tcPr>
          <w:p>
            <w:pPr>
              <w:jc w:val="right"/>
              <w:ind w:right="783"/>
              <w:spacing w:after="0"/>
              <w:rPr>
                <w:sz w:val="20"/>
                <w:szCs w:val="20"/>
                <w:color w:val="auto"/>
              </w:rPr>
            </w:pPr>
            <w:r>
              <w:rPr>
                <w:rFonts w:ascii="Arial" w:cs="Arial" w:eastAsia="Arial" w:hAnsi="Arial"/>
                <w:sz w:val="16"/>
                <w:szCs w:val="16"/>
                <w:color w:val="auto"/>
                <w:w w:val="89"/>
              </w:rPr>
              <w:t>$</w:t>
            </w:r>
          </w:p>
        </w:tc>
        <w:tc>
          <w:tcPr>
            <w:tcW w:w="560" w:type="dxa"/>
            <w:vAlign w:val="bottom"/>
            <w:tcBorders>
              <w:bottom w:val="single" w:sz="8" w:color="B6B6B6"/>
            </w:tcBorders>
          </w:tcPr>
          <w:p>
            <w:pPr>
              <w:jc w:val="right"/>
              <w:ind w:right="39"/>
              <w:spacing w:after="0"/>
              <w:rPr>
                <w:sz w:val="20"/>
                <w:szCs w:val="20"/>
                <w:color w:val="auto"/>
              </w:rPr>
            </w:pPr>
            <w:r>
              <w:rPr>
                <w:rFonts w:ascii="Arial" w:cs="Arial" w:eastAsia="Arial" w:hAnsi="Arial"/>
                <w:sz w:val="16"/>
                <w:szCs w:val="16"/>
                <w:color w:val="auto"/>
              </w:rPr>
              <w:t>481</w:t>
            </w:r>
          </w:p>
        </w:tc>
        <w:tc>
          <w:tcPr>
            <w:tcW w:w="1040" w:type="dxa"/>
            <w:vAlign w:val="bottom"/>
            <w:tcBorders>
              <w:bottom w:val="single" w:sz="8" w:color="B6B6B6"/>
            </w:tcBorders>
          </w:tcPr>
          <w:p>
            <w:pPr>
              <w:jc w:val="right"/>
              <w:ind w:right="801"/>
              <w:spacing w:after="0"/>
              <w:rPr>
                <w:sz w:val="20"/>
                <w:szCs w:val="20"/>
                <w:color w:val="auto"/>
              </w:rPr>
            </w:pPr>
            <w:r>
              <w:rPr>
                <w:rFonts w:ascii="Arial" w:cs="Arial" w:eastAsia="Arial" w:hAnsi="Arial"/>
                <w:sz w:val="16"/>
                <w:szCs w:val="16"/>
                <w:color w:val="auto"/>
              </w:rPr>
              <w:t>$</w:t>
            </w:r>
          </w:p>
        </w:tc>
        <w:tc>
          <w:tcPr>
            <w:tcW w:w="500" w:type="dxa"/>
            <w:vAlign w:val="bottom"/>
            <w:tcBorders>
              <w:bottom w:val="single" w:sz="8" w:color="B6B6B6"/>
            </w:tcBorders>
          </w:tcPr>
          <w:p>
            <w:pPr>
              <w:jc w:val="right"/>
              <w:spacing w:after="0"/>
              <w:rPr>
                <w:sz w:val="20"/>
                <w:szCs w:val="20"/>
                <w:color w:val="auto"/>
              </w:rPr>
            </w:pPr>
            <w:r>
              <w:rPr>
                <w:rFonts w:ascii="Arial" w:cs="Arial" w:eastAsia="Arial" w:hAnsi="Arial"/>
                <w:sz w:val="16"/>
                <w:szCs w:val="16"/>
                <w:color w:val="auto"/>
              </w:rPr>
              <w:t>555</w:t>
            </w:r>
          </w:p>
        </w:tc>
      </w:tr>
    </w:tbl>
    <w:p>
      <w:pPr>
        <w:spacing w:after="0" w:line="129" w:lineRule="exact"/>
        <w:rPr>
          <w:sz w:val="20"/>
          <w:szCs w:val="20"/>
          <w:color w:val="auto"/>
        </w:rPr>
      </w:pPr>
    </w:p>
    <w:p>
      <w:pPr>
        <w:ind w:left="300" w:hanging="292"/>
        <w:spacing w:after="0"/>
        <w:tabs>
          <w:tab w:leader="none" w:pos="300" w:val="left"/>
        </w:tabs>
        <w:numPr>
          <w:ilvl w:val="0"/>
          <w:numId w:val="45"/>
        </w:numPr>
        <w:rPr>
          <w:rFonts w:ascii="Arial" w:cs="Arial" w:eastAsia="Arial" w:hAnsi="Arial"/>
          <w:sz w:val="21"/>
          <w:szCs w:val="21"/>
          <w:i w:val="1"/>
          <w:iCs w:val="1"/>
          <w:color w:val="auto"/>
          <w:vertAlign w:val="superscript"/>
        </w:rPr>
      </w:pPr>
      <w:r>
        <w:rPr>
          <w:rFonts w:ascii="Arial" w:cs="Arial" w:eastAsia="Arial" w:hAnsi="Arial"/>
          <w:sz w:val="14"/>
          <w:szCs w:val="14"/>
          <w:i w:val="1"/>
          <w:iCs w:val="1"/>
          <w:color w:val="auto"/>
        </w:rPr>
        <w:t>SoCalGas did not have revenues from transactions with a single external customer that amounted to 10% or more of its total revenues.</w:t>
      </w:r>
    </w:p>
    <w:p>
      <w:pPr>
        <w:spacing w:after="0" w:line="39" w:lineRule="exact"/>
        <w:rPr>
          <w:rFonts w:ascii="Arial" w:cs="Arial" w:eastAsia="Arial" w:hAnsi="Arial"/>
          <w:sz w:val="21"/>
          <w:szCs w:val="21"/>
          <w:i w:val="1"/>
          <w:iCs w:val="1"/>
          <w:color w:val="auto"/>
          <w:vertAlign w:val="superscript"/>
        </w:rPr>
      </w:pPr>
    </w:p>
    <w:p>
      <w:pPr>
        <w:ind w:left="340" w:right="120" w:hanging="332"/>
        <w:spacing w:after="0" w:line="209" w:lineRule="auto"/>
        <w:tabs>
          <w:tab w:leader="none" w:pos="304" w:val="left"/>
        </w:tabs>
        <w:numPr>
          <w:ilvl w:val="0"/>
          <w:numId w:val="45"/>
        </w:numPr>
        <w:rPr>
          <w:rFonts w:ascii="Arial" w:cs="Arial" w:eastAsia="Arial" w:hAnsi="Arial"/>
          <w:sz w:val="21"/>
          <w:szCs w:val="21"/>
          <w:i w:val="1"/>
          <w:iCs w:val="1"/>
          <w:color w:val="auto"/>
          <w:vertAlign w:val="superscript"/>
        </w:rPr>
      </w:pPr>
      <w:r>
        <w:rPr>
          <w:rFonts w:ascii="Arial" w:cs="Arial" w:eastAsia="Arial" w:hAnsi="Arial"/>
          <w:sz w:val="14"/>
          <w:szCs w:val="14"/>
          <w:i w:val="1"/>
          <w:iCs w:val="1"/>
          <w:color w:val="auto"/>
        </w:rPr>
        <w:t>See “Revenues from Sources Other Than Contracts with Customers” in Note 3 of the Notes to Consolidated Financial Statements in the Annual Report for a description of this revenue source, which may be additive or subtractive from period to period.</w:t>
      </w:r>
    </w:p>
    <w:p>
      <w:pPr>
        <w:spacing w:after="0" w:line="1" w:lineRule="exact"/>
        <w:rPr>
          <w:rFonts w:ascii="Arial" w:cs="Arial" w:eastAsia="Arial" w:hAnsi="Arial"/>
          <w:sz w:val="21"/>
          <w:szCs w:val="21"/>
          <w:i w:val="1"/>
          <w:iCs w:val="1"/>
          <w:color w:val="auto"/>
          <w:vertAlign w:val="superscript"/>
        </w:rPr>
      </w:pPr>
    </w:p>
    <w:p>
      <w:pPr>
        <w:ind w:left="300" w:hanging="292"/>
        <w:spacing w:after="0" w:line="201" w:lineRule="auto"/>
        <w:tabs>
          <w:tab w:leader="none" w:pos="300" w:val="left"/>
        </w:tabs>
        <w:numPr>
          <w:ilvl w:val="0"/>
          <w:numId w:val="45"/>
        </w:numPr>
        <w:rPr>
          <w:rFonts w:ascii="Arial" w:cs="Arial" w:eastAsia="Arial" w:hAnsi="Arial"/>
          <w:sz w:val="21"/>
          <w:szCs w:val="21"/>
          <w:i w:val="1"/>
          <w:iCs w:val="1"/>
          <w:color w:val="auto"/>
          <w:vertAlign w:val="superscript"/>
        </w:rPr>
      </w:pPr>
      <w:r>
        <w:rPr>
          <w:rFonts w:ascii="Arial" w:cs="Arial" w:eastAsia="Arial" w:hAnsi="Arial"/>
          <w:sz w:val="14"/>
          <w:szCs w:val="14"/>
          <w:i w:val="1"/>
          <w:iCs w:val="1"/>
          <w:color w:val="auto"/>
        </w:rPr>
        <w:t>Includes cost of natural gas, franchise fees and other taxes, and other income (expense), net.</w:t>
      </w: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150495</wp:posOffset>
            </wp:positionV>
            <wp:extent cx="7157720" cy="425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711835</wp:posOffset>
            </wp:positionV>
            <wp:extent cx="7132320"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20"/>
          <w:szCs w:val="20"/>
          <w:color w:val="auto"/>
        </w:rPr>
        <w:t>ITEM 2. MANAGEMENT’S DISCUSSION AND ANALYSIS OF FINANCIAL CONDITION AND RESULTS OF OPERATIONS</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6440" w:type="dxa"/>
            <w:vAlign w:val="bottom"/>
            <w:tcBorders>
              <w:bottom w:val="single" w:sz="8" w:color="auto"/>
            </w:tcBorders>
          </w:tcPr>
          <w:p>
            <w:pPr>
              <w:spacing w:after="0"/>
              <w:rPr>
                <w:sz w:val="18"/>
                <w:szCs w:val="18"/>
                <w:color w:val="auto"/>
              </w:rPr>
            </w:pPr>
          </w:p>
        </w:tc>
        <w:tc>
          <w:tcPr>
            <w:tcW w:w="4640" w:type="dxa"/>
            <w:vAlign w:val="bottom"/>
            <w:tcBorders>
              <w:bottom w:val="single" w:sz="8" w:color="auto"/>
            </w:tcBorders>
          </w:tcPr>
          <w:p>
            <w:pPr>
              <w:ind w:left="3860"/>
              <w:spacing w:after="0"/>
              <w:rPr>
                <w:sz w:val="20"/>
                <w:szCs w:val="20"/>
                <w:color w:val="auto"/>
              </w:rPr>
            </w:pPr>
            <w:r>
              <w:rPr>
                <w:rFonts w:ascii="Arial" w:cs="Arial" w:eastAsia="Arial" w:hAnsi="Arial"/>
                <w:sz w:val="16"/>
                <w:szCs w:val="16"/>
                <w:i w:val="1"/>
                <w:iCs w:val="1"/>
                <w:color w:val="auto"/>
              </w:rPr>
              <w:t>Page</w:t>
            </w:r>
          </w:p>
        </w:tc>
      </w:tr>
      <w:tr>
        <w:trPr>
          <w:trHeight w:val="210"/>
        </w:trPr>
        <w:tc>
          <w:tcPr>
            <w:tcW w:w="6440" w:type="dxa"/>
            <w:vAlign w:val="bottom"/>
            <w:shd w:val="clear" w:color="auto" w:fill="D4F1F5"/>
          </w:tcPr>
          <w:p>
            <w:pPr>
              <w:ind w:left="20"/>
              <w:spacing w:after="0"/>
              <w:rPr>
                <w:sz w:val="20"/>
                <w:szCs w:val="20"/>
                <w:color w:val="auto"/>
              </w:rPr>
            </w:pPr>
            <w:r>
              <w:rPr>
                <w:rFonts w:ascii="Arial" w:cs="Arial" w:eastAsia="Arial" w:hAnsi="Arial"/>
                <w:sz w:val="16"/>
                <w:szCs w:val="16"/>
                <w:color w:val="0000FF"/>
              </w:rPr>
              <w:t>Overview</w:t>
            </w:r>
          </w:p>
        </w:tc>
        <w:tc>
          <w:tcPr>
            <w:tcW w:w="4640" w:type="dxa"/>
            <w:vAlign w:val="bottom"/>
            <w:shd w:val="clear" w:color="auto" w:fill="D4F1F5"/>
          </w:tcPr>
          <w:p>
            <w:pPr>
              <w:jc w:val="center"/>
              <w:ind w:left="3379"/>
              <w:spacing w:after="0"/>
              <w:rPr>
                <w:sz w:val="20"/>
                <w:szCs w:val="20"/>
                <w:color w:val="auto"/>
              </w:rPr>
            </w:pPr>
            <w:r>
              <w:rPr>
                <w:rFonts w:ascii="Arial" w:cs="Arial" w:eastAsia="Arial" w:hAnsi="Arial"/>
                <w:sz w:val="16"/>
                <w:szCs w:val="16"/>
                <w:color w:val="0000FF"/>
              </w:rPr>
              <w:t>85</w:t>
            </w:r>
          </w:p>
        </w:tc>
      </w:tr>
      <w:tr>
        <w:trPr>
          <w:trHeight w:val="215"/>
        </w:trPr>
        <w:tc>
          <w:tcPr>
            <w:tcW w:w="6440" w:type="dxa"/>
            <w:vAlign w:val="bottom"/>
          </w:tcPr>
          <w:p>
            <w:pPr>
              <w:ind w:left="20"/>
              <w:spacing w:after="0"/>
              <w:rPr>
                <w:sz w:val="20"/>
                <w:szCs w:val="20"/>
                <w:color w:val="auto"/>
              </w:rPr>
            </w:pPr>
            <w:r>
              <w:rPr>
                <w:rFonts w:ascii="Arial" w:cs="Arial" w:eastAsia="Arial" w:hAnsi="Arial"/>
                <w:sz w:val="16"/>
                <w:szCs w:val="16"/>
                <w:color w:val="0000FF"/>
              </w:rPr>
              <w:t>Results of Operations by Registrant</w:t>
            </w:r>
          </w:p>
        </w:tc>
        <w:tc>
          <w:tcPr>
            <w:tcW w:w="4640" w:type="dxa"/>
            <w:vAlign w:val="bottom"/>
          </w:tcPr>
          <w:p>
            <w:pPr>
              <w:jc w:val="center"/>
              <w:ind w:left="3379"/>
              <w:spacing w:after="0"/>
              <w:rPr>
                <w:sz w:val="20"/>
                <w:szCs w:val="20"/>
                <w:color w:val="auto"/>
              </w:rPr>
            </w:pPr>
            <w:r>
              <w:rPr>
                <w:rFonts w:ascii="Arial" w:cs="Arial" w:eastAsia="Arial" w:hAnsi="Arial"/>
                <w:sz w:val="16"/>
                <w:szCs w:val="16"/>
                <w:color w:val="0000FF"/>
              </w:rPr>
              <w:t>86</w:t>
            </w:r>
          </w:p>
        </w:tc>
      </w:tr>
      <w:tr>
        <w:trPr>
          <w:trHeight w:val="217"/>
        </w:trPr>
        <w:tc>
          <w:tcPr>
            <w:tcW w:w="6440" w:type="dxa"/>
            <w:vAlign w:val="bottom"/>
            <w:shd w:val="clear" w:color="auto" w:fill="D4F1F5"/>
          </w:tcPr>
          <w:p>
            <w:pPr>
              <w:ind w:left="220"/>
              <w:spacing w:after="0"/>
              <w:rPr>
                <w:sz w:val="20"/>
                <w:szCs w:val="20"/>
                <w:color w:val="auto"/>
              </w:rPr>
            </w:pPr>
            <w:r>
              <w:rPr>
                <w:rFonts w:ascii="Arial" w:cs="Arial" w:eastAsia="Arial" w:hAnsi="Arial"/>
                <w:sz w:val="16"/>
                <w:szCs w:val="16"/>
                <w:color w:val="0000FF"/>
              </w:rPr>
              <w:t>Sempra</w:t>
            </w:r>
          </w:p>
        </w:tc>
        <w:tc>
          <w:tcPr>
            <w:tcW w:w="4640" w:type="dxa"/>
            <w:vAlign w:val="bottom"/>
            <w:shd w:val="clear" w:color="auto" w:fill="D4F1F5"/>
          </w:tcPr>
          <w:p>
            <w:pPr>
              <w:jc w:val="center"/>
              <w:ind w:left="3379"/>
              <w:spacing w:after="0"/>
              <w:rPr>
                <w:sz w:val="20"/>
                <w:szCs w:val="20"/>
                <w:color w:val="auto"/>
              </w:rPr>
            </w:pPr>
            <w:r>
              <w:rPr>
                <w:rFonts w:ascii="Arial" w:cs="Arial" w:eastAsia="Arial" w:hAnsi="Arial"/>
                <w:sz w:val="16"/>
                <w:szCs w:val="16"/>
                <w:color w:val="0000FF"/>
              </w:rPr>
              <w:t>86</w:t>
            </w:r>
          </w:p>
        </w:tc>
      </w:tr>
      <w:tr>
        <w:trPr>
          <w:trHeight w:val="215"/>
        </w:trPr>
        <w:tc>
          <w:tcPr>
            <w:tcW w:w="6440" w:type="dxa"/>
            <w:vAlign w:val="bottom"/>
          </w:tcPr>
          <w:p>
            <w:pPr>
              <w:ind w:left="220"/>
              <w:spacing w:after="0"/>
              <w:rPr>
                <w:sz w:val="20"/>
                <w:szCs w:val="20"/>
                <w:color w:val="auto"/>
              </w:rPr>
            </w:pPr>
            <w:r>
              <w:rPr>
                <w:rFonts w:ascii="Arial" w:cs="Arial" w:eastAsia="Arial" w:hAnsi="Arial"/>
                <w:sz w:val="16"/>
                <w:szCs w:val="16"/>
                <w:color w:val="0000FF"/>
              </w:rPr>
              <w:t>SDG&amp;E</w:t>
            </w:r>
          </w:p>
        </w:tc>
        <w:tc>
          <w:tcPr>
            <w:tcW w:w="4640" w:type="dxa"/>
            <w:vAlign w:val="bottom"/>
          </w:tcPr>
          <w:p>
            <w:pPr>
              <w:jc w:val="center"/>
              <w:ind w:left="3379"/>
              <w:spacing w:after="0"/>
              <w:rPr>
                <w:sz w:val="20"/>
                <w:szCs w:val="20"/>
                <w:color w:val="auto"/>
              </w:rPr>
            </w:pPr>
            <w:r>
              <w:rPr>
                <w:rFonts w:ascii="Arial" w:cs="Arial" w:eastAsia="Arial" w:hAnsi="Arial"/>
                <w:sz w:val="16"/>
                <w:szCs w:val="16"/>
                <w:color w:val="0000FF"/>
              </w:rPr>
              <w:t>95</w:t>
            </w:r>
          </w:p>
        </w:tc>
      </w:tr>
      <w:tr>
        <w:trPr>
          <w:trHeight w:val="217"/>
        </w:trPr>
        <w:tc>
          <w:tcPr>
            <w:tcW w:w="6440" w:type="dxa"/>
            <w:vAlign w:val="bottom"/>
            <w:shd w:val="clear" w:color="auto" w:fill="D4F1F5"/>
          </w:tcPr>
          <w:p>
            <w:pPr>
              <w:ind w:left="220"/>
              <w:spacing w:after="0"/>
              <w:rPr>
                <w:sz w:val="20"/>
                <w:szCs w:val="20"/>
                <w:color w:val="auto"/>
              </w:rPr>
            </w:pPr>
            <w:r>
              <w:rPr>
                <w:rFonts w:ascii="Arial" w:cs="Arial" w:eastAsia="Arial" w:hAnsi="Arial"/>
                <w:sz w:val="16"/>
                <w:szCs w:val="16"/>
                <w:color w:val="0000FF"/>
              </w:rPr>
              <w:t>SoCalGas</w:t>
            </w:r>
          </w:p>
        </w:tc>
        <w:tc>
          <w:tcPr>
            <w:tcW w:w="4640" w:type="dxa"/>
            <w:vAlign w:val="bottom"/>
            <w:shd w:val="clear" w:color="auto" w:fill="D4F1F5"/>
          </w:tcPr>
          <w:p>
            <w:pPr>
              <w:jc w:val="center"/>
              <w:ind w:left="3379"/>
              <w:spacing w:after="0"/>
              <w:rPr>
                <w:sz w:val="20"/>
                <w:szCs w:val="20"/>
                <w:color w:val="auto"/>
              </w:rPr>
            </w:pPr>
            <w:r>
              <w:rPr>
                <w:rFonts w:ascii="Arial" w:cs="Arial" w:eastAsia="Arial" w:hAnsi="Arial"/>
                <w:sz w:val="16"/>
                <w:szCs w:val="16"/>
                <w:color w:val="0000FF"/>
              </w:rPr>
              <w:t>97</w:t>
            </w:r>
          </w:p>
        </w:tc>
      </w:tr>
      <w:tr>
        <w:trPr>
          <w:trHeight w:val="215"/>
        </w:trPr>
        <w:tc>
          <w:tcPr>
            <w:tcW w:w="6440" w:type="dxa"/>
            <w:vAlign w:val="bottom"/>
          </w:tcPr>
          <w:p>
            <w:pPr>
              <w:ind w:left="20"/>
              <w:spacing w:after="0"/>
              <w:rPr>
                <w:sz w:val="20"/>
                <w:szCs w:val="20"/>
                <w:color w:val="auto"/>
              </w:rPr>
            </w:pPr>
            <w:r>
              <w:rPr>
                <w:rFonts w:ascii="Arial" w:cs="Arial" w:eastAsia="Arial" w:hAnsi="Arial"/>
                <w:sz w:val="16"/>
                <w:szCs w:val="16"/>
                <w:color w:val="0000FF"/>
              </w:rPr>
              <w:t>Capital Resources and Liquidity</w:t>
            </w:r>
          </w:p>
        </w:tc>
        <w:tc>
          <w:tcPr>
            <w:tcW w:w="4640" w:type="dxa"/>
            <w:vAlign w:val="bottom"/>
          </w:tcPr>
          <w:p>
            <w:pPr>
              <w:jc w:val="center"/>
              <w:ind w:left="3379"/>
              <w:spacing w:after="0"/>
              <w:rPr>
                <w:sz w:val="20"/>
                <w:szCs w:val="20"/>
                <w:color w:val="auto"/>
              </w:rPr>
            </w:pPr>
            <w:r>
              <w:rPr>
                <w:rFonts w:ascii="Arial" w:cs="Arial" w:eastAsia="Arial" w:hAnsi="Arial"/>
                <w:sz w:val="16"/>
                <w:szCs w:val="16"/>
                <w:color w:val="0000FF"/>
              </w:rPr>
              <w:t>98</w:t>
            </w:r>
          </w:p>
        </w:tc>
      </w:tr>
      <w:tr>
        <w:trPr>
          <w:trHeight w:val="217"/>
        </w:trPr>
        <w:tc>
          <w:tcPr>
            <w:tcW w:w="6440" w:type="dxa"/>
            <w:vAlign w:val="bottom"/>
            <w:shd w:val="clear" w:color="auto" w:fill="D4F1F5"/>
          </w:tcPr>
          <w:p>
            <w:pPr>
              <w:ind w:left="20"/>
              <w:spacing w:after="0"/>
              <w:rPr>
                <w:sz w:val="20"/>
                <w:szCs w:val="20"/>
                <w:color w:val="auto"/>
              </w:rPr>
            </w:pPr>
            <w:r>
              <w:rPr>
                <w:rFonts w:ascii="Arial" w:cs="Arial" w:eastAsia="Arial" w:hAnsi="Arial"/>
                <w:sz w:val="16"/>
                <w:szCs w:val="16"/>
                <w:color w:val="0000FF"/>
              </w:rPr>
              <w:t>Critical Accounting Estimates</w:t>
            </w:r>
          </w:p>
        </w:tc>
        <w:tc>
          <w:tcPr>
            <w:tcW w:w="4640" w:type="dxa"/>
            <w:vAlign w:val="bottom"/>
            <w:shd w:val="clear" w:color="auto" w:fill="D4F1F5"/>
          </w:tcPr>
          <w:p>
            <w:pPr>
              <w:jc w:val="center"/>
              <w:ind w:left="3399"/>
              <w:spacing w:after="0"/>
              <w:rPr>
                <w:sz w:val="20"/>
                <w:szCs w:val="20"/>
                <w:color w:val="auto"/>
              </w:rPr>
            </w:pPr>
            <w:r>
              <w:rPr>
                <w:rFonts w:ascii="Arial" w:cs="Arial" w:eastAsia="Arial" w:hAnsi="Arial"/>
                <w:sz w:val="16"/>
                <w:szCs w:val="16"/>
                <w:color w:val="0000FF"/>
                <w:w w:val="89"/>
              </w:rPr>
              <w:t>111</w:t>
            </w:r>
          </w:p>
        </w:tc>
      </w:tr>
      <w:tr>
        <w:trPr>
          <w:trHeight w:val="215"/>
        </w:trPr>
        <w:tc>
          <w:tcPr>
            <w:tcW w:w="64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0E32E1"/>
              </w:rPr>
              <w:t>New Accounting Standards</w:t>
            </w:r>
          </w:p>
        </w:tc>
        <w:tc>
          <w:tcPr>
            <w:tcW w:w="4640" w:type="dxa"/>
            <w:vAlign w:val="bottom"/>
            <w:tcBorders>
              <w:bottom w:val="single" w:sz="8" w:color="auto"/>
            </w:tcBorders>
          </w:tcPr>
          <w:p>
            <w:pPr>
              <w:jc w:val="center"/>
              <w:ind w:left="3379"/>
              <w:spacing w:after="0"/>
              <w:rPr>
                <w:sz w:val="20"/>
                <w:szCs w:val="20"/>
                <w:color w:val="auto"/>
              </w:rPr>
            </w:pPr>
            <w:r>
              <w:rPr>
                <w:rFonts w:ascii="Arial" w:cs="Arial" w:eastAsia="Arial" w:hAnsi="Arial"/>
                <w:sz w:val="16"/>
                <w:szCs w:val="16"/>
                <w:color w:val="0000FF"/>
                <w:w w:val="97"/>
              </w:rPr>
              <w:t>112</w:t>
            </w:r>
          </w:p>
        </w:tc>
      </w:tr>
    </w:tbl>
    <w:p>
      <w:pPr>
        <w:spacing w:after="0" w:line="332" w:lineRule="exact"/>
        <w:rPr>
          <w:sz w:val="20"/>
          <w:szCs w:val="20"/>
          <w:color w:val="auto"/>
        </w:rPr>
      </w:pPr>
    </w:p>
    <w:p>
      <w:pPr>
        <w:spacing w:after="0"/>
        <w:rPr>
          <w:sz w:val="20"/>
          <w:szCs w:val="20"/>
          <w:color w:val="auto"/>
        </w:rPr>
      </w:pPr>
      <w:r>
        <w:rPr>
          <w:rFonts w:ascii="Arial" w:cs="Arial" w:eastAsia="Arial" w:hAnsi="Arial"/>
          <w:sz w:val="18"/>
          <w:szCs w:val="18"/>
          <w:color w:val="auto"/>
        </w:rPr>
        <w:t>OVERVIEW</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combined MD&amp;A includes the operational and financial results of the following three Registrants:</w:t>
      </w:r>
    </w:p>
    <w:p>
      <w:pPr>
        <w:spacing w:after="0" w:line="75" w:lineRule="exact"/>
        <w:rPr>
          <w:sz w:val="20"/>
          <w:szCs w:val="20"/>
          <w:color w:val="auto"/>
        </w:rPr>
      </w:pPr>
    </w:p>
    <w:p>
      <w:pPr>
        <w:ind w:left="180" w:hanging="172"/>
        <w:spacing w:after="0" w:line="268" w:lineRule="auto"/>
        <w:tabs>
          <w:tab w:leader="none" w:pos="176"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Sempra </w:t>
      </w:r>
      <w:r>
        <w:rPr>
          <w:rFonts w:ascii="Times New Roman" w:cs="Times New Roman" w:eastAsia="Times New Roman" w:hAnsi="Times New Roman"/>
          <w:sz w:val="18"/>
          <w:szCs w:val="18"/>
          <w:color w:val="auto"/>
        </w:rPr>
        <w:t>is a holding company whose principal businesses are regulated utilities in California and Texas. Our businesses invest in and operate electric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gas utilities and other energy infrastructure that provide energy services to customers.</w:t>
      </w:r>
    </w:p>
    <w:p>
      <w:pPr>
        <w:spacing w:after="0" w:line="10" w:lineRule="exact"/>
        <w:rPr>
          <w:rFonts w:ascii="Times New Roman" w:cs="Times New Roman" w:eastAsia="Times New Roman" w:hAnsi="Times New Roman"/>
          <w:sz w:val="18"/>
          <w:szCs w:val="18"/>
          <w:color w:val="auto"/>
        </w:rPr>
      </w:pPr>
    </w:p>
    <w:p>
      <w:pPr>
        <w:ind w:left="180" w:right="480" w:hanging="172"/>
        <w:spacing w:after="0" w:line="266" w:lineRule="auto"/>
        <w:tabs>
          <w:tab w:leader="none" w:pos="176"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SDG&amp;E </w:t>
      </w:r>
      <w:r>
        <w:rPr>
          <w:rFonts w:ascii="Times New Roman" w:cs="Times New Roman" w:eastAsia="Times New Roman" w:hAnsi="Times New Roman"/>
          <w:sz w:val="18"/>
          <w:szCs w:val="18"/>
          <w:color w:val="auto"/>
        </w:rPr>
        <w:t>is a regulated public utility that provides electric service to San Diego and southern Orange counties and natural gas service to San Diego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County.</w:t>
      </w:r>
    </w:p>
    <w:p>
      <w:pPr>
        <w:ind w:left="160" w:hanging="152"/>
        <w:spacing w:after="0"/>
        <w:tabs>
          <w:tab w:leader="none" w:pos="1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SoCalGas </w:t>
      </w:r>
      <w:r>
        <w:rPr>
          <w:rFonts w:ascii="Times New Roman" w:cs="Times New Roman" w:eastAsia="Times New Roman" w:hAnsi="Times New Roman"/>
          <w:sz w:val="18"/>
          <w:szCs w:val="18"/>
          <w:color w:val="auto"/>
        </w:rPr>
        <w:t>is a regulated public natural gas distribution utility, serving customers throughout most of Southern California and part of central California.</w:t>
      </w:r>
    </w:p>
    <w:p>
      <w:pPr>
        <w:spacing w:after="0" w:line="173"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This combined MD&amp;A should be read in conjunction with the Condensed Consolidated Financial Statements and the Notes thereto in this report, and the Consolidated Financial Statements and the Notes thereto, “Part I – Item 1A. Risk Factors” and “Part II – Item 7. MD&amp;A” in the Annual Report.</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Sempra has the following three reportable segments, which reflect how the CODM oversees operational and financial performance:</w:t>
      </w:r>
    </w:p>
    <w:p>
      <w:pPr>
        <w:spacing w:after="0" w:line="77" w:lineRule="exact"/>
        <w:rPr>
          <w:sz w:val="20"/>
          <w:szCs w:val="20"/>
          <w:color w:val="auto"/>
        </w:rPr>
      </w:pPr>
    </w:p>
    <w:p>
      <w:pPr>
        <w:ind w:left="160" w:hanging="152"/>
        <w:spacing w:after="0"/>
        <w:tabs>
          <w:tab w:leader="none" w:pos="1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Sempra California</w:t>
      </w:r>
    </w:p>
    <w:p>
      <w:pPr>
        <w:spacing w:after="0" w:line="49" w:lineRule="exact"/>
        <w:rPr>
          <w:rFonts w:ascii="Times New Roman" w:cs="Times New Roman" w:eastAsia="Times New Roman" w:hAnsi="Times New Roman"/>
          <w:sz w:val="18"/>
          <w:szCs w:val="18"/>
          <w:color w:val="auto"/>
        </w:rPr>
      </w:pPr>
    </w:p>
    <w:p>
      <w:pPr>
        <w:ind w:left="160" w:hanging="152"/>
        <w:spacing w:after="0"/>
        <w:tabs>
          <w:tab w:leader="none" w:pos="1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Sempra Texas Utilities</w:t>
      </w:r>
    </w:p>
    <w:p>
      <w:pPr>
        <w:spacing w:after="0" w:line="49" w:lineRule="exact"/>
        <w:rPr>
          <w:rFonts w:ascii="Times New Roman" w:cs="Times New Roman" w:eastAsia="Times New Roman" w:hAnsi="Times New Roman"/>
          <w:sz w:val="18"/>
          <w:szCs w:val="18"/>
          <w:color w:val="auto"/>
        </w:rPr>
      </w:pPr>
    </w:p>
    <w:p>
      <w:pPr>
        <w:ind w:left="160" w:hanging="152"/>
        <w:spacing w:after="0"/>
        <w:tabs>
          <w:tab w:leader="none" w:pos="1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Sempra Infrastructure</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SDG&amp;E and SoCalGas each have one reportable segment.</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color w:val="auto"/>
        </w:rPr>
        <w:t>RESULTS OF OPERATIONS BY REGISTRANT</w:t>
      </w:r>
    </w:p>
    <w:p>
      <w:pPr>
        <w:spacing w:after="0" w:line="118" w:lineRule="exact"/>
        <w:rPr>
          <w:sz w:val="20"/>
          <w:szCs w:val="20"/>
          <w:color w:val="auto"/>
        </w:rPr>
      </w:pPr>
    </w:p>
    <w:p>
      <w:pPr>
        <w:ind w:right="440"/>
        <w:spacing w:after="0" w:line="274" w:lineRule="auto"/>
        <w:rPr>
          <w:sz w:val="20"/>
          <w:szCs w:val="20"/>
          <w:color w:val="auto"/>
        </w:rPr>
      </w:pPr>
      <w:r>
        <w:rPr>
          <w:rFonts w:ascii="Times New Roman" w:cs="Times New Roman" w:eastAsia="Times New Roman" w:hAnsi="Times New Roman"/>
          <w:sz w:val="18"/>
          <w:szCs w:val="18"/>
          <w:color w:val="auto"/>
        </w:rPr>
        <w:t>Throughout this MD&amp;A, our references to earnings represent earnings attributable to common shares. Variance amounts presented are the after-tax earnings impact (based on applicable statutory tax rates unless otherwise noted) and after NCI but before foreign currency and inflation effects, where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58420</wp:posOffset>
            </wp:positionV>
            <wp:extent cx="1054100" cy="25717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1054100" cy="2571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both"/>
        <w:ind w:right="340"/>
        <w:spacing w:after="0" w:line="274" w:lineRule="auto"/>
        <w:rPr>
          <w:sz w:val="20"/>
          <w:szCs w:val="20"/>
          <w:color w:val="auto"/>
        </w:rPr>
      </w:pPr>
      <w:r>
        <w:rPr>
          <w:rFonts w:ascii="Times New Roman" w:cs="Times New Roman" w:eastAsia="Times New Roman" w:hAnsi="Times New Roman"/>
          <w:sz w:val="18"/>
          <w:szCs w:val="18"/>
          <w:color w:val="auto"/>
        </w:rPr>
        <w:t>We discuss herein Sempra’s results of operations and significant changes in earnings, revenues and costs by segment, as well as Parent and other, in the three months ended March 31, 2026 compared to the same period in 2025. We also discuss herein the impact of foreign currency and inflation rates on Sempra’s results of operations.</w:t>
      </w:r>
    </w:p>
    <w:p>
      <w:pPr>
        <w:spacing w:after="0" w:line="3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103505</wp:posOffset>
            </wp:positionV>
            <wp:extent cx="7132320" cy="3003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32320" cy="300355"/>
                    </a:xfrm>
                    <a:prstGeom prst="rect">
                      <a:avLst/>
                    </a:prstGeom>
                    <a:noFill/>
                  </pic:spPr>
                </pic:pic>
              </a:graphicData>
            </a:graphic>
          </wp:anchor>
        </w:drawing>
      </w:r>
    </w:p>
    <w:p>
      <w:pPr>
        <w:spacing w:after="0" w:line="156"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FFFFFF"/>
        </w:rPr>
        <w:t>RESULTS OF OPERATIONS</w:t>
      </w:r>
    </w:p>
    <w:p>
      <w:pPr>
        <w:spacing w:after="0" w:line="66" w:lineRule="exact"/>
        <w:rPr>
          <w:sz w:val="20"/>
          <w:szCs w:val="20"/>
          <w:color w:val="auto"/>
        </w:rPr>
      </w:pPr>
    </w:p>
    <w:p>
      <w:pPr>
        <w:ind w:left="20"/>
        <w:spacing w:after="0"/>
        <w:rPr>
          <w:sz w:val="20"/>
          <w:szCs w:val="20"/>
          <w:color w:val="auto"/>
        </w:rPr>
      </w:pPr>
      <w:r>
        <w:rPr>
          <w:rFonts w:ascii="Arial" w:cs="Arial" w:eastAsia="Arial" w:hAnsi="Arial"/>
          <w:sz w:val="14"/>
          <w:szCs w:val="14"/>
          <w:i w:val="1"/>
          <w:iCs w:val="1"/>
          <w:color w:val="FFFFFF"/>
        </w:rPr>
        <w:t>(Dollars and shares in millions, except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116840</wp:posOffset>
            </wp:positionV>
            <wp:extent cx="7115175" cy="187769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15175" cy="187769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2388235</wp:posOffset>
            </wp:positionV>
            <wp:extent cx="7132320" cy="3003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32320" cy="3003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FFFFFF"/>
        </w:rPr>
        <w:t>EARNINGS (LOSSES) BY SEGMENT</w:t>
      </w:r>
    </w:p>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8160" w:type="dxa"/>
            <w:vAlign w:val="bottom"/>
          </w:tcPr>
          <w:p>
            <w:pPr>
              <w:ind w:left="20"/>
              <w:spacing w:after="0"/>
              <w:rPr>
                <w:sz w:val="20"/>
                <w:szCs w:val="20"/>
                <w:color w:val="auto"/>
              </w:rPr>
            </w:pPr>
            <w:r>
              <w:rPr>
                <w:rFonts w:ascii="Arial" w:cs="Arial" w:eastAsia="Arial" w:hAnsi="Arial"/>
                <w:sz w:val="14"/>
                <w:szCs w:val="14"/>
                <w:i w:val="1"/>
                <w:iCs w:val="1"/>
                <w:color w:val="FFFFFF"/>
              </w:rPr>
              <w:t>(Dollars in millions)</w:t>
            </w:r>
          </w:p>
        </w:tc>
        <w:tc>
          <w:tcPr>
            <w:tcW w:w="9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500" w:type="dxa"/>
            <w:vAlign w:val="bottom"/>
          </w:tcPr>
          <w:p>
            <w:pPr>
              <w:spacing w:after="0"/>
              <w:rPr>
                <w:sz w:val="16"/>
                <w:szCs w:val="16"/>
                <w:color w:val="auto"/>
              </w:rPr>
            </w:pPr>
          </w:p>
        </w:tc>
      </w:tr>
      <w:tr>
        <w:trPr>
          <w:trHeight w:val="233"/>
        </w:trPr>
        <w:tc>
          <w:tcPr>
            <w:tcW w:w="8160" w:type="dxa"/>
            <w:vAlign w:val="bottom"/>
          </w:tcPr>
          <w:p>
            <w:pPr>
              <w:spacing w:after="0"/>
              <w:rPr>
                <w:sz w:val="20"/>
                <w:szCs w:val="20"/>
                <w:color w:val="auto"/>
              </w:rPr>
            </w:pPr>
          </w:p>
        </w:tc>
        <w:tc>
          <w:tcPr>
            <w:tcW w:w="25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color w:val="auto"/>
              </w:rPr>
              <w:t>Three months ended March 31,</w:t>
            </w:r>
          </w:p>
        </w:tc>
        <w:tc>
          <w:tcPr>
            <w:tcW w:w="500" w:type="dxa"/>
            <w:vAlign w:val="bottom"/>
            <w:tcBorders>
              <w:bottom w:val="single" w:sz="8" w:color="auto"/>
            </w:tcBorders>
          </w:tcPr>
          <w:p>
            <w:pPr>
              <w:spacing w:after="0"/>
              <w:rPr>
                <w:sz w:val="20"/>
                <w:szCs w:val="20"/>
                <w:color w:val="auto"/>
              </w:rPr>
            </w:pPr>
          </w:p>
        </w:tc>
      </w:tr>
      <w:tr>
        <w:trPr>
          <w:trHeight w:val="210"/>
        </w:trPr>
        <w:tc>
          <w:tcPr>
            <w:tcW w:w="81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2026</w:t>
            </w:r>
          </w:p>
        </w:tc>
        <w:tc>
          <w:tcPr>
            <w:tcW w:w="5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2"/>
              <w:spacing w:after="0"/>
              <w:rPr>
                <w:sz w:val="20"/>
                <w:szCs w:val="20"/>
                <w:color w:val="auto"/>
              </w:rPr>
            </w:pPr>
            <w:r>
              <w:rPr>
                <w:rFonts w:ascii="Arial" w:cs="Arial" w:eastAsia="Arial" w:hAnsi="Arial"/>
                <w:sz w:val="14"/>
                <w:szCs w:val="14"/>
                <w:color w:val="auto"/>
              </w:rPr>
              <w:t>2025</w:t>
            </w:r>
          </w:p>
        </w:tc>
        <w:tc>
          <w:tcPr>
            <w:tcW w:w="500" w:type="dxa"/>
            <w:vAlign w:val="bottom"/>
            <w:tcBorders>
              <w:bottom w:val="single" w:sz="8" w:color="auto"/>
            </w:tcBorders>
          </w:tcPr>
          <w:p>
            <w:pPr>
              <w:spacing w:after="0"/>
              <w:rPr>
                <w:sz w:val="18"/>
                <w:szCs w:val="18"/>
                <w:color w:val="auto"/>
              </w:rPr>
            </w:pPr>
          </w:p>
        </w:tc>
      </w:tr>
      <w:tr>
        <w:trPr>
          <w:trHeight w:val="213"/>
        </w:trPr>
        <w:tc>
          <w:tcPr>
            <w:tcW w:w="8160" w:type="dxa"/>
            <w:vAlign w:val="bottom"/>
            <w:shd w:val="clear" w:color="auto" w:fill="D4F1F5"/>
          </w:tcPr>
          <w:p>
            <w:pPr>
              <w:ind w:left="20"/>
              <w:spacing w:after="0"/>
              <w:rPr>
                <w:sz w:val="20"/>
                <w:szCs w:val="20"/>
                <w:color w:val="auto"/>
              </w:rPr>
            </w:pPr>
            <w:r>
              <w:rPr>
                <w:rFonts w:ascii="Arial" w:cs="Arial" w:eastAsia="Arial" w:hAnsi="Arial"/>
                <w:sz w:val="16"/>
                <w:szCs w:val="16"/>
                <w:b w:val="1"/>
                <w:bCs w:val="1"/>
                <w:color w:val="auto"/>
              </w:rPr>
              <w:t>Sempra:</w:t>
            </w:r>
          </w:p>
        </w:tc>
        <w:tc>
          <w:tcPr>
            <w:tcW w:w="960" w:type="dxa"/>
            <w:vAlign w:val="bottom"/>
            <w:shd w:val="clear" w:color="auto" w:fill="D4F1F5"/>
          </w:tcPr>
          <w:p>
            <w:pPr>
              <w:spacing w:after="0"/>
              <w:rPr>
                <w:sz w:val="18"/>
                <w:szCs w:val="18"/>
                <w:color w:val="auto"/>
              </w:rPr>
            </w:pPr>
          </w:p>
        </w:tc>
        <w:tc>
          <w:tcPr>
            <w:tcW w:w="580" w:type="dxa"/>
            <w:vAlign w:val="bottom"/>
            <w:shd w:val="clear" w:color="auto" w:fill="D4F1F5"/>
          </w:tcPr>
          <w:p>
            <w:pPr>
              <w:spacing w:after="0"/>
              <w:rPr>
                <w:sz w:val="18"/>
                <w:szCs w:val="18"/>
                <w:color w:val="auto"/>
              </w:rPr>
            </w:pPr>
          </w:p>
        </w:tc>
        <w:tc>
          <w:tcPr>
            <w:tcW w:w="1040" w:type="dxa"/>
            <w:vAlign w:val="bottom"/>
            <w:shd w:val="clear" w:color="auto" w:fill="D4F1F5"/>
          </w:tcPr>
          <w:p>
            <w:pPr>
              <w:spacing w:after="0"/>
              <w:rPr>
                <w:sz w:val="18"/>
                <w:szCs w:val="18"/>
                <w:color w:val="auto"/>
              </w:rPr>
            </w:pPr>
          </w:p>
        </w:tc>
        <w:tc>
          <w:tcPr>
            <w:tcW w:w="500" w:type="dxa"/>
            <w:vAlign w:val="bottom"/>
            <w:shd w:val="clear" w:color="auto" w:fill="D4F1F5"/>
          </w:tcPr>
          <w:p>
            <w:pPr>
              <w:spacing w:after="0"/>
              <w:rPr>
                <w:sz w:val="18"/>
                <w:szCs w:val="18"/>
                <w:color w:val="auto"/>
              </w:rPr>
            </w:pPr>
          </w:p>
        </w:tc>
      </w:tr>
      <w:tr>
        <w:trPr>
          <w:trHeight w:val="215"/>
        </w:trPr>
        <w:tc>
          <w:tcPr>
            <w:tcW w:w="8160" w:type="dxa"/>
            <w:vAlign w:val="bottom"/>
          </w:tcPr>
          <w:p>
            <w:pPr>
              <w:ind w:left="20"/>
              <w:spacing w:after="0"/>
              <w:rPr>
                <w:sz w:val="20"/>
                <w:szCs w:val="20"/>
                <w:color w:val="auto"/>
              </w:rPr>
            </w:pPr>
            <w:r>
              <w:rPr>
                <w:rFonts w:ascii="Arial" w:cs="Arial" w:eastAsia="Arial" w:hAnsi="Arial"/>
                <w:sz w:val="16"/>
                <w:szCs w:val="16"/>
                <w:color w:val="auto"/>
              </w:rPr>
              <w:t>Sempra California</w:t>
            </w:r>
          </w:p>
        </w:tc>
        <w:tc>
          <w:tcPr>
            <w:tcW w:w="960" w:type="dxa"/>
            <w:vAlign w:val="bottom"/>
          </w:tcPr>
          <w:p>
            <w:pPr>
              <w:jc w:val="right"/>
              <w:ind w:right="764"/>
              <w:spacing w:after="0"/>
              <w:rPr>
                <w:sz w:val="20"/>
                <w:szCs w:val="20"/>
                <w:color w:val="auto"/>
              </w:rPr>
            </w:pPr>
            <w:r>
              <w:rPr>
                <w:rFonts w:ascii="Arial" w:cs="Arial" w:eastAsia="Arial" w:hAnsi="Arial"/>
                <w:sz w:val="16"/>
                <w:szCs w:val="16"/>
                <w:color w:val="auto"/>
              </w:rPr>
              <w:t>$</w:t>
            </w:r>
          </w:p>
        </w:tc>
        <w:tc>
          <w:tcPr>
            <w:tcW w:w="580" w:type="dxa"/>
            <w:vAlign w:val="bottom"/>
          </w:tcPr>
          <w:p>
            <w:pPr>
              <w:jc w:val="right"/>
              <w:ind w:right="39"/>
              <w:spacing w:after="0"/>
              <w:rPr>
                <w:sz w:val="20"/>
                <w:szCs w:val="20"/>
                <w:color w:val="auto"/>
              </w:rPr>
            </w:pPr>
            <w:r>
              <w:rPr>
                <w:rFonts w:ascii="Arial" w:cs="Arial" w:eastAsia="Arial" w:hAnsi="Arial"/>
                <w:sz w:val="16"/>
                <w:szCs w:val="16"/>
                <w:color w:val="auto"/>
              </w:rPr>
              <w:t>720</w:t>
            </w:r>
          </w:p>
        </w:tc>
        <w:tc>
          <w:tcPr>
            <w:tcW w:w="1040" w:type="dxa"/>
            <w:vAlign w:val="bottom"/>
          </w:tcPr>
          <w:p>
            <w:pPr>
              <w:jc w:val="right"/>
              <w:ind w:right="802"/>
              <w:spacing w:after="0"/>
              <w:rPr>
                <w:sz w:val="20"/>
                <w:szCs w:val="20"/>
                <w:color w:val="auto"/>
              </w:rPr>
            </w:pPr>
            <w:r>
              <w:rPr>
                <w:rFonts w:ascii="Arial" w:cs="Arial" w:eastAsia="Arial" w:hAnsi="Arial"/>
                <w:sz w:val="16"/>
                <w:szCs w:val="16"/>
                <w:color w:val="auto"/>
              </w:rPr>
              <w:t>$</w:t>
            </w:r>
          </w:p>
        </w:tc>
        <w:tc>
          <w:tcPr>
            <w:tcW w:w="500" w:type="dxa"/>
            <w:vAlign w:val="bottom"/>
          </w:tcPr>
          <w:p>
            <w:pPr>
              <w:jc w:val="right"/>
              <w:spacing w:after="0"/>
              <w:rPr>
                <w:sz w:val="20"/>
                <w:szCs w:val="20"/>
                <w:color w:val="auto"/>
              </w:rPr>
            </w:pPr>
            <w:r>
              <w:rPr>
                <w:rFonts w:ascii="Arial" w:cs="Arial" w:eastAsia="Arial" w:hAnsi="Arial"/>
                <w:sz w:val="16"/>
                <w:szCs w:val="16"/>
                <w:color w:val="auto"/>
              </w:rPr>
              <w:t>724</w:t>
            </w:r>
          </w:p>
        </w:tc>
      </w:tr>
      <w:tr>
        <w:trPr>
          <w:trHeight w:val="217"/>
        </w:trPr>
        <w:tc>
          <w:tcPr>
            <w:tcW w:w="8160" w:type="dxa"/>
            <w:vAlign w:val="bottom"/>
            <w:shd w:val="clear" w:color="auto" w:fill="D4F1F5"/>
          </w:tcPr>
          <w:p>
            <w:pPr>
              <w:ind w:left="20"/>
              <w:spacing w:after="0"/>
              <w:rPr>
                <w:sz w:val="20"/>
                <w:szCs w:val="20"/>
                <w:color w:val="auto"/>
              </w:rPr>
            </w:pPr>
            <w:r>
              <w:rPr>
                <w:rFonts w:ascii="Arial" w:cs="Arial" w:eastAsia="Arial" w:hAnsi="Arial"/>
                <w:sz w:val="16"/>
                <w:szCs w:val="16"/>
                <w:color w:val="auto"/>
              </w:rPr>
              <w:t>Sempra Texas Utilities</w:t>
            </w:r>
          </w:p>
        </w:tc>
        <w:tc>
          <w:tcPr>
            <w:tcW w:w="960" w:type="dxa"/>
            <w:vAlign w:val="bottom"/>
            <w:shd w:val="clear" w:color="auto" w:fill="D4F1F5"/>
          </w:tcPr>
          <w:p>
            <w:pPr>
              <w:spacing w:after="0"/>
              <w:rPr>
                <w:sz w:val="18"/>
                <w:szCs w:val="18"/>
                <w:color w:val="auto"/>
              </w:rPr>
            </w:pPr>
          </w:p>
        </w:tc>
        <w:tc>
          <w:tcPr>
            <w:tcW w:w="580" w:type="dxa"/>
            <w:vAlign w:val="bottom"/>
            <w:shd w:val="clear" w:color="auto" w:fill="D4F1F5"/>
          </w:tcPr>
          <w:p>
            <w:pPr>
              <w:jc w:val="right"/>
              <w:ind w:right="39"/>
              <w:spacing w:after="0"/>
              <w:rPr>
                <w:sz w:val="20"/>
                <w:szCs w:val="20"/>
                <w:color w:val="auto"/>
              </w:rPr>
            </w:pPr>
            <w:r>
              <w:rPr>
                <w:rFonts w:ascii="Arial" w:cs="Arial" w:eastAsia="Arial" w:hAnsi="Arial"/>
                <w:sz w:val="16"/>
                <w:szCs w:val="16"/>
                <w:color w:val="auto"/>
              </w:rPr>
              <w:t>171</w:t>
            </w:r>
          </w:p>
        </w:tc>
        <w:tc>
          <w:tcPr>
            <w:tcW w:w="1040" w:type="dxa"/>
            <w:vAlign w:val="bottom"/>
            <w:shd w:val="clear" w:color="auto" w:fill="D4F1F5"/>
          </w:tcPr>
          <w:p>
            <w:pPr>
              <w:spacing w:after="0"/>
              <w:rPr>
                <w:sz w:val="18"/>
                <w:szCs w:val="18"/>
                <w:color w:val="auto"/>
              </w:rPr>
            </w:pPr>
          </w:p>
        </w:tc>
        <w:tc>
          <w:tcPr>
            <w:tcW w:w="500" w:type="dxa"/>
            <w:vAlign w:val="bottom"/>
            <w:shd w:val="clear" w:color="auto" w:fill="D4F1F5"/>
          </w:tcPr>
          <w:p>
            <w:pPr>
              <w:jc w:val="right"/>
              <w:spacing w:after="0"/>
              <w:rPr>
                <w:sz w:val="20"/>
                <w:szCs w:val="20"/>
                <w:color w:val="auto"/>
              </w:rPr>
            </w:pPr>
            <w:r>
              <w:rPr>
                <w:rFonts w:ascii="Arial" w:cs="Arial" w:eastAsia="Arial" w:hAnsi="Arial"/>
                <w:sz w:val="16"/>
                <w:szCs w:val="16"/>
                <w:color w:val="auto"/>
              </w:rPr>
              <w:t>146</w:t>
            </w:r>
          </w:p>
        </w:tc>
      </w:tr>
      <w:tr>
        <w:trPr>
          <w:trHeight w:val="215"/>
        </w:trPr>
        <w:tc>
          <w:tcPr>
            <w:tcW w:w="8160" w:type="dxa"/>
            <w:vAlign w:val="bottom"/>
            <w:tcBorders>
              <w:bottom w:val="single" w:sz="8" w:color="D4F1F5"/>
            </w:tcBorders>
          </w:tcPr>
          <w:p>
            <w:pPr>
              <w:ind w:left="20"/>
              <w:spacing w:after="0"/>
              <w:rPr>
                <w:sz w:val="20"/>
                <w:szCs w:val="20"/>
                <w:color w:val="auto"/>
              </w:rPr>
            </w:pPr>
            <w:r>
              <w:rPr>
                <w:rFonts w:ascii="Arial" w:cs="Arial" w:eastAsia="Arial" w:hAnsi="Arial"/>
                <w:sz w:val="16"/>
                <w:szCs w:val="16"/>
                <w:color w:val="auto"/>
              </w:rPr>
              <w:t>Sempra Infrastructure</w:t>
            </w:r>
          </w:p>
        </w:tc>
        <w:tc>
          <w:tcPr>
            <w:tcW w:w="96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262</w:t>
            </w:r>
          </w:p>
        </w:tc>
        <w:tc>
          <w:tcPr>
            <w:tcW w:w="104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146</w:t>
            </w:r>
          </w:p>
        </w:tc>
      </w:tr>
      <w:tr>
        <w:trPr>
          <w:trHeight w:val="210"/>
        </w:trPr>
        <w:tc>
          <w:tcPr>
            <w:tcW w:w="8160" w:type="dxa"/>
            <w:vAlign w:val="bottom"/>
            <w:shd w:val="clear" w:color="auto" w:fill="D4F1F5"/>
          </w:tcPr>
          <w:p>
            <w:pPr>
              <w:ind w:left="140"/>
              <w:spacing w:after="0"/>
              <w:rPr>
                <w:sz w:val="20"/>
                <w:szCs w:val="20"/>
                <w:color w:val="auto"/>
              </w:rPr>
            </w:pPr>
            <w:r>
              <w:rPr>
                <w:rFonts w:ascii="Arial" w:cs="Arial" w:eastAsia="Arial" w:hAnsi="Arial"/>
                <w:sz w:val="16"/>
                <w:szCs w:val="16"/>
                <w:color w:val="auto"/>
              </w:rPr>
              <w:t>Segment earnings attributable to common shares</w:t>
            </w:r>
          </w:p>
        </w:tc>
        <w:tc>
          <w:tcPr>
            <w:tcW w:w="960" w:type="dxa"/>
            <w:vAlign w:val="bottom"/>
            <w:shd w:val="clear" w:color="auto" w:fill="D4F1F5"/>
          </w:tcPr>
          <w:p>
            <w:pPr>
              <w:spacing w:after="0"/>
              <w:rPr>
                <w:sz w:val="18"/>
                <w:szCs w:val="18"/>
                <w:color w:val="auto"/>
              </w:rPr>
            </w:pPr>
          </w:p>
        </w:tc>
        <w:tc>
          <w:tcPr>
            <w:tcW w:w="580" w:type="dxa"/>
            <w:vAlign w:val="bottom"/>
            <w:shd w:val="clear" w:color="auto" w:fill="D4F1F5"/>
          </w:tcPr>
          <w:p>
            <w:pPr>
              <w:jc w:val="right"/>
              <w:ind w:right="39"/>
              <w:spacing w:after="0"/>
              <w:rPr>
                <w:sz w:val="20"/>
                <w:szCs w:val="20"/>
                <w:color w:val="auto"/>
              </w:rPr>
            </w:pPr>
            <w:r>
              <w:rPr>
                <w:rFonts w:ascii="Arial" w:cs="Arial" w:eastAsia="Arial" w:hAnsi="Arial"/>
                <w:sz w:val="16"/>
                <w:szCs w:val="16"/>
                <w:color w:val="auto"/>
              </w:rPr>
              <w:t>1,153</w:t>
            </w:r>
          </w:p>
        </w:tc>
        <w:tc>
          <w:tcPr>
            <w:tcW w:w="1040" w:type="dxa"/>
            <w:vAlign w:val="bottom"/>
            <w:shd w:val="clear" w:color="auto" w:fill="D4F1F5"/>
          </w:tcPr>
          <w:p>
            <w:pPr>
              <w:spacing w:after="0"/>
              <w:rPr>
                <w:sz w:val="18"/>
                <w:szCs w:val="18"/>
                <w:color w:val="auto"/>
              </w:rPr>
            </w:pPr>
          </w:p>
        </w:tc>
        <w:tc>
          <w:tcPr>
            <w:tcW w:w="500" w:type="dxa"/>
            <w:vAlign w:val="bottom"/>
            <w:shd w:val="clear" w:color="auto" w:fill="D4F1F5"/>
          </w:tcPr>
          <w:p>
            <w:pPr>
              <w:jc w:val="right"/>
              <w:spacing w:after="0"/>
              <w:rPr>
                <w:sz w:val="20"/>
                <w:szCs w:val="20"/>
                <w:color w:val="auto"/>
              </w:rPr>
            </w:pPr>
            <w:r>
              <w:rPr>
                <w:rFonts w:ascii="Arial" w:cs="Arial" w:eastAsia="Arial" w:hAnsi="Arial"/>
                <w:sz w:val="16"/>
                <w:szCs w:val="16"/>
                <w:color w:val="auto"/>
                <w:w w:val="99"/>
              </w:rPr>
              <w:t>1,016</w:t>
            </w:r>
          </w:p>
        </w:tc>
      </w:tr>
      <w:tr>
        <w:trPr>
          <w:trHeight w:val="215"/>
        </w:trPr>
        <w:tc>
          <w:tcPr>
            <w:tcW w:w="8160" w:type="dxa"/>
            <w:vAlign w:val="bottom"/>
            <w:tcBorders>
              <w:bottom w:val="single" w:sz="8" w:color="D4F1F5"/>
            </w:tcBorders>
          </w:tcPr>
          <w:p>
            <w:pPr>
              <w:ind w:left="20"/>
              <w:spacing w:after="0"/>
              <w:rPr>
                <w:sz w:val="20"/>
                <w:szCs w:val="20"/>
                <w:color w:val="auto"/>
              </w:rPr>
            </w:pPr>
            <w:r>
              <w:rPr>
                <w:rFonts w:ascii="Arial" w:cs="Arial" w:eastAsia="Arial" w:hAnsi="Arial"/>
                <w:sz w:val="16"/>
                <w:szCs w:val="16"/>
                <w:color w:val="auto"/>
              </w:rPr>
              <w:t>Parent and other</w:t>
            </w:r>
          </w:p>
        </w:tc>
        <w:tc>
          <w:tcPr>
            <w:tcW w:w="96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(116)</w:t>
            </w:r>
          </w:p>
        </w:tc>
        <w:tc>
          <w:tcPr>
            <w:tcW w:w="104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(110)</w:t>
            </w:r>
          </w:p>
        </w:tc>
      </w:tr>
      <w:tr>
        <w:trPr>
          <w:trHeight w:val="217"/>
        </w:trPr>
        <w:tc>
          <w:tcPr>
            <w:tcW w:w="8160" w:type="dxa"/>
            <w:vAlign w:val="bottom"/>
            <w:tcBorders>
              <w:bottom w:val="single" w:sz="8" w:color="auto"/>
            </w:tcBorders>
            <w:shd w:val="clear" w:color="auto" w:fill="D4F1F5"/>
          </w:tcPr>
          <w:p>
            <w:pPr>
              <w:ind w:left="20"/>
              <w:spacing w:after="0"/>
              <w:rPr>
                <w:sz w:val="20"/>
                <w:szCs w:val="20"/>
                <w:color w:val="auto"/>
              </w:rPr>
            </w:pPr>
            <w:r>
              <w:rPr>
                <w:rFonts w:ascii="Arial" w:cs="Arial" w:eastAsia="Arial" w:hAnsi="Arial"/>
                <w:sz w:val="16"/>
                <w:szCs w:val="16"/>
                <w:b w:val="1"/>
                <w:bCs w:val="1"/>
                <w:color w:val="auto"/>
              </w:rPr>
              <w:t>Earnings attributable to common shares</w:t>
            </w:r>
          </w:p>
        </w:tc>
        <w:tc>
          <w:tcPr>
            <w:tcW w:w="960" w:type="dxa"/>
            <w:vAlign w:val="bottom"/>
            <w:tcBorders>
              <w:bottom w:val="single" w:sz="8" w:color="auto"/>
            </w:tcBorders>
            <w:shd w:val="clear" w:color="auto" w:fill="D4F1F5"/>
          </w:tcPr>
          <w:p>
            <w:pPr>
              <w:jc w:val="right"/>
              <w:ind w:right="764"/>
              <w:spacing w:after="0"/>
              <w:rPr>
                <w:sz w:val="20"/>
                <w:szCs w:val="20"/>
                <w:color w:val="auto"/>
              </w:rPr>
            </w:pPr>
            <w:r>
              <w:rPr>
                <w:rFonts w:ascii="Arial" w:cs="Arial" w:eastAsia="Arial" w:hAnsi="Arial"/>
                <w:sz w:val="16"/>
                <w:szCs w:val="16"/>
                <w:color w:val="auto"/>
              </w:rPr>
              <w:t>$</w:t>
            </w:r>
          </w:p>
        </w:tc>
        <w:tc>
          <w:tcPr>
            <w:tcW w:w="580" w:type="dxa"/>
            <w:vAlign w:val="bottom"/>
            <w:tcBorders>
              <w:bottom w:val="single" w:sz="8" w:color="auto"/>
            </w:tcBorders>
            <w:shd w:val="clear" w:color="auto" w:fill="D4F1F5"/>
          </w:tcPr>
          <w:p>
            <w:pPr>
              <w:jc w:val="right"/>
              <w:ind w:right="39"/>
              <w:spacing w:after="0"/>
              <w:rPr>
                <w:sz w:val="20"/>
                <w:szCs w:val="20"/>
                <w:color w:val="auto"/>
              </w:rPr>
            </w:pPr>
            <w:r>
              <w:rPr>
                <w:rFonts w:ascii="Arial" w:cs="Arial" w:eastAsia="Arial" w:hAnsi="Arial"/>
                <w:sz w:val="16"/>
                <w:szCs w:val="16"/>
                <w:color w:val="auto"/>
              </w:rPr>
              <w:t>1,037</w:t>
            </w:r>
          </w:p>
        </w:tc>
        <w:tc>
          <w:tcPr>
            <w:tcW w:w="1040" w:type="dxa"/>
            <w:vAlign w:val="bottom"/>
            <w:tcBorders>
              <w:bottom w:val="single" w:sz="8" w:color="auto"/>
            </w:tcBorders>
            <w:shd w:val="clear" w:color="auto" w:fill="D4F1F5"/>
          </w:tcPr>
          <w:p>
            <w:pPr>
              <w:jc w:val="right"/>
              <w:ind w:right="802"/>
              <w:spacing w:after="0"/>
              <w:rPr>
                <w:sz w:val="20"/>
                <w:szCs w:val="20"/>
                <w:color w:val="auto"/>
              </w:rPr>
            </w:pPr>
            <w:r>
              <w:rPr>
                <w:rFonts w:ascii="Arial" w:cs="Arial" w:eastAsia="Arial" w:hAnsi="Arial"/>
                <w:sz w:val="16"/>
                <w:szCs w:val="16"/>
                <w:color w:val="auto"/>
              </w:rPr>
              <w:t>$</w:t>
            </w:r>
          </w:p>
        </w:tc>
        <w:tc>
          <w:tcPr>
            <w:tcW w:w="500" w:type="dxa"/>
            <w:vAlign w:val="bottom"/>
            <w:tcBorders>
              <w:bottom w:val="single" w:sz="8" w:color="auto"/>
            </w:tcBorders>
            <w:shd w:val="clear" w:color="auto" w:fill="D4F1F5"/>
          </w:tcPr>
          <w:p>
            <w:pPr>
              <w:jc w:val="right"/>
              <w:spacing w:after="0"/>
              <w:rPr>
                <w:sz w:val="20"/>
                <w:szCs w:val="20"/>
                <w:color w:val="auto"/>
              </w:rPr>
            </w:pPr>
            <w:r>
              <w:rPr>
                <w:rFonts w:ascii="Arial" w:cs="Arial" w:eastAsia="Arial" w:hAnsi="Arial"/>
                <w:sz w:val="16"/>
                <w:szCs w:val="16"/>
                <w:color w:val="auto"/>
              </w:rPr>
              <w:t>906</w:t>
            </w:r>
          </w:p>
        </w:tc>
      </w:tr>
    </w:tbl>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Sempra California</w:t>
      </w:r>
    </w:p>
    <w:p>
      <w:pPr>
        <w:spacing w:after="0" w:line="49"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Sempra California’s earnings are comprised of SDG&amp;E and SoCalGas. Because changes in SDG&amp;E’s and SoCalGas’ cost of natural gas and/or electricity are recovered in rates, changes in these costs are offset in the changes in revenues and therefore do not impact earnings, other than potential impacts related to the GCIM for SoCalGas that we describe below. In addition to the changes in cost or market prices, natural gas or electric revenues recorded during a period are impacted by the difference between customer billings and recorded or CPUC-authorized amounts. These differences are required to be balanced over time, resulting in over- and undercollected regulatory balancing accounts. We discuss balancing accounts and their effects further in Note 4 of the Notes to Condensed Consolidated Financial Statements in this report and in Note 4 of the Notes to Consolidated Financial Statements in the Annual Report.</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150495</wp:posOffset>
            </wp:positionV>
            <wp:extent cx="7157720" cy="425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86" w:name="page87"/>
    <w:bookmarkEnd w:id="8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the three months ended March 31, 2026 compared to the same period in 2025, the decrease in earnings of $4 million (1%) was primarily due to:</w:t>
      </w:r>
    </w:p>
    <w:p>
      <w:pPr>
        <w:spacing w:after="0" w:line="77" w:lineRule="exact"/>
        <w:rPr>
          <w:sz w:val="20"/>
          <w:szCs w:val="20"/>
          <w:color w:val="auto"/>
        </w:rPr>
      </w:pPr>
    </w:p>
    <w:p>
      <w:pPr>
        <w:ind w:left="160" w:hanging="152"/>
        <w:spacing w:after="0"/>
        <w:tabs>
          <w:tab w:leader="none" w:pos="1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$34 million lower income tax benefits primarily from flow-through items</w:t>
      </w:r>
    </w:p>
    <w:p>
      <w:pPr>
        <w:spacing w:after="0" w:line="49" w:lineRule="exact"/>
        <w:rPr>
          <w:rFonts w:ascii="Times New Roman" w:cs="Times New Roman" w:eastAsia="Times New Roman" w:hAnsi="Times New Roman"/>
          <w:sz w:val="18"/>
          <w:szCs w:val="18"/>
          <w:color w:val="auto"/>
        </w:rPr>
      </w:pPr>
    </w:p>
    <w:p>
      <w:pPr>
        <w:ind w:left="160" w:hanging="152"/>
        <w:spacing w:after="0"/>
        <w:tabs>
          <w:tab w:leader="none" w:pos="1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$14 million higher net interest expense</w:t>
      </w:r>
    </w:p>
    <w:p>
      <w:pPr>
        <w:spacing w:after="0" w:line="320" w:lineRule="exact"/>
        <w:rPr>
          <w:sz w:val="20"/>
          <w:szCs w:val="20"/>
          <w:color w:val="auto"/>
        </w:rPr>
      </w:pPr>
    </w:p>
    <w:p>
      <w:pPr>
        <w:ind w:left="180" w:hanging="172"/>
        <w:spacing w:after="0" w:line="266" w:lineRule="auto"/>
        <w:tabs>
          <w:tab w:leader="none" w:pos="176"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$38 million higher CPUC base operating margin, net of operating expenses, including $43 million recognition of regulatory revenue reflecting returns on approved WMP capital projects resulting from the 2024 GRC Track 2 FD</w:t>
      </w:r>
    </w:p>
    <w:p>
      <w:pPr>
        <w:ind w:left="160" w:hanging="152"/>
        <w:spacing w:after="0"/>
        <w:tabs>
          <w:tab w:leader="none" w:pos="1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 million regulatory award approved by the CPUC in 2026</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Sempra Texas Utilities</w:t>
      </w:r>
    </w:p>
    <w:p>
      <w:pPr>
        <w:spacing w:after="0" w:line="49"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In the three months ended March 31, 2026 compared to the same period in 2025, the increase in earnings of $25 million (17%) was primarily due to higher equity earnings from Oncor Holdings driven by:</w:t>
      </w:r>
    </w:p>
    <w:p>
      <w:pPr>
        <w:spacing w:after="0" w:line="13" w:lineRule="exact"/>
        <w:rPr>
          <w:sz w:val="20"/>
          <w:szCs w:val="20"/>
          <w:color w:val="auto"/>
        </w:rPr>
      </w:pPr>
    </w:p>
    <w:p>
      <w:pPr>
        <w:ind w:left="160" w:hanging="152"/>
        <w:spacing w:after="0"/>
        <w:tabs>
          <w:tab w:leader="none" w:pos="1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overall higher revenues primarily attributable to:</w:t>
      </w:r>
    </w:p>
    <w:p>
      <w:pPr>
        <w:spacing w:after="0" w:line="49" w:lineRule="exact"/>
        <w:rPr>
          <w:rFonts w:ascii="Times New Roman" w:cs="Times New Roman" w:eastAsia="Times New Roman" w:hAnsi="Times New Roman"/>
          <w:sz w:val="18"/>
          <w:szCs w:val="18"/>
          <w:color w:val="auto"/>
        </w:rPr>
      </w:pPr>
    </w:p>
    <w:p>
      <w:pPr>
        <w:ind w:left="320" w:hanging="150"/>
        <w:spacing w:after="0"/>
        <w:tabs>
          <w:tab w:leader="none" w:pos="320"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establishment of the UTM in June 2025 and the SRP</w:t>
      </w:r>
    </w:p>
    <w:p>
      <w:pPr>
        <w:spacing w:after="0" w:line="63" w:lineRule="exact"/>
        <w:rPr>
          <w:rFonts w:ascii="Times New Roman" w:cs="Times New Roman" w:eastAsia="Times New Roman" w:hAnsi="Times New Roman"/>
          <w:sz w:val="18"/>
          <w:szCs w:val="18"/>
          <w:color w:val="auto"/>
        </w:rPr>
      </w:pPr>
    </w:p>
    <w:p>
      <w:pPr>
        <w:ind w:left="320" w:hanging="150"/>
        <w:spacing w:after="0"/>
        <w:tabs>
          <w:tab w:leader="none" w:pos="320"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rate updates to reflect increases in invested capital</w:t>
      </w:r>
    </w:p>
    <w:p>
      <w:pPr>
        <w:spacing w:after="0" w:line="49" w:lineRule="exact"/>
        <w:rPr>
          <w:rFonts w:ascii="Times New Roman" w:cs="Times New Roman" w:eastAsia="Times New Roman" w:hAnsi="Times New Roman"/>
          <w:sz w:val="18"/>
          <w:szCs w:val="18"/>
          <w:color w:val="auto"/>
        </w:rPr>
      </w:pPr>
    </w:p>
    <w:p>
      <w:pPr>
        <w:ind w:left="320" w:hanging="150"/>
        <w:spacing w:after="0"/>
        <w:tabs>
          <w:tab w:leader="none" w:pos="320"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customer growth</w:t>
      </w:r>
    </w:p>
    <w:p>
      <w:pPr>
        <w:spacing w:after="0" w:line="320" w:lineRule="exact"/>
        <w:rPr>
          <w:sz w:val="20"/>
          <w:szCs w:val="20"/>
          <w:color w:val="auto"/>
        </w:rPr>
      </w:pPr>
    </w:p>
    <w:p>
      <w:pPr>
        <w:ind w:right="6400" w:firstLine="170"/>
        <w:spacing w:after="0" w:line="297" w:lineRule="auto"/>
        <w:tabs>
          <w:tab w:leader="none" w:pos="320"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lower customer consumption primarily attributable to weather Offset by:</w:t>
      </w:r>
    </w:p>
    <w:p>
      <w:pPr>
        <w:ind w:left="160" w:hanging="152"/>
        <w:spacing w:after="0"/>
        <w:tabs>
          <w:tab w:leader="none" w:pos="1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higher interest expense and depreciation expense associated with increases in invested capital</w:t>
      </w:r>
    </w:p>
    <w:p>
      <w:pPr>
        <w:spacing w:after="0" w:line="63" w:lineRule="exact"/>
        <w:rPr>
          <w:rFonts w:ascii="Times New Roman" w:cs="Times New Roman" w:eastAsia="Times New Roman" w:hAnsi="Times New Roman"/>
          <w:sz w:val="18"/>
          <w:szCs w:val="18"/>
          <w:color w:val="auto"/>
        </w:rPr>
      </w:pPr>
    </w:p>
    <w:p>
      <w:pPr>
        <w:ind w:left="160" w:hanging="152"/>
        <w:spacing w:after="0"/>
        <w:tabs>
          <w:tab w:leader="none" w:pos="1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higher O&amp;M</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Sempra Infrastructure</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the three months ended March 31, 2026 compared to the same period in 2025, the increase in earnings of $116 million was primarily due to:</w:t>
      </w:r>
    </w:p>
    <w:p>
      <w:pPr>
        <w:spacing w:after="0" w:line="77" w:lineRule="exact"/>
        <w:rPr>
          <w:sz w:val="20"/>
          <w:szCs w:val="20"/>
          <w:color w:val="auto"/>
        </w:rPr>
      </w:pPr>
    </w:p>
    <w:p>
      <w:pPr>
        <w:ind w:left="180" w:right="720" w:hanging="172"/>
        <w:spacing w:after="0" w:line="266" w:lineRule="auto"/>
        <w:tabs>
          <w:tab w:leader="none" w:pos="176"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$58 million from asset and supply optimization driven by unrealized gains on commodity derivatives in 2026 compared to unrealized losses on commodity derivatives in 2025 due to changes in natural gas prices and higher optimization of transport and storage contracts</w:t>
      </w:r>
    </w:p>
    <w:p>
      <w:pPr>
        <w:ind w:left="160" w:hanging="152"/>
        <w:spacing w:after="0"/>
        <w:tabs>
          <w:tab w:leader="none" w:pos="16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$36 million lower depreciation expense as a result of classifying SI Partners and Ecogas as held for sale in September 2025 and June 2025, respectively</w:t>
      </w:r>
    </w:p>
    <w:p>
      <w:pPr>
        <w:spacing w:after="0" w:line="63" w:lineRule="exact"/>
        <w:rPr>
          <w:rFonts w:ascii="Times New Roman" w:cs="Times New Roman" w:eastAsia="Times New Roman" w:hAnsi="Times New Roman"/>
          <w:sz w:val="18"/>
          <w:szCs w:val="18"/>
          <w:color w:val="auto"/>
        </w:rPr>
      </w:pPr>
    </w:p>
    <w:p>
      <w:pPr>
        <w:ind w:left="160" w:hanging="152"/>
        <w:spacing w:after="0"/>
        <w:tabs>
          <w:tab w:leader="none" w:pos="16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$35 million net income tax benefit in 2026 as a result of classifying SI Partners and Ecogas as held for sale, comprised of the following:</w:t>
      </w:r>
    </w:p>
    <w:p>
      <w:pPr>
        <w:spacing w:after="0" w:line="49" w:lineRule="exact"/>
        <w:rPr>
          <w:rFonts w:ascii="Times New Roman" w:cs="Times New Roman" w:eastAsia="Times New Roman" w:hAnsi="Times New Roman"/>
          <w:sz w:val="18"/>
          <w:szCs w:val="18"/>
          <w:color w:val="auto"/>
        </w:rPr>
      </w:pPr>
    </w:p>
    <w:p>
      <w:pPr>
        <w:ind w:left="340" w:right="600" w:hanging="170"/>
        <w:spacing w:after="0" w:line="266" w:lineRule="auto"/>
        <w:tabs>
          <w:tab w:leader="none" w:pos="336"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$33 million net income tax benefit to adjust deferred income tax liabilities primarily related to outside basis differences in our investment in SI Partners</w:t>
      </w:r>
    </w:p>
    <w:p>
      <w:pPr>
        <w:ind w:left="320" w:hanging="150"/>
        <w:spacing w:after="0"/>
        <w:tabs>
          <w:tab w:leader="none" w:pos="320"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 million income tax benefit to adjust a Mexican deferred income tax liability on our outside basis difference in Ecogas</w:t>
      </w:r>
    </w:p>
    <w:p>
      <w:pPr>
        <w:spacing w:after="0" w:line="63" w:lineRule="exact"/>
        <w:rPr>
          <w:rFonts w:ascii="Times New Roman" w:cs="Times New Roman" w:eastAsia="Times New Roman" w:hAnsi="Times New Roman"/>
          <w:sz w:val="18"/>
          <w:szCs w:val="18"/>
          <w:color w:val="auto"/>
        </w:rPr>
      </w:pPr>
    </w:p>
    <w:p>
      <w:pPr>
        <w:ind w:left="180" w:right="160" w:hanging="172"/>
        <w:spacing w:after="0" w:line="266" w:lineRule="auto"/>
        <w:tabs>
          <w:tab w:leader="none" w:pos="176"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$12 million favorable impact from foreign currency and inflation effects on our monetary positions in Mexico and associated undesignated derivatives, comprised of a $19 million favorable impact in 2026 compared to a $7 million favorable impact in 2025</w:t>
      </w:r>
    </w:p>
    <w:p>
      <w:pPr>
        <w:spacing w:after="0" w:line="270" w:lineRule="exact"/>
        <w:rPr>
          <w:sz w:val="20"/>
          <w:szCs w:val="20"/>
          <w:color w:val="auto"/>
        </w:rPr>
      </w:pPr>
    </w:p>
    <w:p>
      <w:pPr>
        <w:ind w:left="160" w:hanging="152"/>
        <w:spacing w:after="0"/>
        <w:tabs>
          <w:tab w:leader="none" w:pos="16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$11 million higher O&amp;M from changes in provisions for expected credit losses</w:t>
      </w:r>
    </w:p>
    <w:p>
      <w:pPr>
        <w:spacing w:after="0" w:line="49" w:lineRule="exact"/>
        <w:rPr>
          <w:rFonts w:ascii="Times New Roman" w:cs="Times New Roman" w:eastAsia="Times New Roman" w:hAnsi="Times New Roman"/>
          <w:sz w:val="18"/>
          <w:szCs w:val="18"/>
          <w:color w:val="auto"/>
        </w:rPr>
      </w:pPr>
    </w:p>
    <w:p>
      <w:pPr>
        <w:ind w:left="180" w:right="280" w:hanging="172"/>
        <w:spacing w:after="0" w:line="266" w:lineRule="auto"/>
        <w:tabs>
          <w:tab w:leader="none" w:pos="176"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 million from revenues in 2025 driven by a contract modification in December 2024 on an LNG storage and regasification agreement that ended in December 2025</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Parent and Other</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the three months ended March 31, 2026 compared to the same period in 2025, the increase in losses of $6 million (5%) was primarily due to:</w:t>
      </w:r>
    </w:p>
    <w:p>
      <w:pPr>
        <w:spacing w:after="0" w:line="63" w:lineRule="exact"/>
        <w:rPr>
          <w:sz w:val="20"/>
          <w:szCs w:val="20"/>
          <w:color w:val="auto"/>
        </w:rPr>
      </w:pPr>
    </w:p>
    <w:p>
      <w:pPr>
        <w:ind w:left="160" w:hanging="152"/>
        <w:spacing w:after="0"/>
        <w:tabs>
          <w:tab w:leader="none" w:pos="16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$17 million higher net interest expense</w:t>
      </w:r>
    </w:p>
    <w:p>
      <w:pPr>
        <w:spacing w:after="0" w:line="63" w:lineRule="exact"/>
        <w:rPr>
          <w:rFonts w:ascii="Times New Roman" w:cs="Times New Roman" w:eastAsia="Times New Roman" w:hAnsi="Times New Roman"/>
          <w:sz w:val="18"/>
          <w:szCs w:val="18"/>
          <w:color w:val="auto"/>
        </w:rPr>
      </w:pPr>
    </w:p>
    <w:p>
      <w:pPr>
        <w:ind w:left="180" w:right="60" w:hanging="172"/>
        <w:spacing w:after="0" w:line="266" w:lineRule="auto"/>
        <w:tabs>
          <w:tab w:leader="none" w:pos="176"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$14 million unfavorable impact from $4 million net investment losses in 2026 compared to $10 million net investment gains in 2025 on dedicated assets in support of our employee nonqualified benefit plan and deferred compensation plan</w:t>
      </w:r>
    </w:p>
    <w:p>
      <w:pPr>
        <w:spacing w:after="0" w:line="270" w:lineRule="exact"/>
        <w:rPr>
          <w:sz w:val="20"/>
          <w:szCs w:val="20"/>
          <w:color w:val="auto"/>
        </w:rPr>
      </w:pPr>
    </w:p>
    <w:p>
      <w:pPr>
        <w:ind w:left="160" w:hanging="152"/>
        <w:spacing w:after="0"/>
        <w:tabs>
          <w:tab w:leader="none" w:pos="16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$11 million preferred dividends in 2025 prior to the redemption of series C preferred stock</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30" w:lineRule="exact"/>
        <w:rPr>
          <w:rFonts w:ascii="Times New Roman" w:cs="Times New Roman" w:eastAsia="Times New Roman" w:hAnsi="Times New Roman"/>
          <w:sz w:val="18"/>
          <w:szCs w:val="18"/>
          <w:color w:val="auto"/>
        </w:rPr>
      </w:pPr>
    </w:p>
    <w:p>
      <w:pPr>
        <w:ind w:left="55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150495</wp:posOffset>
            </wp:positionV>
            <wp:extent cx="7157720" cy="425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SIGNIFICANT CHANGES IN REVENUES AND COSTS</w:t>
      </w:r>
    </w:p>
    <w:p>
      <w:pPr>
        <w:spacing w:after="0" w:line="118" w:lineRule="exact"/>
        <w:rPr>
          <w:sz w:val="20"/>
          <w:szCs w:val="20"/>
          <w:color w:val="auto"/>
        </w:rPr>
      </w:pPr>
    </w:p>
    <w:p>
      <w:pPr>
        <w:ind w:right="120"/>
        <w:spacing w:after="0" w:line="297" w:lineRule="auto"/>
        <w:rPr>
          <w:sz w:val="20"/>
          <w:szCs w:val="20"/>
          <w:color w:val="auto"/>
        </w:rPr>
      </w:pPr>
      <w:r>
        <w:rPr>
          <w:rFonts w:ascii="Times New Roman" w:cs="Times New Roman" w:eastAsia="Times New Roman" w:hAnsi="Times New Roman"/>
          <w:sz w:val="18"/>
          <w:szCs w:val="18"/>
          <w:color w:val="auto"/>
        </w:rPr>
        <w:t>The regulatory framework permits SDG&amp;E and SoCalGas to recover certain program expenditures and other costs authorized by the CPUC (referred to as “refundable programs”), which may be subject to reviews for reasonableness.</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Utilities: Natural Gas Revenues and Cost of Natural Gas</w:t>
      </w:r>
    </w:p>
    <w:p>
      <w:pPr>
        <w:spacing w:after="0" w:line="49" w:lineRule="exact"/>
        <w:rPr>
          <w:sz w:val="20"/>
          <w:szCs w:val="20"/>
          <w:color w:val="auto"/>
        </w:rPr>
      </w:pPr>
    </w:p>
    <w:p>
      <w:pPr>
        <w:ind w:right="360"/>
        <w:spacing w:after="0" w:line="297" w:lineRule="auto"/>
        <w:rPr>
          <w:sz w:val="20"/>
          <w:szCs w:val="20"/>
          <w:color w:val="auto"/>
        </w:rPr>
      </w:pPr>
      <w:r>
        <w:rPr>
          <w:rFonts w:ascii="Times New Roman" w:cs="Times New Roman" w:eastAsia="Times New Roman" w:hAnsi="Times New Roman"/>
          <w:sz w:val="18"/>
          <w:szCs w:val="18"/>
          <w:color w:val="auto"/>
        </w:rPr>
        <w:t>Our utilities revenues include natural gas revenues at Sempra California and Sempra Infrastructure, which includes Ecogas. Intercompany revenues are eliminated in Sempra’s Condensed Consolidated Statements of Operations.</w:t>
      </w:r>
    </w:p>
    <w:p>
      <w:pPr>
        <w:spacing w:after="0" w:line="55"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SDG&amp;E and SoCalGas operate under a regulatory framework that permits the cost of natural gas purchased for core customers to be passed through to customers in rates substantially as incurred and without markup. The GCIM provides for SoCalGas to share in the savings and/or costs from buying natural gas for its core customers at prices below or above monthly market-based benchmarks. This mechanism permits full recovery of costs incurred when average purchase costs are within a price range around the benchmark price. Any higher costs incurred or savings realized outside this range are shared between SoCalGas and its core customers. We provide further discussion in Note 3 of the Notes to Consolidated Financial Statements in the Annual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80645</wp:posOffset>
            </wp:positionV>
            <wp:extent cx="7132320" cy="28321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32320" cy="283210"/>
                    </a:xfrm>
                    <a:prstGeom prst="rect">
                      <a:avLst/>
                    </a:prstGeom>
                    <a:noFill/>
                  </pic:spPr>
                </pic:pic>
              </a:graphicData>
            </a:graphic>
          </wp:anchor>
        </w:drawing>
      </w:r>
    </w:p>
    <w:p>
      <w:pPr>
        <w:spacing w:after="0" w:line="120"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FFFFFF"/>
        </w:rPr>
        <w:t>UTILITIES: NATURAL GAS REVENUES AND COST OF NATURAL GAS</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8100" w:type="dxa"/>
            <w:vAlign w:val="bottom"/>
          </w:tcPr>
          <w:p>
            <w:pPr>
              <w:ind w:left="20"/>
              <w:spacing w:after="0"/>
              <w:rPr>
                <w:sz w:val="20"/>
                <w:szCs w:val="20"/>
                <w:color w:val="auto"/>
              </w:rPr>
            </w:pPr>
            <w:r>
              <w:rPr>
                <w:rFonts w:ascii="Arial" w:cs="Arial" w:eastAsia="Arial" w:hAnsi="Arial"/>
                <w:sz w:val="14"/>
                <w:szCs w:val="14"/>
                <w:i w:val="1"/>
                <w:iCs w:val="1"/>
                <w:color w:val="FFFFFF"/>
              </w:rPr>
              <w:t>(Dollars in millions)</w:t>
            </w:r>
          </w:p>
        </w:tc>
        <w:tc>
          <w:tcPr>
            <w:tcW w:w="9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520" w:type="dxa"/>
            <w:vAlign w:val="bottom"/>
          </w:tcPr>
          <w:p>
            <w:pPr>
              <w:spacing w:after="0"/>
              <w:rPr>
                <w:sz w:val="16"/>
                <w:szCs w:val="16"/>
                <w:color w:val="auto"/>
              </w:rPr>
            </w:pPr>
          </w:p>
        </w:tc>
      </w:tr>
      <w:tr>
        <w:trPr>
          <w:trHeight w:val="220"/>
        </w:trPr>
        <w:tc>
          <w:tcPr>
            <w:tcW w:w="8100" w:type="dxa"/>
            <w:vAlign w:val="bottom"/>
          </w:tcPr>
          <w:p>
            <w:pPr>
              <w:spacing w:after="0"/>
              <w:rPr>
                <w:sz w:val="19"/>
                <w:szCs w:val="19"/>
                <w:color w:val="auto"/>
              </w:rPr>
            </w:pPr>
          </w:p>
        </w:tc>
        <w:tc>
          <w:tcPr>
            <w:tcW w:w="26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color w:val="auto"/>
              </w:rPr>
              <w:t>Three months ended March 31,</w:t>
            </w:r>
          </w:p>
        </w:tc>
        <w:tc>
          <w:tcPr>
            <w:tcW w:w="520" w:type="dxa"/>
            <w:vAlign w:val="bottom"/>
            <w:tcBorders>
              <w:bottom w:val="single" w:sz="8" w:color="auto"/>
            </w:tcBorders>
          </w:tcPr>
          <w:p>
            <w:pPr>
              <w:spacing w:after="0"/>
              <w:rPr>
                <w:sz w:val="19"/>
                <w:szCs w:val="19"/>
                <w:color w:val="auto"/>
              </w:rPr>
            </w:pPr>
          </w:p>
        </w:tc>
      </w:tr>
      <w:tr>
        <w:trPr>
          <w:trHeight w:val="209"/>
        </w:trPr>
        <w:tc>
          <w:tcPr>
            <w:tcW w:w="81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2026</w:t>
            </w:r>
          </w:p>
        </w:tc>
        <w:tc>
          <w:tcPr>
            <w:tcW w:w="5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1"/>
              <w:spacing w:after="0"/>
              <w:rPr>
                <w:sz w:val="20"/>
                <w:szCs w:val="20"/>
                <w:color w:val="auto"/>
              </w:rPr>
            </w:pPr>
            <w:r>
              <w:rPr>
                <w:rFonts w:ascii="Arial" w:cs="Arial" w:eastAsia="Arial" w:hAnsi="Arial"/>
                <w:sz w:val="14"/>
                <w:szCs w:val="14"/>
                <w:color w:val="auto"/>
              </w:rPr>
              <w:t>2025</w:t>
            </w:r>
          </w:p>
        </w:tc>
        <w:tc>
          <w:tcPr>
            <w:tcW w:w="520" w:type="dxa"/>
            <w:vAlign w:val="bottom"/>
            <w:tcBorders>
              <w:bottom w:val="single" w:sz="8" w:color="auto"/>
            </w:tcBorders>
          </w:tcPr>
          <w:p>
            <w:pPr>
              <w:spacing w:after="0"/>
              <w:rPr>
                <w:sz w:val="18"/>
                <w:szCs w:val="18"/>
                <w:color w:val="auto"/>
              </w:rPr>
            </w:pPr>
          </w:p>
        </w:tc>
      </w:tr>
      <w:tr>
        <w:trPr>
          <w:trHeight w:val="213"/>
        </w:trPr>
        <w:tc>
          <w:tcPr>
            <w:tcW w:w="8100" w:type="dxa"/>
            <w:vAlign w:val="bottom"/>
            <w:shd w:val="clear" w:color="auto" w:fill="D4F1F5"/>
          </w:tcPr>
          <w:p>
            <w:pPr>
              <w:ind w:left="20"/>
              <w:spacing w:after="0"/>
              <w:rPr>
                <w:sz w:val="20"/>
                <w:szCs w:val="20"/>
                <w:color w:val="auto"/>
              </w:rPr>
            </w:pPr>
            <w:r>
              <w:rPr>
                <w:rFonts w:ascii="Arial" w:cs="Arial" w:eastAsia="Arial" w:hAnsi="Arial"/>
                <w:sz w:val="16"/>
                <w:szCs w:val="16"/>
                <w:b w:val="1"/>
                <w:bCs w:val="1"/>
                <w:color w:val="auto"/>
              </w:rPr>
              <w:t>Sempra:</w:t>
            </w:r>
          </w:p>
        </w:tc>
        <w:tc>
          <w:tcPr>
            <w:tcW w:w="980" w:type="dxa"/>
            <w:vAlign w:val="bottom"/>
            <w:shd w:val="clear" w:color="auto" w:fill="D4F1F5"/>
          </w:tcPr>
          <w:p>
            <w:pPr>
              <w:spacing w:after="0"/>
              <w:rPr>
                <w:sz w:val="18"/>
                <w:szCs w:val="18"/>
                <w:color w:val="auto"/>
              </w:rPr>
            </w:pPr>
          </w:p>
        </w:tc>
        <w:tc>
          <w:tcPr>
            <w:tcW w:w="580" w:type="dxa"/>
            <w:vAlign w:val="bottom"/>
            <w:shd w:val="clear" w:color="auto" w:fill="D4F1F5"/>
          </w:tcPr>
          <w:p>
            <w:pPr>
              <w:spacing w:after="0"/>
              <w:rPr>
                <w:sz w:val="18"/>
                <w:szCs w:val="18"/>
                <w:color w:val="auto"/>
              </w:rPr>
            </w:pPr>
          </w:p>
        </w:tc>
        <w:tc>
          <w:tcPr>
            <w:tcW w:w="1060" w:type="dxa"/>
            <w:vAlign w:val="bottom"/>
            <w:shd w:val="clear" w:color="auto" w:fill="D4F1F5"/>
          </w:tcPr>
          <w:p>
            <w:pPr>
              <w:spacing w:after="0"/>
              <w:rPr>
                <w:sz w:val="18"/>
                <w:szCs w:val="18"/>
                <w:color w:val="auto"/>
              </w:rPr>
            </w:pPr>
          </w:p>
        </w:tc>
        <w:tc>
          <w:tcPr>
            <w:tcW w:w="520" w:type="dxa"/>
            <w:vAlign w:val="bottom"/>
            <w:shd w:val="clear" w:color="auto" w:fill="D4F1F5"/>
          </w:tcPr>
          <w:p>
            <w:pPr>
              <w:spacing w:after="0"/>
              <w:rPr>
                <w:sz w:val="18"/>
                <w:szCs w:val="18"/>
                <w:color w:val="auto"/>
              </w:rPr>
            </w:pPr>
          </w:p>
        </w:tc>
      </w:tr>
      <w:tr>
        <w:trPr>
          <w:trHeight w:val="215"/>
        </w:trPr>
        <w:tc>
          <w:tcPr>
            <w:tcW w:w="8100" w:type="dxa"/>
            <w:vAlign w:val="bottom"/>
          </w:tcPr>
          <w:p>
            <w:pPr>
              <w:ind w:left="20"/>
              <w:spacing w:after="0"/>
              <w:rPr>
                <w:sz w:val="20"/>
                <w:szCs w:val="20"/>
                <w:color w:val="auto"/>
              </w:rPr>
            </w:pPr>
            <w:r>
              <w:rPr>
                <w:rFonts w:ascii="Arial" w:cs="Arial" w:eastAsia="Arial" w:hAnsi="Arial"/>
                <w:sz w:val="16"/>
                <w:szCs w:val="16"/>
                <w:color w:val="auto"/>
              </w:rPr>
              <w:t>Natural gas revenues:</w:t>
            </w:r>
          </w:p>
        </w:tc>
        <w:tc>
          <w:tcPr>
            <w:tcW w:w="9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20" w:type="dxa"/>
            <w:vAlign w:val="bottom"/>
          </w:tcPr>
          <w:p>
            <w:pPr>
              <w:spacing w:after="0"/>
              <w:rPr>
                <w:sz w:val="18"/>
                <w:szCs w:val="18"/>
                <w:color w:val="auto"/>
              </w:rPr>
            </w:pPr>
          </w:p>
        </w:tc>
      </w:tr>
      <w:tr>
        <w:trPr>
          <w:trHeight w:val="217"/>
        </w:trPr>
        <w:tc>
          <w:tcPr>
            <w:tcW w:w="8100" w:type="dxa"/>
            <w:vAlign w:val="bottom"/>
            <w:shd w:val="clear" w:color="auto" w:fill="D4F1F5"/>
          </w:tcPr>
          <w:p>
            <w:pPr>
              <w:ind w:left="140"/>
              <w:spacing w:after="0"/>
              <w:rPr>
                <w:sz w:val="20"/>
                <w:szCs w:val="20"/>
                <w:color w:val="auto"/>
              </w:rPr>
            </w:pPr>
            <w:r>
              <w:rPr>
                <w:rFonts w:ascii="Arial" w:cs="Arial" w:eastAsia="Arial" w:hAnsi="Arial"/>
                <w:sz w:val="16"/>
                <w:szCs w:val="16"/>
                <w:color w:val="auto"/>
              </w:rPr>
              <w:t>Sempra California</w:t>
            </w:r>
          </w:p>
        </w:tc>
        <w:tc>
          <w:tcPr>
            <w:tcW w:w="980" w:type="dxa"/>
            <w:vAlign w:val="bottom"/>
            <w:shd w:val="clear" w:color="auto" w:fill="D4F1F5"/>
          </w:tcPr>
          <w:p>
            <w:pPr>
              <w:jc w:val="right"/>
              <w:ind w:right="802"/>
              <w:spacing w:after="0"/>
              <w:rPr>
                <w:sz w:val="20"/>
                <w:szCs w:val="20"/>
                <w:color w:val="auto"/>
              </w:rPr>
            </w:pPr>
            <w:r>
              <w:rPr>
                <w:rFonts w:ascii="Arial" w:cs="Arial" w:eastAsia="Arial" w:hAnsi="Arial"/>
                <w:sz w:val="16"/>
                <w:szCs w:val="16"/>
                <w:color w:val="auto"/>
                <w:w w:val="89"/>
              </w:rPr>
              <w:t>$</w:t>
            </w:r>
          </w:p>
        </w:tc>
        <w:tc>
          <w:tcPr>
            <w:tcW w:w="580" w:type="dxa"/>
            <w:vAlign w:val="bottom"/>
            <w:shd w:val="clear" w:color="auto" w:fill="D4F1F5"/>
          </w:tcPr>
          <w:p>
            <w:pPr>
              <w:jc w:val="right"/>
              <w:ind w:right="39"/>
              <w:spacing w:after="0"/>
              <w:rPr>
                <w:sz w:val="20"/>
                <w:szCs w:val="20"/>
                <w:color w:val="auto"/>
              </w:rPr>
            </w:pPr>
            <w:r>
              <w:rPr>
                <w:rFonts w:ascii="Arial" w:cs="Arial" w:eastAsia="Arial" w:hAnsi="Arial"/>
                <w:sz w:val="16"/>
                <w:szCs w:val="16"/>
                <w:color w:val="auto"/>
              </w:rPr>
              <w:t>2,006</w:t>
            </w:r>
          </w:p>
        </w:tc>
        <w:tc>
          <w:tcPr>
            <w:tcW w:w="1060" w:type="dxa"/>
            <w:vAlign w:val="bottom"/>
            <w:shd w:val="clear" w:color="auto" w:fill="D4F1F5"/>
          </w:tcPr>
          <w:p>
            <w:pPr>
              <w:jc w:val="right"/>
              <w:ind w:right="821"/>
              <w:spacing w:after="0"/>
              <w:rPr>
                <w:sz w:val="20"/>
                <w:szCs w:val="20"/>
                <w:color w:val="auto"/>
              </w:rPr>
            </w:pPr>
            <w:r>
              <w:rPr>
                <w:rFonts w:ascii="Arial" w:cs="Arial" w:eastAsia="Arial" w:hAnsi="Arial"/>
                <w:sz w:val="16"/>
                <w:szCs w:val="16"/>
                <w:color w:val="auto"/>
              </w:rPr>
              <w:t>$</w:t>
            </w:r>
          </w:p>
        </w:tc>
        <w:tc>
          <w:tcPr>
            <w:tcW w:w="520" w:type="dxa"/>
            <w:vAlign w:val="bottom"/>
            <w:shd w:val="clear" w:color="auto" w:fill="D4F1F5"/>
          </w:tcPr>
          <w:p>
            <w:pPr>
              <w:jc w:val="right"/>
              <w:spacing w:after="0"/>
              <w:rPr>
                <w:sz w:val="20"/>
                <w:szCs w:val="20"/>
                <w:color w:val="auto"/>
              </w:rPr>
            </w:pPr>
            <w:r>
              <w:rPr>
                <w:rFonts w:ascii="Arial" w:cs="Arial" w:eastAsia="Arial" w:hAnsi="Arial"/>
                <w:sz w:val="16"/>
                <w:szCs w:val="16"/>
                <w:color w:val="auto"/>
              </w:rPr>
              <w:t>2,341</w:t>
            </w:r>
          </w:p>
        </w:tc>
      </w:tr>
      <w:tr>
        <w:trPr>
          <w:trHeight w:val="215"/>
        </w:trPr>
        <w:tc>
          <w:tcPr>
            <w:tcW w:w="8100" w:type="dxa"/>
            <w:vAlign w:val="bottom"/>
            <w:tcBorders>
              <w:bottom w:val="single" w:sz="8" w:color="D4F1F5"/>
            </w:tcBorders>
          </w:tcPr>
          <w:p>
            <w:pPr>
              <w:ind w:left="140"/>
              <w:spacing w:after="0"/>
              <w:rPr>
                <w:sz w:val="20"/>
                <w:szCs w:val="20"/>
                <w:color w:val="auto"/>
              </w:rPr>
            </w:pPr>
            <w:r>
              <w:rPr>
                <w:rFonts w:ascii="Arial" w:cs="Arial" w:eastAsia="Arial" w:hAnsi="Arial"/>
                <w:sz w:val="16"/>
                <w:szCs w:val="16"/>
                <w:color w:val="auto"/>
              </w:rPr>
              <w:t>Sempra Infrastructure</w:t>
            </w:r>
          </w:p>
        </w:tc>
        <w:tc>
          <w:tcPr>
            <w:tcW w:w="98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27</w:t>
            </w:r>
          </w:p>
        </w:tc>
        <w:tc>
          <w:tcPr>
            <w:tcW w:w="106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w:t>
            </w:r>
          </w:p>
        </w:tc>
      </w:tr>
      <w:tr>
        <w:trPr>
          <w:trHeight w:val="210"/>
        </w:trPr>
        <w:tc>
          <w:tcPr>
            <w:tcW w:w="8100" w:type="dxa"/>
            <w:vAlign w:val="bottom"/>
            <w:shd w:val="clear" w:color="auto" w:fill="D4F1F5"/>
          </w:tcPr>
          <w:p>
            <w:pPr>
              <w:ind w:left="260"/>
              <w:spacing w:after="0"/>
              <w:rPr>
                <w:sz w:val="20"/>
                <w:szCs w:val="20"/>
                <w:color w:val="auto"/>
              </w:rPr>
            </w:pPr>
            <w:r>
              <w:rPr>
                <w:rFonts w:ascii="Arial" w:cs="Arial" w:eastAsia="Arial" w:hAnsi="Arial"/>
                <w:sz w:val="16"/>
                <w:szCs w:val="16"/>
                <w:color w:val="auto"/>
              </w:rPr>
              <w:t>Segment totals</w:t>
            </w:r>
          </w:p>
        </w:tc>
        <w:tc>
          <w:tcPr>
            <w:tcW w:w="980" w:type="dxa"/>
            <w:vAlign w:val="bottom"/>
            <w:shd w:val="clear" w:color="auto" w:fill="D4F1F5"/>
          </w:tcPr>
          <w:p>
            <w:pPr>
              <w:spacing w:after="0"/>
              <w:rPr>
                <w:sz w:val="18"/>
                <w:szCs w:val="18"/>
                <w:color w:val="auto"/>
              </w:rPr>
            </w:pPr>
          </w:p>
        </w:tc>
        <w:tc>
          <w:tcPr>
            <w:tcW w:w="580" w:type="dxa"/>
            <w:vAlign w:val="bottom"/>
            <w:shd w:val="clear" w:color="auto" w:fill="D4F1F5"/>
          </w:tcPr>
          <w:p>
            <w:pPr>
              <w:jc w:val="right"/>
              <w:ind w:right="39"/>
              <w:spacing w:after="0"/>
              <w:rPr>
                <w:sz w:val="20"/>
                <w:szCs w:val="20"/>
                <w:color w:val="auto"/>
              </w:rPr>
            </w:pPr>
            <w:r>
              <w:rPr>
                <w:rFonts w:ascii="Arial" w:cs="Arial" w:eastAsia="Arial" w:hAnsi="Arial"/>
                <w:sz w:val="16"/>
                <w:szCs w:val="16"/>
                <w:color w:val="auto"/>
              </w:rPr>
              <w:t>2,033</w:t>
            </w:r>
          </w:p>
        </w:tc>
        <w:tc>
          <w:tcPr>
            <w:tcW w:w="1060" w:type="dxa"/>
            <w:vAlign w:val="bottom"/>
            <w:shd w:val="clear" w:color="auto" w:fill="D4F1F5"/>
          </w:tcPr>
          <w:p>
            <w:pPr>
              <w:spacing w:after="0"/>
              <w:rPr>
                <w:sz w:val="18"/>
                <w:szCs w:val="18"/>
                <w:color w:val="auto"/>
              </w:rPr>
            </w:pPr>
          </w:p>
        </w:tc>
        <w:tc>
          <w:tcPr>
            <w:tcW w:w="520" w:type="dxa"/>
            <w:vAlign w:val="bottom"/>
            <w:shd w:val="clear" w:color="auto" w:fill="D4F1F5"/>
          </w:tcPr>
          <w:p>
            <w:pPr>
              <w:jc w:val="right"/>
              <w:spacing w:after="0"/>
              <w:rPr>
                <w:sz w:val="20"/>
                <w:szCs w:val="20"/>
                <w:color w:val="auto"/>
              </w:rPr>
            </w:pPr>
            <w:r>
              <w:rPr>
                <w:rFonts w:ascii="Arial" w:cs="Arial" w:eastAsia="Arial" w:hAnsi="Arial"/>
                <w:sz w:val="16"/>
                <w:szCs w:val="16"/>
                <w:color w:val="auto"/>
              </w:rPr>
              <w:t>2,367</w:t>
            </w:r>
          </w:p>
        </w:tc>
      </w:tr>
      <w:tr>
        <w:trPr>
          <w:trHeight w:val="215"/>
        </w:trPr>
        <w:tc>
          <w:tcPr>
            <w:tcW w:w="8100" w:type="dxa"/>
            <w:vAlign w:val="bottom"/>
            <w:tcBorders>
              <w:bottom w:val="single" w:sz="8" w:color="D4F1F5"/>
            </w:tcBorders>
          </w:tcPr>
          <w:p>
            <w:pPr>
              <w:ind w:left="140"/>
              <w:spacing w:after="0"/>
              <w:rPr>
                <w:sz w:val="20"/>
                <w:szCs w:val="20"/>
                <w:color w:val="auto"/>
              </w:rPr>
            </w:pPr>
            <w:r>
              <w:rPr>
                <w:rFonts w:ascii="Arial" w:cs="Arial" w:eastAsia="Arial" w:hAnsi="Arial"/>
                <w:sz w:val="16"/>
                <w:szCs w:val="16"/>
                <w:color w:val="auto"/>
              </w:rPr>
              <w:t>Eliminations and adjustments</w:t>
            </w:r>
          </w:p>
        </w:tc>
        <w:tc>
          <w:tcPr>
            <w:tcW w:w="98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w:t>
            </w:r>
          </w:p>
        </w:tc>
        <w:tc>
          <w:tcPr>
            <w:tcW w:w="106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w:t>
            </w:r>
          </w:p>
        </w:tc>
      </w:tr>
      <w:tr>
        <w:trPr>
          <w:trHeight w:val="217"/>
        </w:trPr>
        <w:tc>
          <w:tcPr>
            <w:tcW w:w="8100" w:type="dxa"/>
            <w:vAlign w:val="bottom"/>
            <w:tcBorders>
              <w:bottom w:val="single" w:sz="8" w:color="auto"/>
            </w:tcBorders>
            <w:shd w:val="clear" w:color="auto" w:fill="D4F1F5"/>
          </w:tcPr>
          <w:p>
            <w:pPr>
              <w:ind w:left="240"/>
              <w:spacing w:after="0"/>
              <w:rPr>
                <w:sz w:val="20"/>
                <w:szCs w:val="20"/>
                <w:color w:val="auto"/>
              </w:rPr>
            </w:pPr>
            <w:r>
              <w:rPr>
                <w:rFonts w:ascii="Arial" w:cs="Arial" w:eastAsia="Arial" w:hAnsi="Arial"/>
                <w:sz w:val="16"/>
                <w:szCs w:val="16"/>
                <w:color w:val="auto"/>
              </w:rPr>
              <w:t>Total</w:t>
            </w:r>
          </w:p>
        </w:tc>
        <w:tc>
          <w:tcPr>
            <w:tcW w:w="980" w:type="dxa"/>
            <w:vAlign w:val="bottom"/>
            <w:tcBorders>
              <w:bottom w:val="single" w:sz="8" w:color="auto"/>
            </w:tcBorders>
            <w:shd w:val="clear" w:color="auto" w:fill="D4F1F5"/>
          </w:tcPr>
          <w:p>
            <w:pPr>
              <w:jc w:val="right"/>
              <w:ind w:right="802"/>
              <w:spacing w:after="0"/>
              <w:rPr>
                <w:sz w:val="20"/>
                <w:szCs w:val="20"/>
                <w:color w:val="auto"/>
              </w:rPr>
            </w:pPr>
            <w:r>
              <w:rPr>
                <w:rFonts w:ascii="Arial" w:cs="Arial" w:eastAsia="Arial" w:hAnsi="Arial"/>
                <w:sz w:val="16"/>
                <w:szCs w:val="16"/>
                <w:color w:val="auto"/>
                <w:w w:val="89"/>
              </w:rPr>
              <w:t>$</w:t>
            </w:r>
          </w:p>
        </w:tc>
        <w:tc>
          <w:tcPr>
            <w:tcW w:w="580" w:type="dxa"/>
            <w:vAlign w:val="bottom"/>
            <w:tcBorders>
              <w:bottom w:val="single" w:sz="8" w:color="auto"/>
            </w:tcBorders>
            <w:shd w:val="clear" w:color="auto" w:fill="D4F1F5"/>
          </w:tcPr>
          <w:p>
            <w:pPr>
              <w:jc w:val="right"/>
              <w:ind w:right="39"/>
              <w:spacing w:after="0"/>
              <w:rPr>
                <w:sz w:val="20"/>
                <w:szCs w:val="20"/>
                <w:color w:val="auto"/>
              </w:rPr>
            </w:pPr>
            <w:r>
              <w:rPr>
                <w:rFonts w:ascii="Arial" w:cs="Arial" w:eastAsia="Arial" w:hAnsi="Arial"/>
                <w:sz w:val="16"/>
                <w:szCs w:val="16"/>
                <w:color w:val="auto"/>
              </w:rPr>
              <w:t>2,025</w:t>
            </w:r>
          </w:p>
        </w:tc>
        <w:tc>
          <w:tcPr>
            <w:tcW w:w="1060" w:type="dxa"/>
            <w:vAlign w:val="bottom"/>
            <w:tcBorders>
              <w:bottom w:val="single" w:sz="8" w:color="auto"/>
            </w:tcBorders>
            <w:shd w:val="clear" w:color="auto" w:fill="D4F1F5"/>
          </w:tcPr>
          <w:p>
            <w:pPr>
              <w:jc w:val="right"/>
              <w:ind w:right="821"/>
              <w:spacing w:after="0"/>
              <w:rPr>
                <w:sz w:val="20"/>
                <w:szCs w:val="20"/>
                <w:color w:val="auto"/>
              </w:rPr>
            </w:pPr>
            <w:r>
              <w:rPr>
                <w:rFonts w:ascii="Arial" w:cs="Arial" w:eastAsia="Arial" w:hAnsi="Arial"/>
                <w:sz w:val="16"/>
                <w:szCs w:val="16"/>
                <w:color w:val="auto"/>
              </w:rPr>
              <w:t>$</w:t>
            </w:r>
          </w:p>
        </w:tc>
        <w:tc>
          <w:tcPr>
            <w:tcW w:w="520" w:type="dxa"/>
            <w:vAlign w:val="bottom"/>
            <w:tcBorders>
              <w:bottom w:val="single" w:sz="8" w:color="auto"/>
            </w:tcBorders>
            <w:shd w:val="clear" w:color="auto" w:fill="D4F1F5"/>
          </w:tcPr>
          <w:p>
            <w:pPr>
              <w:jc w:val="right"/>
              <w:spacing w:after="0"/>
              <w:rPr>
                <w:sz w:val="20"/>
                <w:szCs w:val="20"/>
                <w:color w:val="auto"/>
              </w:rPr>
            </w:pPr>
            <w:r>
              <w:rPr>
                <w:rFonts w:ascii="Arial" w:cs="Arial" w:eastAsia="Arial" w:hAnsi="Arial"/>
                <w:sz w:val="16"/>
                <w:szCs w:val="16"/>
                <w:color w:val="auto"/>
              </w:rPr>
              <w:t>2,362</w:t>
            </w:r>
          </w:p>
        </w:tc>
      </w:tr>
      <w:tr>
        <w:trPr>
          <w:trHeight w:val="216"/>
        </w:trPr>
        <w:tc>
          <w:tcPr>
            <w:tcW w:w="8100" w:type="dxa"/>
            <w:vAlign w:val="bottom"/>
          </w:tcPr>
          <w:p>
            <w:pPr>
              <w:ind w:left="20"/>
              <w:spacing w:after="0" w:line="216" w:lineRule="exact"/>
              <w:rPr>
                <w:sz w:val="20"/>
                <w:szCs w:val="20"/>
                <w:color w:val="auto"/>
              </w:rPr>
            </w:pPr>
            <w:r>
              <w:rPr>
                <w:rFonts w:ascii="Arial" w:cs="Arial" w:eastAsia="Arial" w:hAnsi="Arial"/>
                <w:sz w:val="16"/>
                <w:szCs w:val="16"/>
                <w:color w:val="auto"/>
              </w:rPr>
              <w:t>Cost of natural gas</w:t>
            </w:r>
            <w:r>
              <w:rPr>
                <w:rFonts w:ascii="Arial" w:cs="Arial" w:eastAsia="Arial" w:hAnsi="Arial"/>
                <w:sz w:val="21"/>
                <w:szCs w:val="21"/>
                <w:color w:val="auto"/>
                <w:vertAlign w:val="superscript"/>
              </w:rPr>
              <w:t>(1)</w:t>
            </w:r>
            <w:r>
              <w:rPr>
                <w:rFonts w:ascii="Arial" w:cs="Arial" w:eastAsia="Arial" w:hAnsi="Arial"/>
                <w:sz w:val="16"/>
                <w:szCs w:val="16"/>
                <w:color w:val="auto"/>
              </w:rPr>
              <w:t>:</w:t>
            </w:r>
          </w:p>
        </w:tc>
        <w:tc>
          <w:tcPr>
            <w:tcW w:w="9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20" w:type="dxa"/>
            <w:vAlign w:val="bottom"/>
          </w:tcPr>
          <w:p>
            <w:pPr>
              <w:spacing w:after="0"/>
              <w:rPr>
                <w:sz w:val="18"/>
                <w:szCs w:val="18"/>
                <w:color w:val="auto"/>
              </w:rPr>
            </w:pPr>
          </w:p>
        </w:tc>
      </w:tr>
      <w:tr>
        <w:trPr>
          <w:trHeight w:val="216"/>
        </w:trPr>
        <w:tc>
          <w:tcPr>
            <w:tcW w:w="8100" w:type="dxa"/>
            <w:vAlign w:val="bottom"/>
            <w:shd w:val="clear" w:color="auto" w:fill="D4F1F5"/>
          </w:tcPr>
          <w:p>
            <w:pPr>
              <w:ind w:left="140"/>
              <w:spacing w:after="0"/>
              <w:rPr>
                <w:sz w:val="20"/>
                <w:szCs w:val="20"/>
                <w:color w:val="auto"/>
              </w:rPr>
            </w:pPr>
            <w:r>
              <w:rPr>
                <w:rFonts w:ascii="Arial" w:cs="Arial" w:eastAsia="Arial" w:hAnsi="Arial"/>
                <w:sz w:val="16"/>
                <w:szCs w:val="16"/>
                <w:color w:val="auto"/>
              </w:rPr>
              <w:t>Sempra California</w:t>
            </w:r>
          </w:p>
        </w:tc>
        <w:tc>
          <w:tcPr>
            <w:tcW w:w="980" w:type="dxa"/>
            <w:vAlign w:val="bottom"/>
            <w:shd w:val="clear" w:color="auto" w:fill="D4F1F5"/>
          </w:tcPr>
          <w:p>
            <w:pPr>
              <w:jc w:val="right"/>
              <w:ind w:right="802"/>
              <w:spacing w:after="0"/>
              <w:rPr>
                <w:sz w:val="20"/>
                <w:szCs w:val="20"/>
                <w:color w:val="auto"/>
              </w:rPr>
            </w:pPr>
            <w:r>
              <w:rPr>
                <w:rFonts w:ascii="Arial" w:cs="Arial" w:eastAsia="Arial" w:hAnsi="Arial"/>
                <w:sz w:val="16"/>
                <w:szCs w:val="16"/>
                <w:color w:val="auto"/>
                <w:w w:val="89"/>
              </w:rPr>
              <w:t>$</w:t>
            </w:r>
          </w:p>
        </w:tc>
        <w:tc>
          <w:tcPr>
            <w:tcW w:w="580" w:type="dxa"/>
            <w:vAlign w:val="bottom"/>
            <w:shd w:val="clear" w:color="auto" w:fill="D4F1F5"/>
          </w:tcPr>
          <w:p>
            <w:pPr>
              <w:jc w:val="right"/>
              <w:ind w:right="39"/>
              <w:spacing w:after="0"/>
              <w:rPr>
                <w:sz w:val="20"/>
                <w:szCs w:val="20"/>
                <w:color w:val="auto"/>
              </w:rPr>
            </w:pPr>
            <w:r>
              <w:rPr>
                <w:rFonts w:ascii="Arial" w:cs="Arial" w:eastAsia="Arial" w:hAnsi="Arial"/>
                <w:sz w:val="16"/>
                <w:szCs w:val="16"/>
                <w:color w:val="auto"/>
              </w:rPr>
              <w:t>330</w:t>
            </w:r>
          </w:p>
        </w:tc>
        <w:tc>
          <w:tcPr>
            <w:tcW w:w="1060" w:type="dxa"/>
            <w:vAlign w:val="bottom"/>
            <w:shd w:val="clear" w:color="auto" w:fill="D4F1F5"/>
          </w:tcPr>
          <w:p>
            <w:pPr>
              <w:jc w:val="right"/>
              <w:ind w:right="821"/>
              <w:spacing w:after="0"/>
              <w:rPr>
                <w:sz w:val="20"/>
                <w:szCs w:val="20"/>
                <w:color w:val="auto"/>
              </w:rPr>
            </w:pPr>
            <w:r>
              <w:rPr>
                <w:rFonts w:ascii="Arial" w:cs="Arial" w:eastAsia="Arial" w:hAnsi="Arial"/>
                <w:sz w:val="16"/>
                <w:szCs w:val="16"/>
                <w:color w:val="auto"/>
              </w:rPr>
              <w:t>$</w:t>
            </w:r>
          </w:p>
        </w:tc>
        <w:tc>
          <w:tcPr>
            <w:tcW w:w="520" w:type="dxa"/>
            <w:vAlign w:val="bottom"/>
            <w:shd w:val="clear" w:color="auto" w:fill="D4F1F5"/>
          </w:tcPr>
          <w:p>
            <w:pPr>
              <w:jc w:val="right"/>
              <w:spacing w:after="0"/>
              <w:rPr>
                <w:sz w:val="20"/>
                <w:szCs w:val="20"/>
                <w:color w:val="auto"/>
              </w:rPr>
            </w:pPr>
            <w:r>
              <w:rPr>
                <w:rFonts w:ascii="Arial" w:cs="Arial" w:eastAsia="Arial" w:hAnsi="Arial"/>
                <w:sz w:val="16"/>
                <w:szCs w:val="16"/>
                <w:color w:val="auto"/>
              </w:rPr>
              <w:t>485</w:t>
            </w:r>
          </w:p>
        </w:tc>
      </w:tr>
      <w:tr>
        <w:trPr>
          <w:trHeight w:val="215"/>
        </w:trPr>
        <w:tc>
          <w:tcPr>
            <w:tcW w:w="8100" w:type="dxa"/>
            <w:vAlign w:val="bottom"/>
            <w:tcBorders>
              <w:bottom w:val="single" w:sz="8" w:color="D4F1F5"/>
            </w:tcBorders>
          </w:tcPr>
          <w:p>
            <w:pPr>
              <w:ind w:left="140"/>
              <w:spacing w:after="0"/>
              <w:rPr>
                <w:sz w:val="20"/>
                <w:szCs w:val="20"/>
                <w:color w:val="auto"/>
              </w:rPr>
            </w:pPr>
            <w:r>
              <w:rPr>
                <w:rFonts w:ascii="Arial" w:cs="Arial" w:eastAsia="Arial" w:hAnsi="Arial"/>
                <w:sz w:val="16"/>
                <w:szCs w:val="16"/>
                <w:color w:val="auto"/>
              </w:rPr>
              <w:t>Sempra Infrastructure</w:t>
            </w:r>
          </w:p>
        </w:tc>
        <w:tc>
          <w:tcPr>
            <w:tcW w:w="98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7</w:t>
            </w:r>
          </w:p>
        </w:tc>
        <w:tc>
          <w:tcPr>
            <w:tcW w:w="106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w:t>
            </w:r>
          </w:p>
        </w:tc>
      </w:tr>
      <w:tr>
        <w:trPr>
          <w:trHeight w:val="210"/>
        </w:trPr>
        <w:tc>
          <w:tcPr>
            <w:tcW w:w="8100" w:type="dxa"/>
            <w:vAlign w:val="bottom"/>
            <w:shd w:val="clear" w:color="auto" w:fill="D4F1F5"/>
          </w:tcPr>
          <w:p>
            <w:pPr>
              <w:ind w:left="260"/>
              <w:spacing w:after="0"/>
              <w:rPr>
                <w:sz w:val="20"/>
                <w:szCs w:val="20"/>
                <w:color w:val="auto"/>
              </w:rPr>
            </w:pPr>
            <w:r>
              <w:rPr>
                <w:rFonts w:ascii="Arial" w:cs="Arial" w:eastAsia="Arial" w:hAnsi="Arial"/>
                <w:sz w:val="16"/>
                <w:szCs w:val="16"/>
                <w:color w:val="auto"/>
              </w:rPr>
              <w:t>Segment totals</w:t>
            </w:r>
          </w:p>
        </w:tc>
        <w:tc>
          <w:tcPr>
            <w:tcW w:w="980" w:type="dxa"/>
            <w:vAlign w:val="bottom"/>
            <w:shd w:val="clear" w:color="auto" w:fill="D4F1F5"/>
          </w:tcPr>
          <w:p>
            <w:pPr>
              <w:spacing w:after="0"/>
              <w:rPr>
                <w:sz w:val="18"/>
                <w:szCs w:val="18"/>
                <w:color w:val="auto"/>
              </w:rPr>
            </w:pPr>
          </w:p>
        </w:tc>
        <w:tc>
          <w:tcPr>
            <w:tcW w:w="580" w:type="dxa"/>
            <w:vAlign w:val="bottom"/>
            <w:shd w:val="clear" w:color="auto" w:fill="D4F1F5"/>
          </w:tcPr>
          <w:p>
            <w:pPr>
              <w:jc w:val="right"/>
              <w:ind w:right="39"/>
              <w:spacing w:after="0"/>
              <w:rPr>
                <w:sz w:val="20"/>
                <w:szCs w:val="20"/>
                <w:color w:val="auto"/>
              </w:rPr>
            </w:pPr>
            <w:r>
              <w:rPr>
                <w:rFonts w:ascii="Arial" w:cs="Arial" w:eastAsia="Arial" w:hAnsi="Arial"/>
                <w:sz w:val="16"/>
                <w:szCs w:val="16"/>
                <w:color w:val="auto"/>
              </w:rPr>
              <w:t>337</w:t>
            </w:r>
          </w:p>
        </w:tc>
        <w:tc>
          <w:tcPr>
            <w:tcW w:w="1060" w:type="dxa"/>
            <w:vAlign w:val="bottom"/>
            <w:shd w:val="clear" w:color="auto" w:fill="D4F1F5"/>
          </w:tcPr>
          <w:p>
            <w:pPr>
              <w:spacing w:after="0"/>
              <w:rPr>
                <w:sz w:val="18"/>
                <w:szCs w:val="18"/>
                <w:color w:val="auto"/>
              </w:rPr>
            </w:pPr>
          </w:p>
        </w:tc>
        <w:tc>
          <w:tcPr>
            <w:tcW w:w="520" w:type="dxa"/>
            <w:vAlign w:val="bottom"/>
            <w:shd w:val="clear" w:color="auto" w:fill="D4F1F5"/>
          </w:tcPr>
          <w:p>
            <w:pPr>
              <w:jc w:val="right"/>
              <w:spacing w:after="0"/>
              <w:rPr>
                <w:sz w:val="20"/>
                <w:szCs w:val="20"/>
                <w:color w:val="auto"/>
              </w:rPr>
            </w:pPr>
            <w:r>
              <w:rPr>
                <w:rFonts w:ascii="Arial" w:cs="Arial" w:eastAsia="Arial" w:hAnsi="Arial"/>
                <w:sz w:val="16"/>
                <w:szCs w:val="16"/>
                <w:color w:val="auto"/>
              </w:rPr>
              <w:t>496</w:t>
            </w:r>
          </w:p>
        </w:tc>
      </w:tr>
      <w:tr>
        <w:trPr>
          <w:trHeight w:val="215"/>
        </w:trPr>
        <w:tc>
          <w:tcPr>
            <w:tcW w:w="8100" w:type="dxa"/>
            <w:vAlign w:val="bottom"/>
            <w:tcBorders>
              <w:bottom w:val="single" w:sz="8" w:color="D4F1F5"/>
            </w:tcBorders>
          </w:tcPr>
          <w:p>
            <w:pPr>
              <w:ind w:left="140"/>
              <w:spacing w:after="0"/>
              <w:rPr>
                <w:sz w:val="20"/>
                <w:szCs w:val="20"/>
                <w:color w:val="auto"/>
              </w:rPr>
            </w:pPr>
            <w:r>
              <w:rPr>
                <w:rFonts w:ascii="Arial" w:cs="Arial" w:eastAsia="Arial" w:hAnsi="Arial"/>
                <w:sz w:val="16"/>
                <w:szCs w:val="16"/>
                <w:color w:val="auto"/>
              </w:rPr>
              <w:t>Eliminations and adjustments</w:t>
            </w:r>
          </w:p>
        </w:tc>
        <w:tc>
          <w:tcPr>
            <w:tcW w:w="98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w:t>
            </w:r>
          </w:p>
        </w:tc>
        <w:tc>
          <w:tcPr>
            <w:tcW w:w="106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w:t>
            </w:r>
          </w:p>
        </w:tc>
      </w:tr>
      <w:tr>
        <w:trPr>
          <w:trHeight w:val="217"/>
        </w:trPr>
        <w:tc>
          <w:tcPr>
            <w:tcW w:w="8100" w:type="dxa"/>
            <w:vAlign w:val="bottom"/>
            <w:tcBorders>
              <w:bottom w:val="single" w:sz="8" w:color="auto"/>
            </w:tcBorders>
            <w:shd w:val="clear" w:color="auto" w:fill="D4F1F5"/>
          </w:tcPr>
          <w:p>
            <w:pPr>
              <w:ind w:left="240"/>
              <w:spacing w:after="0"/>
              <w:rPr>
                <w:sz w:val="20"/>
                <w:szCs w:val="20"/>
                <w:color w:val="auto"/>
              </w:rPr>
            </w:pPr>
            <w:r>
              <w:rPr>
                <w:rFonts w:ascii="Arial" w:cs="Arial" w:eastAsia="Arial" w:hAnsi="Arial"/>
                <w:sz w:val="16"/>
                <w:szCs w:val="16"/>
                <w:color w:val="auto"/>
              </w:rPr>
              <w:t>Total</w:t>
            </w:r>
          </w:p>
        </w:tc>
        <w:tc>
          <w:tcPr>
            <w:tcW w:w="980" w:type="dxa"/>
            <w:vAlign w:val="bottom"/>
            <w:tcBorders>
              <w:bottom w:val="single" w:sz="8" w:color="auto"/>
            </w:tcBorders>
            <w:shd w:val="clear" w:color="auto" w:fill="D4F1F5"/>
          </w:tcPr>
          <w:p>
            <w:pPr>
              <w:jc w:val="right"/>
              <w:ind w:right="802"/>
              <w:spacing w:after="0"/>
              <w:rPr>
                <w:sz w:val="20"/>
                <w:szCs w:val="20"/>
                <w:color w:val="auto"/>
              </w:rPr>
            </w:pPr>
            <w:r>
              <w:rPr>
                <w:rFonts w:ascii="Arial" w:cs="Arial" w:eastAsia="Arial" w:hAnsi="Arial"/>
                <w:sz w:val="16"/>
                <w:szCs w:val="16"/>
                <w:color w:val="auto"/>
                <w:w w:val="89"/>
              </w:rPr>
              <w:t>$</w:t>
            </w:r>
          </w:p>
        </w:tc>
        <w:tc>
          <w:tcPr>
            <w:tcW w:w="580" w:type="dxa"/>
            <w:vAlign w:val="bottom"/>
            <w:tcBorders>
              <w:bottom w:val="single" w:sz="8" w:color="auto"/>
            </w:tcBorders>
            <w:shd w:val="clear" w:color="auto" w:fill="D4F1F5"/>
          </w:tcPr>
          <w:p>
            <w:pPr>
              <w:jc w:val="right"/>
              <w:ind w:right="39"/>
              <w:spacing w:after="0"/>
              <w:rPr>
                <w:sz w:val="20"/>
                <w:szCs w:val="20"/>
                <w:color w:val="auto"/>
              </w:rPr>
            </w:pPr>
            <w:r>
              <w:rPr>
                <w:rFonts w:ascii="Arial" w:cs="Arial" w:eastAsia="Arial" w:hAnsi="Arial"/>
                <w:sz w:val="16"/>
                <w:szCs w:val="16"/>
                <w:color w:val="auto"/>
              </w:rPr>
              <w:t>335</w:t>
            </w:r>
          </w:p>
        </w:tc>
        <w:tc>
          <w:tcPr>
            <w:tcW w:w="1060" w:type="dxa"/>
            <w:vAlign w:val="bottom"/>
            <w:tcBorders>
              <w:bottom w:val="single" w:sz="8" w:color="auto"/>
            </w:tcBorders>
            <w:shd w:val="clear" w:color="auto" w:fill="D4F1F5"/>
          </w:tcPr>
          <w:p>
            <w:pPr>
              <w:jc w:val="right"/>
              <w:ind w:right="821"/>
              <w:spacing w:after="0"/>
              <w:rPr>
                <w:sz w:val="20"/>
                <w:szCs w:val="20"/>
                <w:color w:val="auto"/>
              </w:rPr>
            </w:pPr>
            <w:r>
              <w:rPr>
                <w:rFonts w:ascii="Arial" w:cs="Arial" w:eastAsia="Arial" w:hAnsi="Arial"/>
                <w:sz w:val="16"/>
                <w:szCs w:val="16"/>
                <w:color w:val="auto"/>
              </w:rPr>
              <w:t>$</w:t>
            </w:r>
          </w:p>
        </w:tc>
        <w:tc>
          <w:tcPr>
            <w:tcW w:w="520" w:type="dxa"/>
            <w:vAlign w:val="bottom"/>
            <w:tcBorders>
              <w:bottom w:val="single" w:sz="8" w:color="auto"/>
            </w:tcBorders>
            <w:shd w:val="clear" w:color="auto" w:fill="D4F1F5"/>
          </w:tcPr>
          <w:p>
            <w:pPr>
              <w:jc w:val="right"/>
              <w:spacing w:after="0"/>
              <w:rPr>
                <w:sz w:val="20"/>
                <w:szCs w:val="20"/>
                <w:color w:val="auto"/>
              </w:rPr>
            </w:pPr>
            <w:r>
              <w:rPr>
                <w:rFonts w:ascii="Arial" w:cs="Arial" w:eastAsia="Arial" w:hAnsi="Arial"/>
                <w:sz w:val="16"/>
                <w:szCs w:val="16"/>
                <w:color w:val="auto"/>
              </w:rPr>
              <w:t>493</w:t>
            </w:r>
          </w:p>
        </w:tc>
      </w:tr>
    </w:tbl>
    <w:p>
      <w:pPr>
        <w:spacing w:after="0" w:line="75" w:lineRule="exact"/>
        <w:rPr>
          <w:sz w:val="20"/>
          <w:szCs w:val="20"/>
          <w:color w:val="auto"/>
        </w:rPr>
      </w:pPr>
    </w:p>
    <w:p>
      <w:pPr>
        <w:ind w:left="260" w:hanging="252"/>
        <w:spacing w:after="0"/>
        <w:tabs>
          <w:tab w:leader="none" w:pos="260" w:val="left"/>
        </w:tabs>
        <w:numPr>
          <w:ilvl w:val="0"/>
          <w:numId w:val="56"/>
        </w:numPr>
        <w:rPr>
          <w:rFonts w:ascii="Arial" w:cs="Arial" w:eastAsia="Arial" w:hAnsi="Arial"/>
          <w:sz w:val="21"/>
          <w:szCs w:val="21"/>
          <w:i w:val="1"/>
          <w:iCs w:val="1"/>
          <w:color w:val="auto"/>
          <w:vertAlign w:val="superscript"/>
        </w:rPr>
      </w:pPr>
      <w:r>
        <w:rPr>
          <w:rFonts w:ascii="Arial" w:cs="Arial" w:eastAsia="Arial" w:hAnsi="Arial"/>
          <w:sz w:val="14"/>
          <w:szCs w:val="14"/>
          <w:i w:val="1"/>
          <w:iCs w:val="1"/>
          <w:color w:val="auto"/>
        </w:rPr>
        <w:t>Excludes depreciation and amortization, which are presented separately on Sempra’s Condensed Consolidated Statements of Operations.</w:t>
      </w: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the three months ended March 31, 2026 compared to the same period in 2025, Sempra’s natural gas revenues decreased by $337 million (14%) driven by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Sempra California, which included:</w:t>
      </w:r>
    </w:p>
    <w:p>
      <w:pPr>
        <w:spacing w:after="0" w:line="58" w:lineRule="exact"/>
        <w:rPr>
          <w:sz w:val="20"/>
          <w:szCs w:val="20"/>
          <w:color w:val="auto"/>
        </w:rPr>
      </w:pPr>
    </w:p>
    <w:p>
      <w:pPr>
        <w:ind w:left="160" w:hanging="152"/>
        <w:spacing w:after="0"/>
        <w:tabs>
          <w:tab w:leader="none" w:pos="16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$164 million lower regulatory revenues associated with refundable programs, which are fully offset in O&amp;M</w:t>
      </w:r>
    </w:p>
    <w:p>
      <w:pPr>
        <w:spacing w:after="0" w:line="49" w:lineRule="exact"/>
        <w:rPr>
          <w:rFonts w:ascii="Times New Roman" w:cs="Times New Roman" w:eastAsia="Times New Roman" w:hAnsi="Times New Roman"/>
          <w:sz w:val="18"/>
          <w:szCs w:val="18"/>
          <w:color w:val="auto"/>
        </w:rPr>
      </w:pPr>
    </w:p>
    <w:p>
      <w:pPr>
        <w:ind w:left="160" w:hanging="152"/>
        <w:spacing w:after="0"/>
        <w:tabs>
          <w:tab w:leader="none" w:pos="16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$155 million decrease in cost of natural gas sold, which we discuss below</w:t>
      </w:r>
    </w:p>
    <w:p>
      <w:pPr>
        <w:spacing w:after="0" w:line="63" w:lineRule="exact"/>
        <w:rPr>
          <w:rFonts w:ascii="Times New Roman" w:cs="Times New Roman" w:eastAsia="Times New Roman" w:hAnsi="Times New Roman"/>
          <w:sz w:val="18"/>
          <w:szCs w:val="18"/>
          <w:color w:val="auto"/>
        </w:rPr>
      </w:pPr>
    </w:p>
    <w:p>
      <w:pPr>
        <w:ind w:left="160" w:hanging="152"/>
        <w:spacing w:after="0"/>
        <w:tabs>
          <w:tab w:leader="none" w:pos="16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$29 million lower regulatory revenues associated with the acceleration of self-developed software deductions, which are offset in income tax expense</w:t>
      </w:r>
    </w:p>
    <w:p>
      <w:pPr>
        <w:spacing w:after="0" w:line="49" w:lineRule="exact"/>
        <w:rPr>
          <w:rFonts w:ascii="Times New Roman" w:cs="Times New Roman" w:eastAsia="Times New Roman" w:hAnsi="Times New Roman"/>
          <w:sz w:val="18"/>
          <w:szCs w:val="18"/>
          <w:color w:val="auto"/>
        </w:rPr>
      </w:pPr>
    </w:p>
    <w:p>
      <w:pPr>
        <w:ind w:left="160" w:hanging="152"/>
        <w:spacing w:after="0"/>
        <w:tabs>
          <w:tab w:leader="none" w:pos="16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 million lower regulatory revenues primarily from higher gas repairs tax benefits</w:t>
      </w:r>
    </w:p>
    <w:p>
      <w:pPr>
        <w:spacing w:after="0" w:line="320" w:lineRule="exact"/>
        <w:rPr>
          <w:sz w:val="20"/>
          <w:szCs w:val="20"/>
          <w:color w:val="auto"/>
        </w:rPr>
      </w:pPr>
    </w:p>
    <w:p>
      <w:pPr>
        <w:ind w:left="160" w:hanging="152"/>
        <w:spacing w:after="0"/>
        <w:tabs>
          <w:tab w:leader="none" w:pos="16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$37 million higher CPUC-authorized base revenues</w:t>
      </w:r>
    </w:p>
    <w:p>
      <w:pPr>
        <w:spacing w:after="0" w:line="49" w:lineRule="exact"/>
        <w:rPr>
          <w:rFonts w:ascii="Times New Roman" w:cs="Times New Roman" w:eastAsia="Times New Roman" w:hAnsi="Times New Roman"/>
          <w:sz w:val="18"/>
          <w:szCs w:val="18"/>
          <w:color w:val="auto"/>
        </w:rPr>
      </w:pPr>
    </w:p>
    <w:p>
      <w:pPr>
        <w:ind w:left="160" w:hanging="152"/>
        <w:spacing w:after="0"/>
        <w:tabs>
          <w:tab w:leader="none" w:pos="16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 million regulatory award approved by the CPUC in 2026</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the three months ended March 31, 2026 compared to the same period in 2025, Sempra’s cost of natural gas decreased by $158 million (32%) driven by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Sempra California, which included:</w:t>
      </w:r>
    </w:p>
    <w:p>
      <w:pPr>
        <w:spacing w:after="0" w:line="72" w:lineRule="exact"/>
        <w:rPr>
          <w:sz w:val="20"/>
          <w:szCs w:val="20"/>
          <w:color w:val="auto"/>
        </w:rPr>
      </w:pPr>
    </w:p>
    <w:p>
      <w:pPr>
        <w:ind w:left="160" w:hanging="152"/>
        <w:spacing w:after="0"/>
        <w:tabs>
          <w:tab w:leader="none" w:pos="16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$95 million lower volumes driven by weather</w:t>
      </w:r>
    </w:p>
    <w:p>
      <w:pPr>
        <w:spacing w:after="0" w:line="49" w:lineRule="exact"/>
        <w:rPr>
          <w:rFonts w:ascii="Times New Roman" w:cs="Times New Roman" w:eastAsia="Times New Roman" w:hAnsi="Times New Roman"/>
          <w:sz w:val="18"/>
          <w:szCs w:val="18"/>
          <w:color w:val="auto"/>
        </w:rPr>
      </w:pPr>
    </w:p>
    <w:p>
      <w:pPr>
        <w:ind w:left="160" w:hanging="152"/>
        <w:spacing w:after="0"/>
        <w:tabs>
          <w:tab w:leader="none" w:pos="16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$60 million lower average natural gas prices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Utilities: Electric Revenues and Cost of Electric Fuel and Purchased Power</w:t>
      </w:r>
    </w:p>
    <w:p>
      <w:pPr>
        <w:spacing w:after="0" w:line="49" w:lineRule="exact"/>
        <w:rPr>
          <w:sz w:val="20"/>
          <w:szCs w:val="20"/>
          <w:color w:val="auto"/>
        </w:rPr>
      </w:pPr>
    </w:p>
    <w:p>
      <w:pPr>
        <w:ind w:right="280"/>
        <w:spacing w:after="0" w:line="297" w:lineRule="auto"/>
        <w:rPr>
          <w:sz w:val="20"/>
          <w:szCs w:val="20"/>
          <w:color w:val="auto"/>
        </w:rPr>
      </w:pPr>
      <w:r>
        <w:rPr>
          <w:rFonts w:ascii="Times New Roman" w:cs="Times New Roman" w:eastAsia="Times New Roman" w:hAnsi="Times New Roman"/>
          <w:sz w:val="18"/>
          <w:szCs w:val="18"/>
          <w:color w:val="auto"/>
        </w:rPr>
        <w:t>Our utilities revenues include electric revenues at Sempra California, substantially all of which are at SDG&amp;E. Intercompany revenues are eliminated in Sempra’s Condensed Consolidated Statements of Operations.</w:t>
      </w:r>
    </w:p>
    <w:p>
      <w:pPr>
        <w:spacing w:after="0" w:line="41" w:lineRule="exact"/>
        <w:rPr>
          <w:sz w:val="20"/>
          <w:szCs w:val="20"/>
          <w:color w:val="auto"/>
        </w:rPr>
      </w:pPr>
    </w:p>
    <w:p>
      <w:pPr>
        <w:ind w:right="400"/>
        <w:spacing w:after="0" w:line="281" w:lineRule="auto"/>
        <w:rPr>
          <w:sz w:val="20"/>
          <w:szCs w:val="20"/>
          <w:color w:val="auto"/>
        </w:rPr>
      </w:pPr>
      <w:r>
        <w:rPr>
          <w:rFonts w:ascii="Times New Roman" w:cs="Times New Roman" w:eastAsia="Times New Roman" w:hAnsi="Times New Roman"/>
          <w:sz w:val="18"/>
          <w:szCs w:val="18"/>
          <w:color w:val="auto"/>
        </w:rPr>
        <w:t>SDG&amp;E operates under a regulatory framework that permits it to recover the actual cost incurred to generate or procure electricity based on annual estimates of the cost of electricity supplied to customers. The differences in cost between estimates and actual are recovered or refunded in subsequent periods through rates.</w:t>
      </w:r>
    </w:p>
    <w:p>
      <w:pPr>
        <w:spacing w:after="0" w:line="56" w:lineRule="exact"/>
        <w:rPr>
          <w:sz w:val="20"/>
          <w:szCs w:val="20"/>
          <w:color w:val="auto"/>
        </w:rPr>
      </w:pPr>
    </w:p>
    <w:p>
      <w:pPr>
        <w:ind w:right="120"/>
        <w:spacing w:after="0" w:line="297" w:lineRule="auto"/>
        <w:rPr>
          <w:sz w:val="20"/>
          <w:szCs w:val="20"/>
          <w:color w:val="auto"/>
        </w:rPr>
      </w:pPr>
      <w:r>
        <w:rPr>
          <w:rFonts w:ascii="Times New Roman" w:cs="Times New Roman" w:eastAsia="Times New Roman" w:hAnsi="Times New Roman"/>
          <w:sz w:val="18"/>
          <w:szCs w:val="18"/>
          <w:color w:val="auto"/>
        </w:rPr>
        <w:t>Utility cost of electric fuel and purchased power includes utility-owned generation, power purchased from third parties, and net power purchases and sales to/from the California ISO.</w:t>
      </w:r>
    </w:p>
    <w:p>
      <w:pPr>
        <w:spacing w:after="0" w:line="99" w:lineRule="exact"/>
        <w:rPr>
          <w:sz w:val="20"/>
          <w:szCs w:val="20"/>
          <w:color w:val="auto"/>
        </w:rPr>
      </w:pPr>
    </w:p>
    <w:p>
      <w:pPr>
        <w:ind w:left="20" w:right="4000"/>
        <w:spacing w:after="0" w:line="284" w:lineRule="auto"/>
        <w:rPr>
          <w:sz w:val="20"/>
          <w:szCs w:val="20"/>
          <w:color w:val="auto"/>
        </w:rPr>
      </w:pPr>
      <w:r>
        <w:rPr>
          <w:rFonts w:ascii="Arial" w:cs="Arial" w:eastAsia="Arial" w:hAnsi="Arial"/>
          <w:sz w:val="16"/>
          <w:szCs w:val="16"/>
          <w:b w:val="1"/>
          <w:bCs w:val="1"/>
          <w:color w:val="FFFFFF"/>
        </w:rPr>
        <w:t xml:space="preserve">UTILITIES: ELECTRIC REVENUES AND COST OF ELECTRIC FUEL AND PURCHASED POWER </w:t>
      </w:r>
      <w:r>
        <w:rPr>
          <w:rFonts w:ascii="Arial" w:cs="Arial" w:eastAsia="Arial" w:hAnsi="Arial"/>
          <w:sz w:val="14"/>
          <w:szCs w:val="14"/>
          <w:i w:val="1"/>
          <w:iCs w:val="1"/>
          <w:color w:val="FFFFFF"/>
        </w:rPr>
        <w:t>(Dollars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-275590</wp:posOffset>
            </wp:positionV>
            <wp:extent cx="7132320" cy="26543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32320" cy="26543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94"/>
        </w:trPr>
        <w:tc>
          <w:tcPr>
            <w:tcW w:w="8100" w:type="dxa"/>
            <w:vAlign w:val="bottom"/>
          </w:tcPr>
          <w:p>
            <w:pPr>
              <w:spacing w:after="0"/>
              <w:rPr>
                <w:sz w:val="16"/>
                <w:szCs w:val="16"/>
                <w:color w:val="auto"/>
              </w:rPr>
            </w:pPr>
          </w:p>
        </w:tc>
        <w:tc>
          <w:tcPr>
            <w:tcW w:w="26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color w:val="auto"/>
              </w:rPr>
              <w:t>Three months ended March 31,</w:t>
            </w:r>
          </w:p>
        </w:tc>
        <w:tc>
          <w:tcPr>
            <w:tcW w:w="520" w:type="dxa"/>
            <w:vAlign w:val="bottom"/>
            <w:tcBorders>
              <w:bottom w:val="single" w:sz="8" w:color="auto"/>
            </w:tcBorders>
          </w:tcPr>
          <w:p>
            <w:pPr>
              <w:spacing w:after="0"/>
              <w:rPr>
                <w:sz w:val="16"/>
                <w:szCs w:val="16"/>
                <w:color w:val="auto"/>
              </w:rPr>
            </w:pPr>
          </w:p>
        </w:tc>
      </w:tr>
      <w:tr>
        <w:trPr>
          <w:trHeight w:val="196"/>
        </w:trPr>
        <w:tc>
          <w:tcPr>
            <w:tcW w:w="81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2026</w:t>
            </w:r>
          </w:p>
        </w:tc>
        <w:tc>
          <w:tcPr>
            <w:tcW w:w="5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1"/>
              <w:spacing w:after="0"/>
              <w:rPr>
                <w:sz w:val="20"/>
                <w:szCs w:val="20"/>
                <w:color w:val="auto"/>
              </w:rPr>
            </w:pPr>
            <w:r>
              <w:rPr>
                <w:rFonts w:ascii="Arial" w:cs="Arial" w:eastAsia="Arial" w:hAnsi="Arial"/>
                <w:sz w:val="14"/>
                <w:szCs w:val="14"/>
                <w:color w:val="auto"/>
              </w:rPr>
              <w:t>2025</w:t>
            </w:r>
          </w:p>
        </w:tc>
        <w:tc>
          <w:tcPr>
            <w:tcW w:w="520" w:type="dxa"/>
            <w:vAlign w:val="bottom"/>
            <w:tcBorders>
              <w:bottom w:val="single" w:sz="8" w:color="auto"/>
            </w:tcBorders>
          </w:tcPr>
          <w:p>
            <w:pPr>
              <w:spacing w:after="0"/>
              <w:rPr>
                <w:sz w:val="17"/>
                <w:szCs w:val="17"/>
                <w:color w:val="auto"/>
              </w:rPr>
            </w:pPr>
          </w:p>
        </w:tc>
      </w:tr>
      <w:tr>
        <w:trPr>
          <w:trHeight w:val="213"/>
        </w:trPr>
        <w:tc>
          <w:tcPr>
            <w:tcW w:w="8100" w:type="dxa"/>
            <w:vAlign w:val="bottom"/>
            <w:shd w:val="clear" w:color="auto" w:fill="D4F1F5"/>
          </w:tcPr>
          <w:p>
            <w:pPr>
              <w:ind w:left="20"/>
              <w:spacing w:after="0"/>
              <w:rPr>
                <w:sz w:val="20"/>
                <w:szCs w:val="20"/>
                <w:color w:val="auto"/>
              </w:rPr>
            </w:pPr>
            <w:r>
              <w:rPr>
                <w:rFonts w:ascii="Arial" w:cs="Arial" w:eastAsia="Arial" w:hAnsi="Arial"/>
                <w:sz w:val="16"/>
                <w:szCs w:val="16"/>
                <w:b w:val="1"/>
                <w:bCs w:val="1"/>
                <w:color w:val="auto"/>
              </w:rPr>
              <w:t>Sempra:</w:t>
            </w:r>
          </w:p>
        </w:tc>
        <w:tc>
          <w:tcPr>
            <w:tcW w:w="980" w:type="dxa"/>
            <w:vAlign w:val="bottom"/>
            <w:shd w:val="clear" w:color="auto" w:fill="D4F1F5"/>
          </w:tcPr>
          <w:p>
            <w:pPr>
              <w:spacing w:after="0"/>
              <w:rPr>
                <w:sz w:val="18"/>
                <w:szCs w:val="18"/>
                <w:color w:val="auto"/>
              </w:rPr>
            </w:pPr>
          </w:p>
        </w:tc>
        <w:tc>
          <w:tcPr>
            <w:tcW w:w="580" w:type="dxa"/>
            <w:vAlign w:val="bottom"/>
            <w:shd w:val="clear" w:color="auto" w:fill="D4F1F5"/>
          </w:tcPr>
          <w:p>
            <w:pPr>
              <w:spacing w:after="0"/>
              <w:rPr>
                <w:sz w:val="18"/>
                <w:szCs w:val="18"/>
                <w:color w:val="auto"/>
              </w:rPr>
            </w:pPr>
          </w:p>
        </w:tc>
        <w:tc>
          <w:tcPr>
            <w:tcW w:w="1060" w:type="dxa"/>
            <w:vAlign w:val="bottom"/>
            <w:shd w:val="clear" w:color="auto" w:fill="D4F1F5"/>
          </w:tcPr>
          <w:p>
            <w:pPr>
              <w:spacing w:after="0"/>
              <w:rPr>
                <w:sz w:val="18"/>
                <w:szCs w:val="18"/>
                <w:color w:val="auto"/>
              </w:rPr>
            </w:pPr>
          </w:p>
        </w:tc>
        <w:tc>
          <w:tcPr>
            <w:tcW w:w="520" w:type="dxa"/>
            <w:vAlign w:val="bottom"/>
            <w:shd w:val="clear" w:color="auto" w:fill="D4F1F5"/>
          </w:tcPr>
          <w:p>
            <w:pPr>
              <w:spacing w:after="0"/>
              <w:rPr>
                <w:sz w:val="18"/>
                <w:szCs w:val="18"/>
                <w:color w:val="auto"/>
              </w:rPr>
            </w:pPr>
          </w:p>
        </w:tc>
      </w:tr>
      <w:tr>
        <w:trPr>
          <w:trHeight w:val="215"/>
        </w:trPr>
        <w:tc>
          <w:tcPr>
            <w:tcW w:w="8100" w:type="dxa"/>
            <w:vAlign w:val="bottom"/>
          </w:tcPr>
          <w:p>
            <w:pPr>
              <w:ind w:left="20"/>
              <w:spacing w:after="0"/>
              <w:rPr>
                <w:sz w:val="20"/>
                <w:szCs w:val="20"/>
                <w:color w:val="auto"/>
              </w:rPr>
            </w:pPr>
            <w:r>
              <w:rPr>
                <w:rFonts w:ascii="Arial" w:cs="Arial" w:eastAsia="Arial" w:hAnsi="Arial"/>
                <w:sz w:val="16"/>
                <w:szCs w:val="16"/>
                <w:color w:val="auto"/>
              </w:rPr>
              <w:t>Electric revenues:</w:t>
            </w:r>
          </w:p>
        </w:tc>
        <w:tc>
          <w:tcPr>
            <w:tcW w:w="9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20" w:type="dxa"/>
            <w:vAlign w:val="bottom"/>
          </w:tcPr>
          <w:p>
            <w:pPr>
              <w:spacing w:after="0"/>
              <w:rPr>
                <w:sz w:val="18"/>
                <w:szCs w:val="18"/>
                <w:color w:val="auto"/>
              </w:rPr>
            </w:pPr>
          </w:p>
        </w:tc>
      </w:tr>
      <w:tr>
        <w:trPr>
          <w:trHeight w:val="217"/>
        </w:trPr>
        <w:tc>
          <w:tcPr>
            <w:tcW w:w="8100" w:type="dxa"/>
            <w:vAlign w:val="bottom"/>
            <w:shd w:val="clear" w:color="auto" w:fill="D4F1F5"/>
          </w:tcPr>
          <w:p>
            <w:pPr>
              <w:ind w:left="140"/>
              <w:spacing w:after="0"/>
              <w:rPr>
                <w:sz w:val="20"/>
                <w:szCs w:val="20"/>
                <w:color w:val="auto"/>
              </w:rPr>
            </w:pPr>
            <w:r>
              <w:rPr>
                <w:rFonts w:ascii="Arial" w:cs="Arial" w:eastAsia="Arial" w:hAnsi="Arial"/>
                <w:sz w:val="16"/>
                <w:szCs w:val="16"/>
                <w:color w:val="auto"/>
              </w:rPr>
              <w:t>Sempra California</w:t>
            </w:r>
          </w:p>
        </w:tc>
        <w:tc>
          <w:tcPr>
            <w:tcW w:w="980" w:type="dxa"/>
            <w:vAlign w:val="bottom"/>
            <w:shd w:val="clear" w:color="auto" w:fill="D4F1F5"/>
          </w:tcPr>
          <w:p>
            <w:pPr>
              <w:jc w:val="right"/>
              <w:ind w:right="802"/>
              <w:spacing w:after="0"/>
              <w:rPr>
                <w:sz w:val="20"/>
                <w:szCs w:val="20"/>
                <w:color w:val="auto"/>
              </w:rPr>
            </w:pPr>
            <w:r>
              <w:rPr>
                <w:rFonts w:ascii="Arial" w:cs="Arial" w:eastAsia="Arial" w:hAnsi="Arial"/>
                <w:sz w:val="16"/>
                <w:szCs w:val="16"/>
                <w:color w:val="auto"/>
                <w:w w:val="89"/>
              </w:rPr>
              <w:t>$</w:t>
            </w:r>
          </w:p>
        </w:tc>
        <w:tc>
          <w:tcPr>
            <w:tcW w:w="580" w:type="dxa"/>
            <w:vAlign w:val="bottom"/>
            <w:shd w:val="clear" w:color="auto" w:fill="D4F1F5"/>
          </w:tcPr>
          <w:p>
            <w:pPr>
              <w:jc w:val="right"/>
              <w:ind w:right="39"/>
              <w:spacing w:after="0"/>
              <w:rPr>
                <w:sz w:val="20"/>
                <w:szCs w:val="20"/>
                <w:color w:val="auto"/>
              </w:rPr>
            </w:pPr>
            <w:r>
              <w:rPr>
                <w:rFonts w:ascii="Arial" w:cs="Arial" w:eastAsia="Arial" w:hAnsi="Arial"/>
                <w:sz w:val="16"/>
                <w:szCs w:val="16"/>
                <w:color w:val="auto"/>
              </w:rPr>
              <w:t>1,225</w:t>
            </w:r>
          </w:p>
        </w:tc>
        <w:tc>
          <w:tcPr>
            <w:tcW w:w="1060" w:type="dxa"/>
            <w:vAlign w:val="bottom"/>
            <w:shd w:val="clear" w:color="auto" w:fill="D4F1F5"/>
          </w:tcPr>
          <w:p>
            <w:pPr>
              <w:jc w:val="right"/>
              <w:ind w:right="821"/>
              <w:spacing w:after="0"/>
              <w:rPr>
                <w:sz w:val="20"/>
                <w:szCs w:val="20"/>
                <w:color w:val="auto"/>
              </w:rPr>
            </w:pPr>
            <w:r>
              <w:rPr>
                <w:rFonts w:ascii="Arial" w:cs="Arial" w:eastAsia="Arial" w:hAnsi="Arial"/>
                <w:sz w:val="16"/>
                <w:szCs w:val="16"/>
                <w:color w:val="auto"/>
              </w:rPr>
              <w:t>$</w:t>
            </w:r>
          </w:p>
        </w:tc>
        <w:tc>
          <w:tcPr>
            <w:tcW w:w="520" w:type="dxa"/>
            <w:vAlign w:val="bottom"/>
            <w:shd w:val="clear" w:color="auto" w:fill="D4F1F5"/>
          </w:tcPr>
          <w:p>
            <w:pPr>
              <w:jc w:val="right"/>
              <w:spacing w:after="0"/>
              <w:rPr>
                <w:sz w:val="20"/>
                <w:szCs w:val="20"/>
                <w:color w:val="auto"/>
              </w:rPr>
            </w:pPr>
            <w:r>
              <w:rPr>
                <w:rFonts w:ascii="Arial" w:cs="Arial" w:eastAsia="Arial" w:hAnsi="Arial"/>
                <w:sz w:val="16"/>
                <w:szCs w:val="16"/>
                <w:color w:val="auto"/>
              </w:rPr>
              <w:t>1,060</w:t>
            </w:r>
          </w:p>
        </w:tc>
      </w:tr>
      <w:tr>
        <w:trPr>
          <w:trHeight w:val="215"/>
        </w:trPr>
        <w:tc>
          <w:tcPr>
            <w:tcW w:w="8100" w:type="dxa"/>
            <w:vAlign w:val="bottom"/>
            <w:tcBorders>
              <w:bottom w:val="single" w:sz="8" w:color="D4F1F5"/>
            </w:tcBorders>
          </w:tcPr>
          <w:p>
            <w:pPr>
              <w:ind w:left="140"/>
              <w:spacing w:after="0"/>
              <w:rPr>
                <w:sz w:val="20"/>
                <w:szCs w:val="20"/>
                <w:color w:val="auto"/>
              </w:rPr>
            </w:pPr>
            <w:r>
              <w:rPr>
                <w:rFonts w:ascii="Arial" w:cs="Arial" w:eastAsia="Arial" w:hAnsi="Arial"/>
                <w:sz w:val="16"/>
                <w:szCs w:val="16"/>
                <w:color w:val="auto"/>
              </w:rPr>
              <w:t>Eliminations and adjustments</w:t>
            </w:r>
          </w:p>
        </w:tc>
        <w:tc>
          <w:tcPr>
            <w:tcW w:w="98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106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r>
      <w:tr>
        <w:trPr>
          <w:trHeight w:val="217"/>
        </w:trPr>
        <w:tc>
          <w:tcPr>
            <w:tcW w:w="8100" w:type="dxa"/>
            <w:vAlign w:val="bottom"/>
            <w:tcBorders>
              <w:bottom w:val="single" w:sz="8" w:color="auto"/>
            </w:tcBorders>
            <w:shd w:val="clear" w:color="auto" w:fill="D4F1F5"/>
          </w:tcPr>
          <w:p>
            <w:pPr>
              <w:ind w:left="240"/>
              <w:spacing w:after="0"/>
              <w:rPr>
                <w:sz w:val="20"/>
                <w:szCs w:val="20"/>
                <w:color w:val="auto"/>
              </w:rPr>
            </w:pPr>
            <w:r>
              <w:rPr>
                <w:rFonts w:ascii="Arial" w:cs="Arial" w:eastAsia="Arial" w:hAnsi="Arial"/>
                <w:sz w:val="16"/>
                <w:szCs w:val="16"/>
                <w:color w:val="auto"/>
              </w:rPr>
              <w:t>Total</w:t>
            </w:r>
          </w:p>
        </w:tc>
        <w:tc>
          <w:tcPr>
            <w:tcW w:w="980" w:type="dxa"/>
            <w:vAlign w:val="bottom"/>
            <w:tcBorders>
              <w:bottom w:val="single" w:sz="8" w:color="auto"/>
            </w:tcBorders>
            <w:shd w:val="clear" w:color="auto" w:fill="D4F1F5"/>
          </w:tcPr>
          <w:p>
            <w:pPr>
              <w:jc w:val="right"/>
              <w:ind w:right="802"/>
              <w:spacing w:after="0"/>
              <w:rPr>
                <w:sz w:val="20"/>
                <w:szCs w:val="20"/>
                <w:color w:val="auto"/>
              </w:rPr>
            </w:pPr>
            <w:r>
              <w:rPr>
                <w:rFonts w:ascii="Arial" w:cs="Arial" w:eastAsia="Arial" w:hAnsi="Arial"/>
                <w:sz w:val="16"/>
                <w:szCs w:val="16"/>
                <w:color w:val="auto"/>
                <w:w w:val="89"/>
              </w:rPr>
              <w:t>$</w:t>
            </w:r>
          </w:p>
        </w:tc>
        <w:tc>
          <w:tcPr>
            <w:tcW w:w="580" w:type="dxa"/>
            <w:vAlign w:val="bottom"/>
            <w:tcBorders>
              <w:bottom w:val="single" w:sz="8" w:color="auto"/>
            </w:tcBorders>
            <w:shd w:val="clear" w:color="auto" w:fill="D4F1F5"/>
          </w:tcPr>
          <w:p>
            <w:pPr>
              <w:jc w:val="right"/>
              <w:ind w:right="39"/>
              <w:spacing w:after="0"/>
              <w:rPr>
                <w:sz w:val="20"/>
                <w:szCs w:val="20"/>
                <w:color w:val="auto"/>
              </w:rPr>
            </w:pPr>
            <w:r>
              <w:rPr>
                <w:rFonts w:ascii="Arial" w:cs="Arial" w:eastAsia="Arial" w:hAnsi="Arial"/>
                <w:sz w:val="16"/>
                <w:szCs w:val="16"/>
                <w:color w:val="auto"/>
              </w:rPr>
              <w:t>1,224</w:t>
            </w:r>
          </w:p>
        </w:tc>
        <w:tc>
          <w:tcPr>
            <w:tcW w:w="1060" w:type="dxa"/>
            <w:vAlign w:val="bottom"/>
            <w:tcBorders>
              <w:bottom w:val="single" w:sz="8" w:color="auto"/>
            </w:tcBorders>
            <w:shd w:val="clear" w:color="auto" w:fill="D4F1F5"/>
          </w:tcPr>
          <w:p>
            <w:pPr>
              <w:jc w:val="right"/>
              <w:ind w:right="821"/>
              <w:spacing w:after="0"/>
              <w:rPr>
                <w:sz w:val="20"/>
                <w:szCs w:val="20"/>
                <w:color w:val="auto"/>
              </w:rPr>
            </w:pPr>
            <w:r>
              <w:rPr>
                <w:rFonts w:ascii="Arial" w:cs="Arial" w:eastAsia="Arial" w:hAnsi="Arial"/>
                <w:sz w:val="16"/>
                <w:szCs w:val="16"/>
                <w:color w:val="auto"/>
              </w:rPr>
              <w:t>$</w:t>
            </w:r>
          </w:p>
        </w:tc>
        <w:tc>
          <w:tcPr>
            <w:tcW w:w="520" w:type="dxa"/>
            <w:vAlign w:val="bottom"/>
            <w:tcBorders>
              <w:bottom w:val="single" w:sz="8" w:color="auto"/>
            </w:tcBorders>
            <w:shd w:val="clear" w:color="auto" w:fill="D4F1F5"/>
          </w:tcPr>
          <w:p>
            <w:pPr>
              <w:jc w:val="right"/>
              <w:spacing w:after="0"/>
              <w:rPr>
                <w:sz w:val="20"/>
                <w:szCs w:val="20"/>
                <w:color w:val="auto"/>
              </w:rPr>
            </w:pPr>
            <w:r>
              <w:rPr>
                <w:rFonts w:ascii="Arial" w:cs="Arial" w:eastAsia="Arial" w:hAnsi="Arial"/>
                <w:sz w:val="16"/>
                <w:szCs w:val="16"/>
                <w:color w:val="auto"/>
              </w:rPr>
              <w:t>1,059</w:t>
            </w:r>
          </w:p>
        </w:tc>
      </w:tr>
      <w:tr>
        <w:trPr>
          <w:trHeight w:val="216"/>
        </w:trPr>
        <w:tc>
          <w:tcPr>
            <w:tcW w:w="8100" w:type="dxa"/>
            <w:vAlign w:val="bottom"/>
          </w:tcPr>
          <w:p>
            <w:pPr>
              <w:ind w:left="20"/>
              <w:spacing w:after="0" w:line="216" w:lineRule="exact"/>
              <w:rPr>
                <w:sz w:val="20"/>
                <w:szCs w:val="20"/>
                <w:color w:val="auto"/>
              </w:rPr>
            </w:pPr>
            <w:r>
              <w:rPr>
                <w:rFonts w:ascii="Arial" w:cs="Arial" w:eastAsia="Arial" w:hAnsi="Arial"/>
                <w:sz w:val="16"/>
                <w:szCs w:val="16"/>
                <w:color w:val="auto"/>
              </w:rPr>
              <w:t>Cost of electric fuel and purchased power</w:t>
            </w:r>
            <w:r>
              <w:rPr>
                <w:rFonts w:ascii="Arial" w:cs="Arial" w:eastAsia="Arial" w:hAnsi="Arial"/>
                <w:sz w:val="21"/>
                <w:szCs w:val="21"/>
                <w:color w:val="auto"/>
                <w:vertAlign w:val="superscript"/>
              </w:rPr>
              <w:t>(1)</w:t>
            </w:r>
            <w:r>
              <w:rPr>
                <w:rFonts w:ascii="Arial" w:cs="Arial" w:eastAsia="Arial" w:hAnsi="Arial"/>
                <w:sz w:val="16"/>
                <w:szCs w:val="16"/>
                <w:color w:val="auto"/>
              </w:rPr>
              <w:t>:</w:t>
            </w:r>
          </w:p>
        </w:tc>
        <w:tc>
          <w:tcPr>
            <w:tcW w:w="9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20" w:type="dxa"/>
            <w:vAlign w:val="bottom"/>
          </w:tcPr>
          <w:p>
            <w:pPr>
              <w:spacing w:after="0"/>
              <w:rPr>
                <w:sz w:val="18"/>
                <w:szCs w:val="18"/>
                <w:color w:val="auto"/>
              </w:rPr>
            </w:pPr>
          </w:p>
        </w:tc>
      </w:tr>
      <w:tr>
        <w:trPr>
          <w:trHeight w:val="216"/>
        </w:trPr>
        <w:tc>
          <w:tcPr>
            <w:tcW w:w="8100" w:type="dxa"/>
            <w:vAlign w:val="bottom"/>
            <w:shd w:val="clear" w:color="auto" w:fill="D4F1F5"/>
          </w:tcPr>
          <w:p>
            <w:pPr>
              <w:ind w:left="140"/>
              <w:spacing w:after="0"/>
              <w:rPr>
                <w:sz w:val="20"/>
                <w:szCs w:val="20"/>
                <w:color w:val="auto"/>
              </w:rPr>
            </w:pPr>
            <w:r>
              <w:rPr>
                <w:rFonts w:ascii="Arial" w:cs="Arial" w:eastAsia="Arial" w:hAnsi="Arial"/>
                <w:sz w:val="16"/>
                <w:szCs w:val="16"/>
                <w:color w:val="auto"/>
              </w:rPr>
              <w:t>Sempra California</w:t>
            </w:r>
          </w:p>
        </w:tc>
        <w:tc>
          <w:tcPr>
            <w:tcW w:w="980" w:type="dxa"/>
            <w:vAlign w:val="bottom"/>
            <w:shd w:val="clear" w:color="auto" w:fill="D4F1F5"/>
          </w:tcPr>
          <w:p>
            <w:pPr>
              <w:jc w:val="right"/>
              <w:ind w:right="802"/>
              <w:spacing w:after="0"/>
              <w:rPr>
                <w:sz w:val="20"/>
                <w:szCs w:val="20"/>
                <w:color w:val="auto"/>
              </w:rPr>
            </w:pPr>
            <w:r>
              <w:rPr>
                <w:rFonts w:ascii="Arial" w:cs="Arial" w:eastAsia="Arial" w:hAnsi="Arial"/>
                <w:sz w:val="16"/>
                <w:szCs w:val="16"/>
                <w:color w:val="auto"/>
                <w:w w:val="89"/>
              </w:rPr>
              <w:t>$</w:t>
            </w:r>
          </w:p>
        </w:tc>
        <w:tc>
          <w:tcPr>
            <w:tcW w:w="580" w:type="dxa"/>
            <w:vAlign w:val="bottom"/>
            <w:shd w:val="clear" w:color="auto" w:fill="D4F1F5"/>
          </w:tcPr>
          <w:p>
            <w:pPr>
              <w:jc w:val="right"/>
              <w:ind w:right="39"/>
              <w:spacing w:after="0"/>
              <w:rPr>
                <w:sz w:val="20"/>
                <w:szCs w:val="20"/>
                <w:color w:val="auto"/>
              </w:rPr>
            </w:pPr>
            <w:r>
              <w:rPr>
                <w:rFonts w:ascii="Arial" w:cs="Arial" w:eastAsia="Arial" w:hAnsi="Arial"/>
                <w:sz w:val="16"/>
                <w:szCs w:val="16"/>
                <w:color w:val="auto"/>
              </w:rPr>
              <w:t>94</w:t>
            </w:r>
          </w:p>
        </w:tc>
        <w:tc>
          <w:tcPr>
            <w:tcW w:w="1060" w:type="dxa"/>
            <w:vAlign w:val="bottom"/>
            <w:shd w:val="clear" w:color="auto" w:fill="D4F1F5"/>
          </w:tcPr>
          <w:p>
            <w:pPr>
              <w:jc w:val="right"/>
              <w:ind w:right="821"/>
              <w:spacing w:after="0"/>
              <w:rPr>
                <w:sz w:val="20"/>
                <w:szCs w:val="20"/>
                <w:color w:val="auto"/>
              </w:rPr>
            </w:pPr>
            <w:r>
              <w:rPr>
                <w:rFonts w:ascii="Arial" w:cs="Arial" w:eastAsia="Arial" w:hAnsi="Arial"/>
                <w:sz w:val="16"/>
                <w:szCs w:val="16"/>
                <w:color w:val="auto"/>
              </w:rPr>
              <w:t>$</w:t>
            </w:r>
          </w:p>
        </w:tc>
        <w:tc>
          <w:tcPr>
            <w:tcW w:w="520" w:type="dxa"/>
            <w:vAlign w:val="bottom"/>
            <w:shd w:val="clear" w:color="auto" w:fill="D4F1F5"/>
          </w:tcPr>
          <w:p>
            <w:pPr>
              <w:jc w:val="right"/>
              <w:spacing w:after="0"/>
              <w:rPr>
                <w:sz w:val="20"/>
                <w:szCs w:val="20"/>
                <w:color w:val="auto"/>
              </w:rPr>
            </w:pPr>
            <w:r>
              <w:rPr>
                <w:rFonts w:ascii="Arial" w:cs="Arial" w:eastAsia="Arial" w:hAnsi="Arial"/>
                <w:sz w:val="16"/>
                <w:szCs w:val="16"/>
                <w:color w:val="auto"/>
              </w:rPr>
              <w:t>73</w:t>
            </w:r>
          </w:p>
        </w:tc>
      </w:tr>
      <w:tr>
        <w:trPr>
          <w:trHeight w:val="215"/>
        </w:trPr>
        <w:tc>
          <w:tcPr>
            <w:tcW w:w="8100" w:type="dxa"/>
            <w:vAlign w:val="bottom"/>
            <w:tcBorders>
              <w:bottom w:val="single" w:sz="8" w:color="D4F1F5"/>
            </w:tcBorders>
          </w:tcPr>
          <w:p>
            <w:pPr>
              <w:ind w:left="140"/>
              <w:spacing w:after="0"/>
              <w:rPr>
                <w:sz w:val="20"/>
                <w:szCs w:val="20"/>
                <w:color w:val="auto"/>
              </w:rPr>
            </w:pPr>
            <w:r>
              <w:rPr>
                <w:rFonts w:ascii="Arial" w:cs="Arial" w:eastAsia="Arial" w:hAnsi="Arial"/>
                <w:sz w:val="16"/>
                <w:szCs w:val="16"/>
                <w:color w:val="auto"/>
              </w:rPr>
              <w:t>Eliminations and adjustments</w:t>
            </w:r>
          </w:p>
        </w:tc>
        <w:tc>
          <w:tcPr>
            <w:tcW w:w="98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w:t>
            </w:r>
          </w:p>
        </w:tc>
        <w:tc>
          <w:tcPr>
            <w:tcW w:w="106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w:t>
            </w:r>
          </w:p>
        </w:tc>
      </w:tr>
      <w:tr>
        <w:trPr>
          <w:trHeight w:val="217"/>
        </w:trPr>
        <w:tc>
          <w:tcPr>
            <w:tcW w:w="8100" w:type="dxa"/>
            <w:vAlign w:val="bottom"/>
            <w:tcBorders>
              <w:bottom w:val="single" w:sz="8" w:color="auto"/>
            </w:tcBorders>
            <w:shd w:val="clear" w:color="auto" w:fill="D4F1F5"/>
          </w:tcPr>
          <w:p>
            <w:pPr>
              <w:ind w:left="240"/>
              <w:spacing w:after="0"/>
              <w:rPr>
                <w:sz w:val="20"/>
                <w:szCs w:val="20"/>
                <w:color w:val="auto"/>
              </w:rPr>
            </w:pPr>
            <w:r>
              <w:rPr>
                <w:rFonts w:ascii="Arial" w:cs="Arial" w:eastAsia="Arial" w:hAnsi="Arial"/>
                <w:sz w:val="16"/>
                <w:szCs w:val="16"/>
                <w:color w:val="auto"/>
              </w:rPr>
              <w:t>Total</w:t>
            </w:r>
          </w:p>
        </w:tc>
        <w:tc>
          <w:tcPr>
            <w:tcW w:w="980" w:type="dxa"/>
            <w:vAlign w:val="bottom"/>
            <w:tcBorders>
              <w:bottom w:val="single" w:sz="8" w:color="auto"/>
            </w:tcBorders>
            <w:shd w:val="clear" w:color="auto" w:fill="D4F1F5"/>
          </w:tcPr>
          <w:p>
            <w:pPr>
              <w:jc w:val="right"/>
              <w:ind w:right="802"/>
              <w:spacing w:after="0"/>
              <w:rPr>
                <w:sz w:val="20"/>
                <w:szCs w:val="20"/>
                <w:color w:val="auto"/>
              </w:rPr>
            </w:pPr>
            <w:r>
              <w:rPr>
                <w:rFonts w:ascii="Arial" w:cs="Arial" w:eastAsia="Arial" w:hAnsi="Arial"/>
                <w:sz w:val="16"/>
                <w:szCs w:val="16"/>
                <w:color w:val="auto"/>
                <w:w w:val="89"/>
              </w:rPr>
              <w:t>$</w:t>
            </w:r>
          </w:p>
        </w:tc>
        <w:tc>
          <w:tcPr>
            <w:tcW w:w="580" w:type="dxa"/>
            <w:vAlign w:val="bottom"/>
            <w:tcBorders>
              <w:bottom w:val="single" w:sz="8" w:color="auto"/>
            </w:tcBorders>
            <w:shd w:val="clear" w:color="auto" w:fill="D4F1F5"/>
          </w:tcPr>
          <w:p>
            <w:pPr>
              <w:jc w:val="right"/>
              <w:ind w:right="39"/>
              <w:spacing w:after="0"/>
              <w:rPr>
                <w:sz w:val="20"/>
                <w:szCs w:val="20"/>
                <w:color w:val="auto"/>
              </w:rPr>
            </w:pPr>
            <w:r>
              <w:rPr>
                <w:rFonts w:ascii="Arial" w:cs="Arial" w:eastAsia="Arial" w:hAnsi="Arial"/>
                <w:sz w:val="16"/>
                <w:szCs w:val="16"/>
                <w:color w:val="auto"/>
              </w:rPr>
              <w:t>81</w:t>
            </w:r>
          </w:p>
        </w:tc>
        <w:tc>
          <w:tcPr>
            <w:tcW w:w="1060" w:type="dxa"/>
            <w:vAlign w:val="bottom"/>
            <w:tcBorders>
              <w:bottom w:val="single" w:sz="8" w:color="auto"/>
            </w:tcBorders>
            <w:shd w:val="clear" w:color="auto" w:fill="D4F1F5"/>
          </w:tcPr>
          <w:p>
            <w:pPr>
              <w:jc w:val="right"/>
              <w:ind w:right="821"/>
              <w:spacing w:after="0"/>
              <w:rPr>
                <w:sz w:val="20"/>
                <w:szCs w:val="20"/>
                <w:color w:val="auto"/>
              </w:rPr>
            </w:pPr>
            <w:r>
              <w:rPr>
                <w:rFonts w:ascii="Arial" w:cs="Arial" w:eastAsia="Arial" w:hAnsi="Arial"/>
                <w:sz w:val="16"/>
                <w:szCs w:val="16"/>
                <w:color w:val="auto"/>
              </w:rPr>
              <w:t>$</w:t>
            </w:r>
          </w:p>
        </w:tc>
        <w:tc>
          <w:tcPr>
            <w:tcW w:w="520" w:type="dxa"/>
            <w:vAlign w:val="bottom"/>
            <w:tcBorders>
              <w:bottom w:val="single" w:sz="8" w:color="auto"/>
            </w:tcBorders>
            <w:shd w:val="clear" w:color="auto" w:fill="D4F1F5"/>
          </w:tcPr>
          <w:p>
            <w:pPr>
              <w:jc w:val="right"/>
              <w:spacing w:after="0"/>
              <w:rPr>
                <w:sz w:val="20"/>
                <w:szCs w:val="20"/>
                <w:color w:val="auto"/>
              </w:rPr>
            </w:pPr>
            <w:r>
              <w:rPr>
                <w:rFonts w:ascii="Arial" w:cs="Arial" w:eastAsia="Arial" w:hAnsi="Arial"/>
                <w:sz w:val="16"/>
                <w:szCs w:val="16"/>
                <w:color w:val="auto"/>
              </w:rPr>
              <w:t>52</w:t>
            </w:r>
          </w:p>
        </w:tc>
      </w:tr>
    </w:tbl>
    <w:p>
      <w:pPr>
        <w:spacing w:after="0" w:line="75" w:lineRule="exact"/>
        <w:rPr>
          <w:sz w:val="20"/>
          <w:szCs w:val="20"/>
          <w:color w:val="auto"/>
        </w:rPr>
      </w:pPr>
    </w:p>
    <w:p>
      <w:pPr>
        <w:ind w:left="240" w:hanging="232"/>
        <w:spacing w:after="0"/>
        <w:tabs>
          <w:tab w:leader="none" w:pos="240" w:val="left"/>
        </w:tabs>
        <w:numPr>
          <w:ilvl w:val="0"/>
          <w:numId w:val="60"/>
        </w:numPr>
        <w:rPr>
          <w:rFonts w:ascii="Arial" w:cs="Arial" w:eastAsia="Arial" w:hAnsi="Arial"/>
          <w:sz w:val="21"/>
          <w:szCs w:val="21"/>
          <w:i w:val="1"/>
          <w:iCs w:val="1"/>
          <w:color w:val="auto"/>
          <w:vertAlign w:val="superscript"/>
        </w:rPr>
      </w:pPr>
      <w:r>
        <w:rPr>
          <w:rFonts w:ascii="Arial" w:cs="Arial" w:eastAsia="Arial" w:hAnsi="Arial"/>
          <w:sz w:val="14"/>
          <w:szCs w:val="14"/>
          <w:i w:val="1"/>
          <w:iCs w:val="1"/>
          <w:color w:val="auto"/>
        </w:rPr>
        <w:t>Excludes depreciation and amortization, which are presented separately on Sempra’s Condensed Consolidated Statements of Operations.</w:t>
      </w: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the three months ended March 31, 2026 compared to the same period in 2025, Sempra’s electric revenues increased by $165 million (16%) driven by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Sempra California, which included:</w:t>
      </w:r>
    </w:p>
    <w:p>
      <w:pPr>
        <w:spacing w:after="0" w:line="58" w:lineRule="exact"/>
        <w:rPr>
          <w:sz w:val="20"/>
          <w:szCs w:val="20"/>
          <w:color w:val="auto"/>
        </w:rPr>
      </w:pPr>
    </w:p>
    <w:p>
      <w:pPr>
        <w:ind w:left="180" w:right="20" w:hanging="172"/>
        <w:spacing w:after="0" w:line="266" w:lineRule="auto"/>
        <w:tabs>
          <w:tab w:leader="none" w:pos="176"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$99 million higher revenues from incremental and balanced capital projects, including $59 million recognition of regulatory revenue reflecting returns on approved WMP capital projects resulting from the 2024 GRC Track 2 FD</w:t>
      </w:r>
    </w:p>
    <w:p>
      <w:pPr>
        <w:spacing w:after="0" w:line="13" w:lineRule="exact"/>
        <w:rPr>
          <w:rFonts w:ascii="Times New Roman" w:cs="Times New Roman" w:eastAsia="Times New Roman" w:hAnsi="Times New Roman"/>
          <w:sz w:val="18"/>
          <w:szCs w:val="18"/>
          <w:color w:val="auto"/>
        </w:rPr>
      </w:pPr>
    </w:p>
    <w:p>
      <w:pPr>
        <w:ind w:left="160" w:hanging="152"/>
        <w:spacing w:after="0"/>
        <w:tabs>
          <w:tab w:leader="none" w:pos="16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$33 million higher regulatory revenues from lower ITCs from standalone energy storage projects, which are offset in income tax expense</w:t>
      </w:r>
    </w:p>
    <w:p>
      <w:pPr>
        <w:spacing w:after="0" w:line="49" w:lineRule="exact"/>
        <w:rPr>
          <w:rFonts w:ascii="Times New Roman" w:cs="Times New Roman" w:eastAsia="Times New Roman" w:hAnsi="Times New Roman"/>
          <w:sz w:val="18"/>
          <w:szCs w:val="18"/>
          <w:color w:val="auto"/>
        </w:rPr>
      </w:pPr>
    </w:p>
    <w:p>
      <w:pPr>
        <w:ind w:left="160" w:hanging="152"/>
        <w:spacing w:after="0"/>
        <w:tabs>
          <w:tab w:leader="none" w:pos="16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$21 million increase in cost of electric fuel and purchased power, which we discuss below</w:t>
      </w:r>
    </w:p>
    <w:p>
      <w:pPr>
        <w:spacing w:after="0" w:line="49" w:lineRule="exact"/>
        <w:rPr>
          <w:rFonts w:ascii="Times New Roman" w:cs="Times New Roman" w:eastAsia="Times New Roman" w:hAnsi="Times New Roman"/>
          <w:sz w:val="18"/>
          <w:szCs w:val="18"/>
          <w:color w:val="auto"/>
        </w:rPr>
      </w:pPr>
    </w:p>
    <w:p>
      <w:pPr>
        <w:ind w:left="160" w:hanging="152"/>
        <w:spacing w:after="0"/>
        <w:tabs>
          <w:tab w:leader="none" w:pos="16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$14 million higher revenues from transmission operations</w:t>
      </w:r>
    </w:p>
    <w:p>
      <w:pPr>
        <w:spacing w:after="0" w:line="63" w:lineRule="exact"/>
        <w:rPr>
          <w:rFonts w:ascii="Times New Roman" w:cs="Times New Roman" w:eastAsia="Times New Roman" w:hAnsi="Times New Roman"/>
          <w:sz w:val="18"/>
          <w:szCs w:val="18"/>
          <w:color w:val="auto"/>
        </w:rPr>
      </w:pPr>
    </w:p>
    <w:p>
      <w:pPr>
        <w:ind w:left="160" w:hanging="152"/>
        <w:spacing w:after="0"/>
        <w:tabs>
          <w:tab w:leader="none" w:pos="16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 million higher regulatory revenues associated with refundable programs, which are fully offset in O&amp;M</w:t>
      </w:r>
    </w:p>
    <w:p>
      <w:pPr>
        <w:spacing w:after="0" w:line="158" w:lineRule="exact"/>
        <w:rPr>
          <w:sz w:val="20"/>
          <w:szCs w:val="20"/>
          <w:color w:val="auto"/>
        </w:rPr>
      </w:pPr>
    </w:p>
    <w:p>
      <w:pPr>
        <w:ind w:right="440"/>
        <w:spacing w:after="0" w:line="289" w:lineRule="auto"/>
        <w:rPr>
          <w:sz w:val="20"/>
          <w:szCs w:val="20"/>
          <w:color w:val="auto"/>
        </w:rPr>
      </w:pPr>
      <w:r>
        <w:rPr>
          <w:rFonts w:ascii="Times New Roman" w:cs="Times New Roman" w:eastAsia="Times New Roman" w:hAnsi="Times New Roman"/>
          <w:sz w:val="18"/>
          <w:szCs w:val="18"/>
          <w:color w:val="auto"/>
        </w:rPr>
        <w:t>In the three months ended March 31, 2026 compared to the same period in 2025, Sempra’s cost of electric fuel and purchased power increased by $29 million driven by Sempra California, which included:</w:t>
      </w:r>
    </w:p>
    <w:p>
      <w:pPr>
        <w:spacing w:after="0" w:line="1" w:lineRule="exact"/>
        <w:rPr>
          <w:sz w:val="20"/>
          <w:szCs w:val="20"/>
          <w:color w:val="auto"/>
        </w:rPr>
      </w:pPr>
    </w:p>
    <w:p>
      <w:pPr>
        <w:ind w:left="160" w:hanging="152"/>
        <w:spacing w:after="0"/>
        <w:tabs>
          <w:tab w:leader="none" w:pos="16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$42 million lower sales to the California ISO due to lower market prices</w:t>
      </w:r>
    </w:p>
    <w:p>
      <w:pPr>
        <w:spacing w:after="0" w:line="63" w:lineRule="exact"/>
        <w:rPr>
          <w:rFonts w:ascii="Times New Roman" w:cs="Times New Roman" w:eastAsia="Times New Roman" w:hAnsi="Times New Roman"/>
          <w:sz w:val="18"/>
          <w:szCs w:val="18"/>
          <w:color w:val="auto"/>
        </w:rPr>
      </w:pPr>
    </w:p>
    <w:p>
      <w:pPr>
        <w:ind w:right="2620" w:firstLine="8"/>
        <w:spacing w:after="0" w:line="297" w:lineRule="auto"/>
        <w:tabs>
          <w:tab w:leader="none" w:pos="158"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 million higher purchased power primarily due to tolling agreements offset by lower utility-owned generation costs Offset by:</w:t>
      </w:r>
    </w:p>
    <w:p>
      <w:pPr>
        <w:ind w:left="160" w:hanging="152"/>
        <w:spacing w:after="0"/>
        <w:tabs>
          <w:tab w:leader="none" w:pos="16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$26 million lower purchased power from the California ISO due to lower market prices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150495</wp:posOffset>
            </wp:positionV>
            <wp:extent cx="7157720" cy="425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Energy-Related Businesses: Revenues and Cost of Sales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93980</wp:posOffset>
            </wp:positionV>
            <wp:extent cx="7132320" cy="3003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32320" cy="300355"/>
                    </a:xfrm>
                    <a:prstGeom prst="rect">
                      <a:avLst/>
                    </a:prstGeom>
                    <a:noFill/>
                  </pic:spPr>
                </pic:pic>
              </a:graphicData>
            </a:graphic>
          </wp:anchor>
        </w:drawing>
      </w:r>
    </w:p>
    <w:p>
      <w:pPr>
        <w:spacing w:after="0" w:line="141"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FFFFFF"/>
        </w:rPr>
        <w:t>ENERGY-RELATED BUSINESSES: REVENUES AND COST OF SALES</w:t>
      </w:r>
    </w:p>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8080" w:type="dxa"/>
            <w:vAlign w:val="bottom"/>
          </w:tcPr>
          <w:p>
            <w:pPr>
              <w:ind w:left="20"/>
              <w:spacing w:after="0"/>
              <w:rPr>
                <w:sz w:val="20"/>
                <w:szCs w:val="20"/>
                <w:color w:val="auto"/>
              </w:rPr>
            </w:pPr>
            <w:r>
              <w:rPr>
                <w:rFonts w:ascii="Arial" w:cs="Arial" w:eastAsia="Arial" w:hAnsi="Arial"/>
                <w:sz w:val="14"/>
                <w:szCs w:val="14"/>
                <w:i w:val="1"/>
                <w:iCs w:val="1"/>
                <w:color w:val="FFFFFF"/>
              </w:rPr>
              <w:t>(Dollars in millions)</w:t>
            </w:r>
          </w:p>
        </w:tc>
        <w:tc>
          <w:tcPr>
            <w:tcW w:w="10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460" w:type="dxa"/>
            <w:vAlign w:val="bottom"/>
          </w:tcPr>
          <w:p>
            <w:pPr>
              <w:spacing w:after="0"/>
              <w:rPr>
                <w:sz w:val="16"/>
                <w:szCs w:val="16"/>
                <w:color w:val="auto"/>
              </w:rPr>
            </w:pPr>
          </w:p>
        </w:tc>
      </w:tr>
      <w:tr>
        <w:trPr>
          <w:trHeight w:val="233"/>
        </w:trPr>
        <w:tc>
          <w:tcPr>
            <w:tcW w:w="8080" w:type="dxa"/>
            <w:vAlign w:val="bottom"/>
          </w:tcPr>
          <w:p>
            <w:pPr>
              <w:spacing w:after="0"/>
              <w:rPr>
                <w:sz w:val="20"/>
                <w:szCs w:val="20"/>
                <w:color w:val="auto"/>
              </w:rPr>
            </w:pPr>
          </w:p>
        </w:tc>
        <w:tc>
          <w:tcPr>
            <w:tcW w:w="2700" w:type="dxa"/>
            <w:vAlign w:val="bottom"/>
            <w:tcBorders>
              <w:bottom w:val="single" w:sz="8" w:color="auto"/>
            </w:tcBorders>
            <w:gridSpan w:val="3"/>
          </w:tcPr>
          <w:p>
            <w:pPr>
              <w:jc w:val="right"/>
              <w:ind w:right="41"/>
              <w:spacing w:after="0"/>
              <w:rPr>
                <w:sz w:val="20"/>
                <w:szCs w:val="20"/>
                <w:color w:val="auto"/>
              </w:rPr>
            </w:pPr>
            <w:r>
              <w:rPr>
                <w:rFonts w:ascii="Arial" w:cs="Arial" w:eastAsia="Arial" w:hAnsi="Arial"/>
                <w:sz w:val="14"/>
                <w:szCs w:val="14"/>
                <w:color w:val="auto"/>
              </w:rPr>
              <w:t>Three months ended March 31,</w:t>
            </w:r>
          </w:p>
        </w:tc>
        <w:tc>
          <w:tcPr>
            <w:tcW w:w="460" w:type="dxa"/>
            <w:vAlign w:val="bottom"/>
            <w:tcBorders>
              <w:bottom w:val="single" w:sz="8" w:color="auto"/>
            </w:tcBorders>
          </w:tcPr>
          <w:p>
            <w:pPr>
              <w:spacing w:after="0"/>
              <w:rPr>
                <w:sz w:val="20"/>
                <w:szCs w:val="20"/>
                <w:color w:val="auto"/>
              </w:rPr>
            </w:pPr>
          </w:p>
        </w:tc>
      </w:tr>
      <w:tr>
        <w:trPr>
          <w:trHeight w:val="210"/>
        </w:trPr>
        <w:tc>
          <w:tcPr>
            <w:tcW w:w="80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63"/>
              <w:spacing w:after="0"/>
              <w:rPr>
                <w:sz w:val="20"/>
                <w:szCs w:val="20"/>
                <w:color w:val="auto"/>
              </w:rPr>
            </w:pPr>
            <w:r>
              <w:rPr>
                <w:rFonts w:ascii="Arial" w:cs="Arial" w:eastAsia="Arial" w:hAnsi="Arial"/>
                <w:sz w:val="14"/>
                <w:szCs w:val="14"/>
                <w:color w:val="auto"/>
              </w:rPr>
              <w:t>2026</w:t>
            </w:r>
          </w:p>
        </w:tc>
        <w:tc>
          <w:tcPr>
            <w:tcW w:w="5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61"/>
              <w:spacing w:after="0"/>
              <w:rPr>
                <w:sz w:val="20"/>
                <w:szCs w:val="20"/>
                <w:color w:val="auto"/>
              </w:rPr>
            </w:pPr>
            <w:r>
              <w:rPr>
                <w:rFonts w:ascii="Arial" w:cs="Arial" w:eastAsia="Arial" w:hAnsi="Arial"/>
                <w:sz w:val="14"/>
                <w:szCs w:val="14"/>
                <w:color w:val="auto"/>
              </w:rPr>
              <w:t>2025</w:t>
            </w:r>
          </w:p>
        </w:tc>
        <w:tc>
          <w:tcPr>
            <w:tcW w:w="460" w:type="dxa"/>
            <w:vAlign w:val="bottom"/>
            <w:tcBorders>
              <w:bottom w:val="single" w:sz="8" w:color="auto"/>
            </w:tcBorders>
          </w:tcPr>
          <w:p>
            <w:pPr>
              <w:spacing w:after="0"/>
              <w:rPr>
                <w:sz w:val="18"/>
                <w:szCs w:val="18"/>
                <w:color w:val="auto"/>
              </w:rPr>
            </w:pPr>
          </w:p>
        </w:tc>
      </w:tr>
      <w:tr>
        <w:trPr>
          <w:trHeight w:val="213"/>
        </w:trPr>
        <w:tc>
          <w:tcPr>
            <w:tcW w:w="8080" w:type="dxa"/>
            <w:vAlign w:val="bottom"/>
            <w:shd w:val="clear" w:color="auto" w:fill="D4F1F5"/>
          </w:tcPr>
          <w:p>
            <w:pPr>
              <w:ind w:left="20"/>
              <w:spacing w:after="0"/>
              <w:rPr>
                <w:sz w:val="20"/>
                <w:szCs w:val="20"/>
                <w:color w:val="auto"/>
              </w:rPr>
            </w:pPr>
            <w:r>
              <w:rPr>
                <w:rFonts w:ascii="Arial" w:cs="Arial" w:eastAsia="Arial" w:hAnsi="Arial"/>
                <w:sz w:val="16"/>
                <w:szCs w:val="16"/>
                <w:b w:val="1"/>
                <w:bCs w:val="1"/>
                <w:color w:val="auto"/>
              </w:rPr>
              <w:t>Sempra:</w:t>
            </w:r>
          </w:p>
        </w:tc>
        <w:tc>
          <w:tcPr>
            <w:tcW w:w="1060" w:type="dxa"/>
            <w:vAlign w:val="bottom"/>
            <w:shd w:val="clear" w:color="auto" w:fill="D4F1F5"/>
          </w:tcPr>
          <w:p>
            <w:pPr>
              <w:spacing w:after="0"/>
              <w:rPr>
                <w:sz w:val="18"/>
                <w:szCs w:val="18"/>
                <w:color w:val="auto"/>
              </w:rPr>
            </w:pPr>
          </w:p>
        </w:tc>
        <w:tc>
          <w:tcPr>
            <w:tcW w:w="520" w:type="dxa"/>
            <w:vAlign w:val="bottom"/>
            <w:shd w:val="clear" w:color="auto" w:fill="D4F1F5"/>
          </w:tcPr>
          <w:p>
            <w:pPr>
              <w:spacing w:after="0"/>
              <w:rPr>
                <w:sz w:val="18"/>
                <w:szCs w:val="18"/>
                <w:color w:val="auto"/>
              </w:rPr>
            </w:pPr>
          </w:p>
        </w:tc>
        <w:tc>
          <w:tcPr>
            <w:tcW w:w="1120" w:type="dxa"/>
            <w:vAlign w:val="bottom"/>
            <w:shd w:val="clear" w:color="auto" w:fill="D4F1F5"/>
          </w:tcPr>
          <w:p>
            <w:pPr>
              <w:spacing w:after="0"/>
              <w:rPr>
                <w:sz w:val="18"/>
                <w:szCs w:val="18"/>
                <w:color w:val="auto"/>
              </w:rPr>
            </w:pPr>
          </w:p>
        </w:tc>
        <w:tc>
          <w:tcPr>
            <w:tcW w:w="460" w:type="dxa"/>
            <w:vAlign w:val="bottom"/>
            <w:shd w:val="clear" w:color="auto" w:fill="D4F1F5"/>
          </w:tcPr>
          <w:p>
            <w:pPr>
              <w:spacing w:after="0"/>
              <w:rPr>
                <w:sz w:val="18"/>
                <w:szCs w:val="18"/>
                <w:color w:val="auto"/>
              </w:rPr>
            </w:pPr>
          </w:p>
        </w:tc>
      </w:tr>
      <w:tr>
        <w:trPr>
          <w:trHeight w:val="215"/>
        </w:trPr>
        <w:tc>
          <w:tcPr>
            <w:tcW w:w="8080" w:type="dxa"/>
            <w:vAlign w:val="bottom"/>
          </w:tcPr>
          <w:p>
            <w:pPr>
              <w:ind w:left="20"/>
              <w:spacing w:after="0"/>
              <w:rPr>
                <w:sz w:val="20"/>
                <w:szCs w:val="20"/>
                <w:color w:val="auto"/>
              </w:rPr>
            </w:pPr>
            <w:r>
              <w:rPr>
                <w:rFonts w:ascii="Arial" w:cs="Arial" w:eastAsia="Arial" w:hAnsi="Arial"/>
                <w:sz w:val="16"/>
                <w:szCs w:val="16"/>
                <w:color w:val="auto"/>
              </w:rPr>
              <w:t>Revenues:</w:t>
            </w:r>
          </w:p>
        </w:tc>
        <w:tc>
          <w:tcPr>
            <w:tcW w:w="10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60" w:type="dxa"/>
            <w:vAlign w:val="bottom"/>
          </w:tcPr>
          <w:p>
            <w:pPr>
              <w:spacing w:after="0"/>
              <w:rPr>
                <w:sz w:val="18"/>
                <w:szCs w:val="18"/>
                <w:color w:val="auto"/>
              </w:rPr>
            </w:pPr>
          </w:p>
        </w:tc>
      </w:tr>
      <w:tr>
        <w:trPr>
          <w:trHeight w:val="217"/>
        </w:trPr>
        <w:tc>
          <w:tcPr>
            <w:tcW w:w="8080" w:type="dxa"/>
            <w:vAlign w:val="bottom"/>
            <w:shd w:val="clear" w:color="auto" w:fill="D4F1F5"/>
          </w:tcPr>
          <w:p>
            <w:pPr>
              <w:ind w:left="140"/>
              <w:spacing w:after="0"/>
              <w:rPr>
                <w:sz w:val="20"/>
                <w:szCs w:val="20"/>
                <w:color w:val="auto"/>
              </w:rPr>
            </w:pPr>
            <w:r>
              <w:rPr>
                <w:rFonts w:ascii="Arial" w:cs="Arial" w:eastAsia="Arial" w:hAnsi="Arial"/>
                <w:sz w:val="16"/>
                <w:szCs w:val="16"/>
                <w:color w:val="auto"/>
              </w:rPr>
              <w:t>Sempra Infrastructure</w:t>
            </w:r>
          </w:p>
        </w:tc>
        <w:tc>
          <w:tcPr>
            <w:tcW w:w="1060" w:type="dxa"/>
            <w:vAlign w:val="bottom"/>
            <w:shd w:val="clear" w:color="auto" w:fill="D4F1F5"/>
          </w:tcPr>
          <w:p>
            <w:pPr>
              <w:jc w:val="right"/>
              <w:ind w:right="883"/>
              <w:spacing w:after="0"/>
              <w:rPr>
                <w:sz w:val="20"/>
                <w:szCs w:val="20"/>
                <w:color w:val="auto"/>
              </w:rPr>
            </w:pPr>
            <w:r>
              <w:rPr>
                <w:rFonts w:ascii="Arial" w:cs="Arial" w:eastAsia="Arial" w:hAnsi="Arial"/>
                <w:sz w:val="16"/>
                <w:szCs w:val="16"/>
                <w:color w:val="auto"/>
                <w:w w:val="89"/>
              </w:rPr>
              <w:t>$</w:t>
            </w:r>
          </w:p>
        </w:tc>
        <w:tc>
          <w:tcPr>
            <w:tcW w:w="520" w:type="dxa"/>
            <w:vAlign w:val="bottom"/>
            <w:shd w:val="clear" w:color="auto" w:fill="D4F1F5"/>
          </w:tcPr>
          <w:p>
            <w:pPr>
              <w:jc w:val="right"/>
              <w:ind w:right="39"/>
              <w:spacing w:after="0"/>
              <w:rPr>
                <w:sz w:val="20"/>
                <w:szCs w:val="20"/>
                <w:color w:val="auto"/>
              </w:rPr>
            </w:pPr>
            <w:r>
              <w:rPr>
                <w:rFonts w:ascii="Arial" w:cs="Arial" w:eastAsia="Arial" w:hAnsi="Arial"/>
                <w:sz w:val="16"/>
                <w:szCs w:val="16"/>
                <w:color w:val="auto"/>
              </w:rPr>
              <w:t>416</w:t>
            </w:r>
          </w:p>
        </w:tc>
        <w:tc>
          <w:tcPr>
            <w:tcW w:w="1120" w:type="dxa"/>
            <w:vAlign w:val="bottom"/>
            <w:shd w:val="clear" w:color="auto" w:fill="D4F1F5"/>
          </w:tcPr>
          <w:p>
            <w:pPr>
              <w:jc w:val="right"/>
              <w:ind w:right="881"/>
              <w:spacing w:after="0"/>
              <w:rPr>
                <w:sz w:val="20"/>
                <w:szCs w:val="20"/>
                <w:color w:val="auto"/>
              </w:rPr>
            </w:pPr>
            <w:r>
              <w:rPr>
                <w:rFonts w:ascii="Arial" w:cs="Arial" w:eastAsia="Arial" w:hAnsi="Arial"/>
                <w:sz w:val="16"/>
                <w:szCs w:val="16"/>
                <w:color w:val="auto"/>
              </w:rPr>
              <w:t>$</w:t>
            </w:r>
          </w:p>
        </w:tc>
        <w:tc>
          <w:tcPr>
            <w:tcW w:w="460" w:type="dxa"/>
            <w:vAlign w:val="bottom"/>
            <w:shd w:val="clear" w:color="auto" w:fill="D4F1F5"/>
          </w:tcPr>
          <w:p>
            <w:pPr>
              <w:jc w:val="right"/>
              <w:spacing w:after="0"/>
              <w:rPr>
                <w:sz w:val="20"/>
                <w:szCs w:val="20"/>
                <w:color w:val="auto"/>
              </w:rPr>
            </w:pPr>
            <w:r>
              <w:rPr>
                <w:rFonts w:ascii="Arial" w:cs="Arial" w:eastAsia="Arial" w:hAnsi="Arial"/>
                <w:sz w:val="16"/>
                <w:szCs w:val="16"/>
                <w:color w:val="auto"/>
              </w:rPr>
              <w:t>400</w:t>
            </w:r>
          </w:p>
        </w:tc>
      </w:tr>
      <w:tr>
        <w:trPr>
          <w:trHeight w:val="216"/>
        </w:trPr>
        <w:tc>
          <w:tcPr>
            <w:tcW w:w="8080" w:type="dxa"/>
            <w:vAlign w:val="bottom"/>
            <w:tcBorders>
              <w:bottom w:val="single" w:sz="8" w:color="D4F1F5"/>
            </w:tcBorders>
          </w:tcPr>
          <w:p>
            <w:pPr>
              <w:ind w:left="140"/>
              <w:spacing w:after="0" w:line="216" w:lineRule="exact"/>
              <w:rPr>
                <w:sz w:val="20"/>
                <w:szCs w:val="20"/>
                <w:color w:val="auto"/>
              </w:rPr>
            </w:pPr>
            <w:r>
              <w:rPr>
                <w:rFonts w:ascii="Arial" w:cs="Arial" w:eastAsia="Arial" w:hAnsi="Arial"/>
                <w:sz w:val="16"/>
                <w:szCs w:val="16"/>
                <w:color w:val="auto"/>
              </w:rPr>
              <w:t>Parent and other</w:t>
            </w:r>
            <w:r>
              <w:rPr>
                <w:rFonts w:ascii="Arial" w:cs="Arial" w:eastAsia="Arial" w:hAnsi="Arial"/>
                <w:sz w:val="21"/>
                <w:szCs w:val="21"/>
                <w:color w:val="auto"/>
                <w:vertAlign w:val="superscript"/>
              </w:rPr>
              <w:t>(1)</w:t>
            </w:r>
          </w:p>
        </w:tc>
        <w:tc>
          <w:tcPr>
            <w:tcW w:w="106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w:t>
            </w:r>
          </w:p>
        </w:tc>
        <w:tc>
          <w:tcPr>
            <w:tcW w:w="112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w:t>
            </w:r>
          </w:p>
        </w:tc>
      </w:tr>
      <w:tr>
        <w:trPr>
          <w:trHeight w:val="216"/>
        </w:trPr>
        <w:tc>
          <w:tcPr>
            <w:tcW w:w="8080" w:type="dxa"/>
            <w:vAlign w:val="bottom"/>
            <w:tcBorders>
              <w:bottom w:val="single" w:sz="8" w:color="auto"/>
            </w:tcBorders>
            <w:shd w:val="clear" w:color="auto" w:fill="D4F1F5"/>
          </w:tcPr>
          <w:p>
            <w:pPr>
              <w:ind w:left="360"/>
              <w:spacing w:after="0"/>
              <w:rPr>
                <w:sz w:val="20"/>
                <w:szCs w:val="20"/>
                <w:color w:val="auto"/>
              </w:rPr>
            </w:pPr>
            <w:r>
              <w:rPr>
                <w:rFonts w:ascii="Arial" w:cs="Arial" w:eastAsia="Arial" w:hAnsi="Arial"/>
                <w:sz w:val="16"/>
                <w:szCs w:val="16"/>
                <w:color w:val="auto"/>
              </w:rPr>
              <w:t>Total</w:t>
            </w:r>
          </w:p>
        </w:tc>
        <w:tc>
          <w:tcPr>
            <w:tcW w:w="1060" w:type="dxa"/>
            <w:vAlign w:val="bottom"/>
            <w:tcBorders>
              <w:bottom w:val="single" w:sz="8" w:color="auto"/>
            </w:tcBorders>
            <w:shd w:val="clear" w:color="auto" w:fill="D4F1F5"/>
          </w:tcPr>
          <w:p>
            <w:pPr>
              <w:jc w:val="right"/>
              <w:ind w:right="883"/>
              <w:spacing w:after="0"/>
              <w:rPr>
                <w:sz w:val="20"/>
                <w:szCs w:val="20"/>
                <w:color w:val="auto"/>
              </w:rPr>
            </w:pPr>
            <w:r>
              <w:rPr>
                <w:rFonts w:ascii="Arial" w:cs="Arial" w:eastAsia="Arial" w:hAnsi="Arial"/>
                <w:sz w:val="16"/>
                <w:szCs w:val="16"/>
                <w:color w:val="auto"/>
                <w:w w:val="89"/>
              </w:rPr>
              <w:t>$</w:t>
            </w:r>
          </w:p>
        </w:tc>
        <w:tc>
          <w:tcPr>
            <w:tcW w:w="520" w:type="dxa"/>
            <w:vAlign w:val="bottom"/>
            <w:tcBorders>
              <w:bottom w:val="single" w:sz="8" w:color="auto"/>
            </w:tcBorders>
            <w:shd w:val="clear" w:color="auto" w:fill="D4F1F5"/>
          </w:tcPr>
          <w:p>
            <w:pPr>
              <w:jc w:val="right"/>
              <w:ind w:right="39"/>
              <w:spacing w:after="0"/>
              <w:rPr>
                <w:sz w:val="20"/>
                <w:szCs w:val="20"/>
                <w:color w:val="auto"/>
              </w:rPr>
            </w:pPr>
            <w:r>
              <w:rPr>
                <w:rFonts w:ascii="Arial" w:cs="Arial" w:eastAsia="Arial" w:hAnsi="Arial"/>
                <w:sz w:val="16"/>
                <w:szCs w:val="16"/>
                <w:color w:val="auto"/>
              </w:rPr>
              <w:t>406</w:t>
            </w:r>
          </w:p>
        </w:tc>
        <w:tc>
          <w:tcPr>
            <w:tcW w:w="1120" w:type="dxa"/>
            <w:vAlign w:val="bottom"/>
            <w:tcBorders>
              <w:bottom w:val="single" w:sz="8" w:color="auto"/>
            </w:tcBorders>
            <w:shd w:val="clear" w:color="auto" w:fill="D4F1F5"/>
          </w:tcPr>
          <w:p>
            <w:pPr>
              <w:jc w:val="right"/>
              <w:ind w:right="881"/>
              <w:spacing w:after="0"/>
              <w:rPr>
                <w:sz w:val="20"/>
                <w:szCs w:val="20"/>
                <w:color w:val="auto"/>
              </w:rPr>
            </w:pPr>
            <w:r>
              <w:rPr>
                <w:rFonts w:ascii="Arial" w:cs="Arial" w:eastAsia="Arial" w:hAnsi="Arial"/>
                <w:sz w:val="16"/>
                <w:szCs w:val="16"/>
                <w:color w:val="auto"/>
              </w:rPr>
              <w:t>$</w:t>
            </w:r>
          </w:p>
        </w:tc>
        <w:tc>
          <w:tcPr>
            <w:tcW w:w="460" w:type="dxa"/>
            <w:vAlign w:val="bottom"/>
            <w:tcBorders>
              <w:bottom w:val="single" w:sz="8" w:color="auto"/>
            </w:tcBorders>
            <w:shd w:val="clear" w:color="auto" w:fill="D4F1F5"/>
          </w:tcPr>
          <w:p>
            <w:pPr>
              <w:jc w:val="right"/>
              <w:spacing w:after="0"/>
              <w:rPr>
                <w:sz w:val="20"/>
                <w:szCs w:val="20"/>
                <w:color w:val="auto"/>
              </w:rPr>
            </w:pPr>
            <w:r>
              <w:rPr>
                <w:rFonts w:ascii="Arial" w:cs="Arial" w:eastAsia="Arial" w:hAnsi="Arial"/>
                <w:sz w:val="16"/>
                <w:szCs w:val="16"/>
                <w:color w:val="auto"/>
              </w:rPr>
              <w:t>381</w:t>
            </w:r>
          </w:p>
        </w:tc>
      </w:tr>
      <w:tr>
        <w:trPr>
          <w:trHeight w:val="216"/>
        </w:trPr>
        <w:tc>
          <w:tcPr>
            <w:tcW w:w="8080" w:type="dxa"/>
            <w:vAlign w:val="bottom"/>
          </w:tcPr>
          <w:p>
            <w:pPr>
              <w:ind w:left="20"/>
              <w:spacing w:after="0" w:line="216" w:lineRule="exact"/>
              <w:rPr>
                <w:sz w:val="20"/>
                <w:szCs w:val="20"/>
                <w:color w:val="auto"/>
              </w:rPr>
            </w:pPr>
            <w:r>
              <w:rPr>
                <w:rFonts w:ascii="Arial" w:cs="Arial" w:eastAsia="Arial" w:hAnsi="Arial"/>
                <w:sz w:val="16"/>
                <w:szCs w:val="16"/>
                <w:color w:val="auto"/>
              </w:rPr>
              <w:t>Cost of sales</w:t>
            </w:r>
            <w:r>
              <w:rPr>
                <w:rFonts w:ascii="Arial" w:cs="Arial" w:eastAsia="Arial" w:hAnsi="Arial"/>
                <w:sz w:val="21"/>
                <w:szCs w:val="21"/>
                <w:color w:val="auto"/>
                <w:vertAlign w:val="superscript"/>
              </w:rPr>
              <w:t>(2)</w:t>
            </w:r>
            <w:r>
              <w:rPr>
                <w:rFonts w:ascii="Arial" w:cs="Arial" w:eastAsia="Arial" w:hAnsi="Arial"/>
                <w:sz w:val="16"/>
                <w:szCs w:val="16"/>
                <w:color w:val="auto"/>
              </w:rPr>
              <w:t>:</w:t>
            </w:r>
          </w:p>
        </w:tc>
        <w:tc>
          <w:tcPr>
            <w:tcW w:w="10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60" w:type="dxa"/>
            <w:vAlign w:val="bottom"/>
          </w:tcPr>
          <w:p>
            <w:pPr>
              <w:spacing w:after="0"/>
              <w:rPr>
                <w:sz w:val="18"/>
                <w:szCs w:val="18"/>
                <w:color w:val="auto"/>
              </w:rPr>
            </w:pPr>
          </w:p>
        </w:tc>
      </w:tr>
      <w:tr>
        <w:trPr>
          <w:trHeight w:val="223"/>
        </w:trPr>
        <w:tc>
          <w:tcPr>
            <w:tcW w:w="8080" w:type="dxa"/>
            <w:vAlign w:val="bottom"/>
            <w:tcBorders>
              <w:bottom w:val="single" w:sz="8" w:color="ACACAC"/>
            </w:tcBorders>
            <w:shd w:val="clear" w:color="auto" w:fill="D4F1F5"/>
          </w:tcPr>
          <w:p>
            <w:pPr>
              <w:ind w:left="140"/>
              <w:spacing w:after="0"/>
              <w:rPr>
                <w:sz w:val="20"/>
                <w:szCs w:val="20"/>
                <w:color w:val="auto"/>
              </w:rPr>
            </w:pPr>
            <w:r>
              <w:rPr>
                <w:rFonts w:ascii="Arial" w:cs="Arial" w:eastAsia="Arial" w:hAnsi="Arial"/>
                <w:sz w:val="16"/>
                <w:szCs w:val="16"/>
                <w:color w:val="auto"/>
              </w:rPr>
              <w:t>Sempra Infrastructure</w:t>
            </w:r>
          </w:p>
        </w:tc>
        <w:tc>
          <w:tcPr>
            <w:tcW w:w="1060" w:type="dxa"/>
            <w:vAlign w:val="bottom"/>
            <w:tcBorders>
              <w:bottom w:val="single" w:sz="8" w:color="ACACAC"/>
            </w:tcBorders>
            <w:shd w:val="clear" w:color="auto" w:fill="D4F1F5"/>
          </w:tcPr>
          <w:p>
            <w:pPr>
              <w:jc w:val="right"/>
              <w:ind w:right="883"/>
              <w:spacing w:after="0"/>
              <w:rPr>
                <w:sz w:val="20"/>
                <w:szCs w:val="20"/>
                <w:color w:val="auto"/>
              </w:rPr>
            </w:pPr>
            <w:r>
              <w:rPr>
                <w:rFonts w:ascii="Arial" w:cs="Arial" w:eastAsia="Arial" w:hAnsi="Arial"/>
                <w:sz w:val="16"/>
                <w:szCs w:val="16"/>
                <w:color w:val="auto"/>
                <w:w w:val="89"/>
              </w:rPr>
              <w:t>$</w:t>
            </w:r>
          </w:p>
        </w:tc>
        <w:tc>
          <w:tcPr>
            <w:tcW w:w="520" w:type="dxa"/>
            <w:vAlign w:val="bottom"/>
            <w:tcBorders>
              <w:bottom w:val="single" w:sz="8" w:color="ACACAC"/>
            </w:tcBorders>
            <w:shd w:val="clear" w:color="auto" w:fill="D4F1F5"/>
          </w:tcPr>
          <w:p>
            <w:pPr>
              <w:jc w:val="right"/>
              <w:ind w:right="39"/>
              <w:spacing w:after="0"/>
              <w:rPr>
                <w:sz w:val="20"/>
                <w:szCs w:val="20"/>
                <w:color w:val="auto"/>
              </w:rPr>
            </w:pPr>
            <w:r>
              <w:rPr>
                <w:rFonts w:ascii="Arial" w:cs="Arial" w:eastAsia="Arial" w:hAnsi="Arial"/>
                <w:sz w:val="16"/>
                <w:szCs w:val="16"/>
                <w:color w:val="auto"/>
              </w:rPr>
              <w:t>76</w:t>
            </w:r>
          </w:p>
        </w:tc>
        <w:tc>
          <w:tcPr>
            <w:tcW w:w="1120" w:type="dxa"/>
            <w:vAlign w:val="bottom"/>
            <w:tcBorders>
              <w:bottom w:val="single" w:sz="8" w:color="ACACAC"/>
            </w:tcBorders>
            <w:shd w:val="clear" w:color="auto" w:fill="D4F1F5"/>
          </w:tcPr>
          <w:p>
            <w:pPr>
              <w:jc w:val="right"/>
              <w:ind w:right="881"/>
              <w:spacing w:after="0"/>
              <w:rPr>
                <w:sz w:val="20"/>
                <w:szCs w:val="20"/>
                <w:color w:val="auto"/>
              </w:rPr>
            </w:pPr>
            <w:r>
              <w:rPr>
                <w:rFonts w:ascii="Arial" w:cs="Arial" w:eastAsia="Arial" w:hAnsi="Arial"/>
                <w:sz w:val="16"/>
                <w:szCs w:val="16"/>
                <w:color w:val="auto"/>
              </w:rPr>
              <w:t>$</w:t>
            </w:r>
          </w:p>
        </w:tc>
        <w:tc>
          <w:tcPr>
            <w:tcW w:w="460" w:type="dxa"/>
            <w:vAlign w:val="bottom"/>
            <w:tcBorders>
              <w:bottom w:val="single" w:sz="8" w:color="ACACAC"/>
            </w:tcBorders>
            <w:shd w:val="clear" w:color="auto" w:fill="D4F1F5"/>
          </w:tcPr>
          <w:p>
            <w:pPr>
              <w:jc w:val="right"/>
              <w:spacing w:after="0"/>
              <w:rPr>
                <w:sz w:val="20"/>
                <w:szCs w:val="20"/>
                <w:color w:val="auto"/>
              </w:rPr>
            </w:pPr>
            <w:r>
              <w:rPr>
                <w:rFonts w:ascii="Arial" w:cs="Arial" w:eastAsia="Arial" w:hAnsi="Arial"/>
                <w:sz w:val="16"/>
                <w:szCs w:val="16"/>
                <w:color w:val="auto"/>
              </w:rPr>
              <w:t>119</w:t>
            </w:r>
          </w:p>
        </w:tc>
      </w:tr>
    </w:tbl>
    <w:p>
      <w:pPr>
        <w:spacing w:after="0" w:line="75" w:lineRule="exact"/>
        <w:rPr>
          <w:sz w:val="20"/>
          <w:szCs w:val="20"/>
          <w:color w:val="auto"/>
        </w:rPr>
      </w:pPr>
    </w:p>
    <w:p>
      <w:pPr>
        <w:ind w:left="300" w:hanging="292"/>
        <w:spacing w:after="0"/>
        <w:tabs>
          <w:tab w:leader="none" w:pos="300" w:val="left"/>
        </w:tabs>
        <w:numPr>
          <w:ilvl w:val="0"/>
          <w:numId w:val="63"/>
        </w:numPr>
        <w:rPr>
          <w:rFonts w:ascii="Arial" w:cs="Arial" w:eastAsia="Arial" w:hAnsi="Arial"/>
          <w:sz w:val="21"/>
          <w:szCs w:val="21"/>
          <w:i w:val="1"/>
          <w:iCs w:val="1"/>
          <w:color w:val="auto"/>
          <w:vertAlign w:val="superscript"/>
        </w:rPr>
      </w:pPr>
      <w:r>
        <w:rPr>
          <w:rFonts w:ascii="Arial" w:cs="Arial" w:eastAsia="Arial" w:hAnsi="Arial"/>
          <w:sz w:val="14"/>
          <w:szCs w:val="14"/>
          <w:i w:val="1"/>
          <w:iCs w:val="1"/>
          <w:color w:val="auto"/>
        </w:rPr>
        <w:t>Includes eliminations of intercompany activity.</w:t>
      </w:r>
    </w:p>
    <w:p>
      <w:pPr>
        <w:spacing w:after="0" w:line="26" w:lineRule="exact"/>
        <w:rPr>
          <w:rFonts w:ascii="Arial" w:cs="Arial" w:eastAsia="Arial" w:hAnsi="Arial"/>
          <w:sz w:val="21"/>
          <w:szCs w:val="21"/>
          <w:i w:val="1"/>
          <w:iCs w:val="1"/>
          <w:color w:val="auto"/>
          <w:vertAlign w:val="superscript"/>
        </w:rPr>
      </w:pPr>
    </w:p>
    <w:p>
      <w:pPr>
        <w:ind w:left="260" w:hanging="252"/>
        <w:spacing w:after="0" w:line="183" w:lineRule="auto"/>
        <w:tabs>
          <w:tab w:leader="none" w:pos="260" w:val="left"/>
        </w:tabs>
        <w:numPr>
          <w:ilvl w:val="0"/>
          <w:numId w:val="63"/>
        </w:numPr>
        <w:rPr>
          <w:rFonts w:ascii="Arial" w:cs="Arial" w:eastAsia="Arial" w:hAnsi="Arial"/>
          <w:sz w:val="20"/>
          <w:szCs w:val="20"/>
          <w:i w:val="1"/>
          <w:iCs w:val="1"/>
          <w:color w:val="auto"/>
          <w:vertAlign w:val="superscript"/>
        </w:rPr>
      </w:pPr>
      <w:r>
        <w:rPr>
          <w:rFonts w:ascii="Arial" w:cs="Arial" w:eastAsia="Arial" w:hAnsi="Arial"/>
          <w:sz w:val="14"/>
          <w:szCs w:val="14"/>
          <w:i w:val="1"/>
          <w:iCs w:val="1"/>
          <w:color w:val="auto"/>
        </w:rPr>
        <w:t>Excludes depreciation and amortization, which are presented separately on Sempra’s Condensed Consolidated Statements of Operations.</w:t>
      </w:r>
    </w:p>
    <w:p>
      <w:pPr>
        <w:spacing w:after="0" w:line="220" w:lineRule="exact"/>
        <w:rPr>
          <w:sz w:val="20"/>
          <w:szCs w:val="20"/>
          <w:color w:val="auto"/>
        </w:rPr>
      </w:pPr>
    </w:p>
    <w:p>
      <w:pPr>
        <w:ind w:right="480"/>
        <w:spacing w:after="0" w:line="289" w:lineRule="auto"/>
        <w:rPr>
          <w:sz w:val="20"/>
          <w:szCs w:val="20"/>
          <w:color w:val="auto"/>
        </w:rPr>
      </w:pPr>
      <w:r>
        <w:rPr>
          <w:rFonts w:ascii="Times New Roman" w:cs="Times New Roman" w:eastAsia="Times New Roman" w:hAnsi="Times New Roman"/>
          <w:sz w:val="18"/>
          <w:szCs w:val="18"/>
          <w:color w:val="auto"/>
        </w:rPr>
        <w:t>In the three months ended March 31, 2026 compared to the same period in 2025, Sempra’s revenues from energy-related businesses increased by $25 million (7%) primarily due to:</w:t>
      </w:r>
    </w:p>
    <w:p>
      <w:pPr>
        <w:spacing w:after="0" w:line="1" w:lineRule="exact"/>
        <w:rPr>
          <w:sz w:val="20"/>
          <w:szCs w:val="20"/>
          <w:color w:val="auto"/>
        </w:rPr>
      </w:pPr>
    </w:p>
    <w:p>
      <w:pPr>
        <w:ind w:left="160" w:hanging="152"/>
        <w:spacing w:after="0"/>
        <w:tabs>
          <w:tab w:leader="none" w:pos="16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$36 million from asset and supply optimization from contracts to sell natural gas and LNG to third parties, including:</w:t>
      </w:r>
    </w:p>
    <w:p>
      <w:pPr>
        <w:spacing w:after="0" w:line="63" w:lineRule="exact"/>
        <w:rPr>
          <w:rFonts w:ascii="Times New Roman" w:cs="Times New Roman" w:eastAsia="Times New Roman" w:hAnsi="Times New Roman"/>
          <w:sz w:val="18"/>
          <w:szCs w:val="18"/>
          <w:color w:val="auto"/>
        </w:rPr>
      </w:pPr>
    </w:p>
    <w:p>
      <w:pPr>
        <w:ind w:left="180" w:right="1400" w:hanging="10"/>
        <w:spacing w:after="0" w:line="297" w:lineRule="auto"/>
        <w:tabs>
          <w:tab w:leader="none" w:pos="338" w:val="left"/>
        </w:tabs>
        <w:numPr>
          <w:ilvl w:val="1"/>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$80 million from $13 million unrealized gains in 2026 compared to $67 million unrealized losses in 2025 on commodity derivatives Offset by:</w:t>
      </w:r>
    </w:p>
    <w:p>
      <w:pPr>
        <w:ind w:left="320" w:hanging="150"/>
        <w:spacing w:after="0"/>
        <w:tabs>
          <w:tab w:leader="none" w:pos="320" w:val="left"/>
        </w:tabs>
        <w:numPr>
          <w:ilvl w:val="1"/>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$41 million driven by lower natural gas prices associated with optimization of transport and storage contracts</w:t>
      </w:r>
    </w:p>
    <w:p>
      <w:pPr>
        <w:spacing w:after="0" w:line="320" w:lineRule="exact"/>
        <w:rPr>
          <w:sz w:val="20"/>
          <w:szCs w:val="20"/>
          <w:color w:val="auto"/>
        </w:rPr>
      </w:pPr>
    </w:p>
    <w:p>
      <w:pPr>
        <w:ind w:left="180" w:right="640" w:hanging="172"/>
        <w:spacing w:after="0" w:line="266" w:lineRule="auto"/>
        <w:tabs>
          <w:tab w:leader="none" w:pos="176"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$19 million revenues in 2025 driven by a contract modification in December 2024 on an LNG storage and regasification agreement that ended in December 2025</w:t>
      </w:r>
    </w:p>
    <w:p>
      <w:pPr>
        <w:spacing w:after="0" w:line="122"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In the three months ended March 31, 2026 compared to the same period in 2025, Sempra’s cost of sales from energy-related businesses decreased by $43 million (36%) primarily due to:</w:t>
      </w:r>
    </w:p>
    <w:p>
      <w:pPr>
        <w:spacing w:after="0" w:line="13" w:lineRule="exact"/>
        <w:rPr>
          <w:sz w:val="20"/>
          <w:szCs w:val="20"/>
          <w:color w:val="auto"/>
        </w:rPr>
      </w:pPr>
    </w:p>
    <w:p>
      <w:pPr>
        <w:ind w:right="4580" w:firstLine="8"/>
        <w:spacing w:after="0" w:line="297" w:lineRule="auto"/>
        <w:tabs>
          <w:tab w:leader="none" w:pos="158"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$60 million driven by lower natural gas purchases related to asset and supply optimization Offset by:</w:t>
      </w:r>
    </w:p>
    <w:p>
      <w:pPr>
        <w:ind w:left="160" w:hanging="152"/>
        <w:spacing w:after="0"/>
        <w:tabs>
          <w:tab w:leader="none" w:pos="16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$22 million unrealized losses in 2026 on commodity derivatives related to the PA LNG Phase 1 project</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Operation and Maintenance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93980</wp:posOffset>
            </wp:positionV>
            <wp:extent cx="7132320" cy="3003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32320" cy="300355"/>
                    </a:xfrm>
                    <a:prstGeom prst="rect">
                      <a:avLst/>
                    </a:prstGeom>
                    <a:noFill/>
                  </pic:spPr>
                </pic:pic>
              </a:graphicData>
            </a:graphic>
          </wp:anchor>
        </w:drawing>
      </w:r>
    </w:p>
    <w:p>
      <w:pPr>
        <w:spacing w:after="0" w:line="141"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FFFFFF"/>
        </w:rPr>
        <w:t>OPERATION AND MAINTENANCE</w:t>
      </w:r>
    </w:p>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8080" w:type="dxa"/>
            <w:vAlign w:val="bottom"/>
          </w:tcPr>
          <w:p>
            <w:pPr>
              <w:ind w:left="20"/>
              <w:spacing w:after="0"/>
              <w:rPr>
                <w:sz w:val="20"/>
                <w:szCs w:val="20"/>
                <w:color w:val="auto"/>
              </w:rPr>
            </w:pPr>
            <w:r>
              <w:rPr>
                <w:rFonts w:ascii="Arial" w:cs="Arial" w:eastAsia="Arial" w:hAnsi="Arial"/>
                <w:sz w:val="14"/>
                <w:szCs w:val="14"/>
                <w:i w:val="1"/>
                <w:iCs w:val="1"/>
                <w:color w:val="FFFFFF"/>
              </w:rPr>
              <w:t>(Dollars in millions)</w:t>
            </w:r>
          </w:p>
        </w:tc>
        <w:tc>
          <w:tcPr>
            <w:tcW w:w="9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520" w:type="dxa"/>
            <w:vAlign w:val="bottom"/>
          </w:tcPr>
          <w:p>
            <w:pPr>
              <w:spacing w:after="0"/>
              <w:rPr>
                <w:sz w:val="16"/>
                <w:szCs w:val="16"/>
                <w:color w:val="auto"/>
              </w:rPr>
            </w:pPr>
          </w:p>
        </w:tc>
      </w:tr>
      <w:tr>
        <w:trPr>
          <w:trHeight w:val="233"/>
        </w:trPr>
        <w:tc>
          <w:tcPr>
            <w:tcW w:w="8080" w:type="dxa"/>
            <w:vAlign w:val="bottom"/>
          </w:tcPr>
          <w:p>
            <w:pPr>
              <w:spacing w:after="0"/>
              <w:rPr>
                <w:sz w:val="20"/>
                <w:szCs w:val="20"/>
                <w:color w:val="auto"/>
              </w:rPr>
            </w:pPr>
          </w:p>
        </w:tc>
        <w:tc>
          <w:tcPr>
            <w:tcW w:w="26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color w:val="auto"/>
              </w:rPr>
              <w:t>Three months ended March 31,</w:t>
            </w:r>
          </w:p>
        </w:tc>
        <w:tc>
          <w:tcPr>
            <w:tcW w:w="520" w:type="dxa"/>
            <w:vAlign w:val="bottom"/>
            <w:tcBorders>
              <w:bottom w:val="single" w:sz="8" w:color="auto"/>
            </w:tcBorders>
          </w:tcPr>
          <w:p>
            <w:pPr>
              <w:spacing w:after="0"/>
              <w:rPr>
                <w:sz w:val="20"/>
                <w:szCs w:val="20"/>
                <w:color w:val="auto"/>
              </w:rPr>
            </w:pPr>
          </w:p>
        </w:tc>
      </w:tr>
      <w:tr>
        <w:trPr>
          <w:trHeight w:val="210"/>
        </w:trPr>
        <w:tc>
          <w:tcPr>
            <w:tcW w:w="80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2026</w:t>
            </w:r>
          </w:p>
        </w:tc>
        <w:tc>
          <w:tcPr>
            <w:tcW w:w="5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2"/>
              <w:spacing w:after="0"/>
              <w:rPr>
                <w:sz w:val="20"/>
                <w:szCs w:val="20"/>
                <w:color w:val="auto"/>
              </w:rPr>
            </w:pPr>
            <w:r>
              <w:rPr>
                <w:rFonts w:ascii="Arial" w:cs="Arial" w:eastAsia="Arial" w:hAnsi="Arial"/>
                <w:sz w:val="14"/>
                <w:szCs w:val="14"/>
                <w:color w:val="auto"/>
              </w:rPr>
              <w:t>2025</w:t>
            </w:r>
          </w:p>
        </w:tc>
        <w:tc>
          <w:tcPr>
            <w:tcW w:w="520" w:type="dxa"/>
            <w:vAlign w:val="bottom"/>
            <w:tcBorders>
              <w:bottom w:val="single" w:sz="8" w:color="auto"/>
            </w:tcBorders>
          </w:tcPr>
          <w:p>
            <w:pPr>
              <w:spacing w:after="0"/>
              <w:rPr>
                <w:sz w:val="18"/>
                <w:szCs w:val="18"/>
                <w:color w:val="auto"/>
              </w:rPr>
            </w:pPr>
          </w:p>
        </w:tc>
      </w:tr>
      <w:tr>
        <w:trPr>
          <w:trHeight w:val="213"/>
        </w:trPr>
        <w:tc>
          <w:tcPr>
            <w:tcW w:w="8080" w:type="dxa"/>
            <w:vAlign w:val="bottom"/>
            <w:shd w:val="clear" w:color="auto" w:fill="D4F1F5"/>
          </w:tcPr>
          <w:p>
            <w:pPr>
              <w:ind w:left="20"/>
              <w:spacing w:after="0"/>
              <w:rPr>
                <w:sz w:val="20"/>
                <w:szCs w:val="20"/>
                <w:color w:val="auto"/>
              </w:rPr>
            </w:pPr>
            <w:r>
              <w:rPr>
                <w:rFonts w:ascii="Arial" w:cs="Arial" w:eastAsia="Arial" w:hAnsi="Arial"/>
                <w:sz w:val="16"/>
                <w:szCs w:val="16"/>
                <w:b w:val="1"/>
                <w:bCs w:val="1"/>
                <w:color w:val="auto"/>
              </w:rPr>
              <w:t>Sempra:</w:t>
            </w:r>
          </w:p>
        </w:tc>
        <w:tc>
          <w:tcPr>
            <w:tcW w:w="980" w:type="dxa"/>
            <w:vAlign w:val="bottom"/>
            <w:shd w:val="clear" w:color="auto" w:fill="D4F1F5"/>
          </w:tcPr>
          <w:p>
            <w:pPr>
              <w:spacing w:after="0"/>
              <w:rPr>
                <w:sz w:val="18"/>
                <w:szCs w:val="18"/>
                <w:color w:val="auto"/>
              </w:rPr>
            </w:pPr>
          </w:p>
        </w:tc>
        <w:tc>
          <w:tcPr>
            <w:tcW w:w="580" w:type="dxa"/>
            <w:vAlign w:val="bottom"/>
            <w:shd w:val="clear" w:color="auto" w:fill="D4F1F5"/>
          </w:tcPr>
          <w:p>
            <w:pPr>
              <w:spacing w:after="0"/>
              <w:rPr>
                <w:sz w:val="18"/>
                <w:szCs w:val="18"/>
                <w:color w:val="auto"/>
              </w:rPr>
            </w:pPr>
          </w:p>
        </w:tc>
        <w:tc>
          <w:tcPr>
            <w:tcW w:w="1080" w:type="dxa"/>
            <w:vAlign w:val="bottom"/>
            <w:shd w:val="clear" w:color="auto" w:fill="D4F1F5"/>
          </w:tcPr>
          <w:p>
            <w:pPr>
              <w:spacing w:after="0"/>
              <w:rPr>
                <w:sz w:val="18"/>
                <w:szCs w:val="18"/>
                <w:color w:val="auto"/>
              </w:rPr>
            </w:pPr>
          </w:p>
        </w:tc>
        <w:tc>
          <w:tcPr>
            <w:tcW w:w="520" w:type="dxa"/>
            <w:vAlign w:val="bottom"/>
            <w:shd w:val="clear" w:color="auto" w:fill="D4F1F5"/>
          </w:tcPr>
          <w:p>
            <w:pPr>
              <w:spacing w:after="0"/>
              <w:rPr>
                <w:sz w:val="18"/>
                <w:szCs w:val="18"/>
                <w:color w:val="auto"/>
              </w:rPr>
            </w:pPr>
          </w:p>
        </w:tc>
      </w:tr>
      <w:tr>
        <w:trPr>
          <w:trHeight w:val="215"/>
        </w:trPr>
        <w:tc>
          <w:tcPr>
            <w:tcW w:w="8080" w:type="dxa"/>
            <w:vAlign w:val="bottom"/>
          </w:tcPr>
          <w:p>
            <w:pPr>
              <w:ind w:left="20"/>
              <w:spacing w:after="0"/>
              <w:rPr>
                <w:sz w:val="20"/>
                <w:szCs w:val="20"/>
                <w:color w:val="auto"/>
              </w:rPr>
            </w:pPr>
            <w:r>
              <w:rPr>
                <w:rFonts w:ascii="Arial" w:cs="Arial" w:eastAsia="Arial" w:hAnsi="Arial"/>
                <w:sz w:val="16"/>
                <w:szCs w:val="16"/>
                <w:color w:val="auto"/>
              </w:rPr>
              <w:t>Sempra California</w:t>
            </w:r>
          </w:p>
        </w:tc>
        <w:tc>
          <w:tcPr>
            <w:tcW w:w="980" w:type="dxa"/>
            <w:vAlign w:val="bottom"/>
          </w:tcPr>
          <w:p>
            <w:pPr>
              <w:jc w:val="right"/>
              <w:ind w:right="804"/>
              <w:spacing w:after="0"/>
              <w:rPr>
                <w:sz w:val="20"/>
                <w:szCs w:val="20"/>
                <w:color w:val="auto"/>
              </w:rPr>
            </w:pPr>
            <w:r>
              <w:rPr>
                <w:rFonts w:ascii="Arial" w:cs="Arial" w:eastAsia="Arial" w:hAnsi="Arial"/>
                <w:sz w:val="16"/>
                <w:szCs w:val="16"/>
                <w:color w:val="auto"/>
                <w:w w:val="89"/>
              </w:rPr>
              <w:t>$</w:t>
            </w:r>
          </w:p>
        </w:tc>
        <w:tc>
          <w:tcPr>
            <w:tcW w:w="580" w:type="dxa"/>
            <w:vAlign w:val="bottom"/>
          </w:tcPr>
          <w:p>
            <w:pPr>
              <w:jc w:val="right"/>
              <w:ind w:right="19"/>
              <w:spacing w:after="0"/>
              <w:rPr>
                <w:sz w:val="20"/>
                <w:szCs w:val="20"/>
                <w:color w:val="auto"/>
              </w:rPr>
            </w:pPr>
            <w:r>
              <w:rPr>
                <w:rFonts w:ascii="Arial" w:cs="Arial" w:eastAsia="Arial" w:hAnsi="Arial"/>
                <w:sz w:val="16"/>
                <w:szCs w:val="16"/>
                <w:color w:val="auto"/>
              </w:rPr>
              <w:t>1,016</w:t>
            </w:r>
          </w:p>
        </w:tc>
        <w:tc>
          <w:tcPr>
            <w:tcW w:w="1080" w:type="dxa"/>
            <w:vAlign w:val="bottom"/>
          </w:tcPr>
          <w:p>
            <w:pPr>
              <w:jc w:val="right"/>
              <w:ind w:right="822"/>
              <w:spacing w:after="0"/>
              <w:rPr>
                <w:sz w:val="20"/>
                <w:szCs w:val="20"/>
                <w:color w:val="auto"/>
              </w:rPr>
            </w:pPr>
            <w:r>
              <w:rPr>
                <w:rFonts w:ascii="Arial" w:cs="Arial" w:eastAsia="Arial" w:hAnsi="Arial"/>
                <w:sz w:val="16"/>
                <w:szCs w:val="16"/>
                <w:color w:val="auto"/>
              </w:rPr>
              <w:t>$</w:t>
            </w:r>
          </w:p>
        </w:tc>
        <w:tc>
          <w:tcPr>
            <w:tcW w:w="520" w:type="dxa"/>
            <w:vAlign w:val="bottom"/>
          </w:tcPr>
          <w:p>
            <w:pPr>
              <w:jc w:val="right"/>
              <w:spacing w:after="0"/>
              <w:rPr>
                <w:sz w:val="20"/>
                <w:szCs w:val="20"/>
                <w:color w:val="auto"/>
              </w:rPr>
            </w:pPr>
            <w:r>
              <w:rPr>
                <w:rFonts w:ascii="Arial" w:cs="Arial" w:eastAsia="Arial" w:hAnsi="Arial"/>
                <w:sz w:val="16"/>
                <w:szCs w:val="16"/>
                <w:color w:val="auto"/>
              </w:rPr>
              <w:t>1,175</w:t>
            </w:r>
          </w:p>
        </w:tc>
      </w:tr>
      <w:tr>
        <w:trPr>
          <w:trHeight w:val="217"/>
        </w:trPr>
        <w:tc>
          <w:tcPr>
            <w:tcW w:w="8080" w:type="dxa"/>
            <w:vAlign w:val="bottom"/>
            <w:shd w:val="clear" w:color="auto" w:fill="D4F1F5"/>
          </w:tcPr>
          <w:p>
            <w:pPr>
              <w:ind w:left="20"/>
              <w:spacing w:after="0"/>
              <w:rPr>
                <w:sz w:val="20"/>
                <w:szCs w:val="20"/>
                <w:color w:val="auto"/>
              </w:rPr>
            </w:pPr>
            <w:r>
              <w:rPr>
                <w:rFonts w:ascii="Arial" w:cs="Arial" w:eastAsia="Arial" w:hAnsi="Arial"/>
                <w:sz w:val="16"/>
                <w:szCs w:val="16"/>
                <w:color w:val="auto"/>
              </w:rPr>
              <w:t>Sempra Texas Utilities</w:t>
            </w:r>
          </w:p>
        </w:tc>
        <w:tc>
          <w:tcPr>
            <w:tcW w:w="980" w:type="dxa"/>
            <w:vAlign w:val="bottom"/>
            <w:shd w:val="clear" w:color="auto" w:fill="D4F1F5"/>
          </w:tcPr>
          <w:p>
            <w:pPr>
              <w:spacing w:after="0"/>
              <w:rPr>
                <w:sz w:val="18"/>
                <w:szCs w:val="18"/>
                <w:color w:val="auto"/>
              </w:rPr>
            </w:pPr>
          </w:p>
        </w:tc>
        <w:tc>
          <w:tcPr>
            <w:tcW w:w="580" w:type="dxa"/>
            <w:vAlign w:val="bottom"/>
            <w:shd w:val="clear" w:color="auto" w:fill="D4F1F5"/>
          </w:tcPr>
          <w:p>
            <w:pPr>
              <w:jc w:val="right"/>
              <w:ind w:right="19"/>
              <w:spacing w:after="0"/>
              <w:rPr>
                <w:sz w:val="20"/>
                <w:szCs w:val="20"/>
                <w:color w:val="auto"/>
              </w:rPr>
            </w:pPr>
            <w:r>
              <w:rPr>
                <w:rFonts w:ascii="Arial" w:cs="Arial" w:eastAsia="Arial" w:hAnsi="Arial"/>
                <w:sz w:val="16"/>
                <w:szCs w:val="16"/>
                <w:color w:val="auto"/>
              </w:rPr>
              <w:t>2</w:t>
            </w:r>
          </w:p>
        </w:tc>
        <w:tc>
          <w:tcPr>
            <w:tcW w:w="1080" w:type="dxa"/>
            <w:vAlign w:val="bottom"/>
            <w:shd w:val="clear" w:color="auto" w:fill="D4F1F5"/>
          </w:tcPr>
          <w:p>
            <w:pPr>
              <w:spacing w:after="0"/>
              <w:rPr>
                <w:sz w:val="18"/>
                <w:szCs w:val="18"/>
                <w:color w:val="auto"/>
              </w:rPr>
            </w:pPr>
          </w:p>
        </w:tc>
        <w:tc>
          <w:tcPr>
            <w:tcW w:w="520" w:type="dxa"/>
            <w:vAlign w:val="bottom"/>
            <w:shd w:val="clear" w:color="auto" w:fill="D4F1F5"/>
          </w:tcPr>
          <w:p>
            <w:pPr>
              <w:jc w:val="right"/>
              <w:spacing w:after="0"/>
              <w:rPr>
                <w:sz w:val="20"/>
                <w:szCs w:val="20"/>
                <w:color w:val="auto"/>
              </w:rPr>
            </w:pPr>
            <w:r>
              <w:rPr>
                <w:rFonts w:ascii="Arial" w:cs="Arial" w:eastAsia="Arial" w:hAnsi="Arial"/>
                <w:sz w:val="16"/>
                <w:szCs w:val="16"/>
                <w:color w:val="auto"/>
              </w:rPr>
              <w:t>2</w:t>
            </w:r>
          </w:p>
        </w:tc>
      </w:tr>
      <w:tr>
        <w:trPr>
          <w:trHeight w:val="215"/>
        </w:trPr>
        <w:tc>
          <w:tcPr>
            <w:tcW w:w="8080" w:type="dxa"/>
            <w:vAlign w:val="bottom"/>
            <w:tcBorders>
              <w:bottom w:val="single" w:sz="8" w:color="D4F1F5"/>
            </w:tcBorders>
          </w:tcPr>
          <w:p>
            <w:pPr>
              <w:ind w:left="20"/>
              <w:spacing w:after="0"/>
              <w:rPr>
                <w:sz w:val="20"/>
                <w:szCs w:val="20"/>
                <w:color w:val="auto"/>
              </w:rPr>
            </w:pPr>
            <w:r>
              <w:rPr>
                <w:rFonts w:ascii="Arial" w:cs="Arial" w:eastAsia="Arial" w:hAnsi="Arial"/>
                <w:sz w:val="16"/>
                <w:szCs w:val="16"/>
                <w:color w:val="auto"/>
              </w:rPr>
              <w:t>Sempra Infrastructure</w:t>
            </w:r>
          </w:p>
        </w:tc>
        <w:tc>
          <w:tcPr>
            <w:tcW w:w="98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221</w:t>
            </w:r>
          </w:p>
        </w:tc>
        <w:tc>
          <w:tcPr>
            <w:tcW w:w="108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174</w:t>
            </w:r>
          </w:p>
        </w:tc>
      </w:tr>
      <w:tr>
        <w:trPr>
          <w:trHeight w:val="210"/>
        </w:trPr>
        <w:tc>
          <w:tcPr>
            <w:tcW w:w="8080" w:type="dxa"/>
            <w:vAlign w:val="bottom"/>
            <w:shd w:val="clear" w:color="auto" w:fill="D4F1F5"/>
          </w:tcPr>
          <w:p>
            <w:pPr>
              <w:ind w:left="140"/>
              <w:spacing w:after="0"/>
              <w:rPr>
                <w:sz w:val="20"/>
                <w:szCs w:val="20"/>
                <w:color w:val="auto"/>
              </w:rPr>
            </w:pPr>
            <w:r>
              <w:rPr>
                <w:rFonts w:ascii="Arial" w:cs="Arial" w:eastAsia="Arial" w:hAnsi="Arial"/>
                <w:sz w:val="16"/>
                <w:szCs w:val="16"/>
                <w:color w:val="auto"/>
              </w:rPr>
              <w:t>Segment totals</w:t>
            </w:r>
          </w:p>
        </w:tc>
        <w:tc>
          <w:tcPr>
            <w:tcW w:w="980" w:type="dxa"/>
            <w:vAlign w:val="bottom"/>
            <w:shd w:val="clear" w:color="auto" w:fill="D4F1F5"/>
          </w:tcPr>
          <w:p>
            <w:pPr>
              <w:spacing w:after="0"/>
              <w:rPr>
                <w:sz w:val="18"/>
                <w:szCs w:val="18"/>
                <w:color w:val="auto"/>
              </w:rPr>
            </w:pPr>
          </w:p>
        </w:tc>
        <w:tc>
          <w:tcPr>
            <w:tcW w:w="580" w:type="dxa"/>
            <w:vAlign w:val="bottom"/>
            <w:shd w:val="clear" w:color="auto" w:fill="D4F1F5"/>
          </w:tcPr>
          <w:p>
            <w:pPr>
              <w:jc w:val="right"/>
              <w:ind w:right="19"/>
              <w:spacing w:after="0"/>
              <w:rPr>
                <w:sz w:val="20"/>
                <w:szCs w:val="20"/>
                <w:color w:val="auto"/>
              </w:rPr>
            </w:pPr>
            <w:r>
              <w:rPr>
                <w:rFonts w:ascii="Arial" w:cs="Arial" w:eastAsia="Arial" w:hAnsi="Arial"/>
                <w:sz w:val="16"/>
                <w:szCs w:val="16"/>
                <w:color w:val="auto"/>
              </w:rPr>
              <w:t>1,239</w:t>
            </w:r>
          </w:p>
        </w:tc>
        <w:tc>
          <w:tcPr>
            <w:tcW w:w="1080" w:type="dxa"/>
            <w:vAlign w:val="bottom"/>
            <w:shd w:val="clear" w:color="auto" w:fill="D4F1F5"/>
          </w:tcPr>
          <w:p>
            <w:pPr>
              <w:spacing w:after="0"/>
              <w:rPr>
                <w:sz w:val="18"/>
                <w:szCs w:val="18"/>
                <w:color w:val="auto"/>
              </w:rPr>
            </w:pPr>
          </w:p>
        </w:tc>
        <w:tc>
          <w:tcPr>
            <w:tcW w:w="520" w:type="dxa"/>
            <w:vAlign w:val="bottom"/>
            <w:shd w:val="clear" w:color="auto" w:fill="D4F1F5"/>
          </w:tcPr>
          <w:p>
            <w:pPr>
              <w:jc w:val="right"/>
              <w:spacing w:after="0"/>
              <w:rPr>
                <w:sz w:val="20"/>
                <w:szCs w:val="20"/>
                <w:color w:val="auto"/>
              </w:rPr>
            </w:pPr>
            <w:r>
              <w:rPr>
                <w:rFonts w:ascii="Arial" w:cs="Arial" w:eastAsia="Arial" w:hAnsi="Arial"/>
                <w:sz w:val="16"/>
                <w:szCs w:val="16"/>
                <w:color w:val="auto"/>
              </w:rPr>
              <w:t>1,351</w:t>
            </w:r>
          </w:p>
        </w:tc>
      </w:tr>
      <w:tr>
        <w:trPr>
          <w:trHeight w:val="216"/>
        </w:trPr>
        <w:tc>
          <w:tcPr>
            <w:tcW w:w="8080" w:type="dxa"/>
            <w:vAlign w:val="bottom"/>
            <w:tcBorders>
              <w:bottom w:val="single" w:sz="8" w:color="D4F1F5"/>
            </w:tcBorders>
          </w:tcPr>
          <w:p>
            <w:pPr>
              <w:ind w:left="20"/>
              <w:spacing w:after="0" w:line="216" w:lineRule="exact"/>
              <w:rPr>
                <w:sz w:val="20"/>
                <w:szCs w:val="20"/>
                <w:color w:val="auto"/>
              </w:rPr>
            </w:pPr>
            <w:r>
              <w:rPr>
                <w:rFonts w:ascii="Arial" w:cs="Arial" w:eastAsia="Arial" w:hAnsi="Arial"/>
                <w:sz w:val="16"/>
                <w:szCs w:val="16"/>
                <w:color w:val="auto"/>
              </w:rPr>
              <w:t>Parent and other</w:t>
            </w:r>
            <w:r>
              <w:rPr>
                <w:rFonts w:ascii="Arial" w:cs="Arial" w:eastAsia="Arial" w:hAnsi="Arial"/>
                <w:sz w:val="21"/>
                <w:szCs w:val="21"/>
                <w:color w:val="auto"/>
                <w:vertAlign w:val="superscript"/>
              </w:rPr>
              <w:t>(1)</w:t>
            </w:r>
          </w:p>
        </w:tc>
        <w:tc>
          <w:tcPr>
            <w:tcW w:w="98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w:t>
            </w:r>
          </w:p>
        </w:tc>
        <w:tc>
          <w:tcPr>
            <w:tcW w:w="108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w:t>
            </w:r>
          </w:p>
        </w:tc>
      </w:tr>
      <w:tr>
        <w:trPr>
          <w:trHeight w:val="216"/>
        </w:trPr>
        <w:tc>
          <w:tcPr>
            <w:tcW w:w="8080" w:type="dxa"/>
            <w:vAlign w:val="bottom"/>
            <w:tcBorders>
              <w:bottom w:val="single" w:sz="8" w:color="auto"/>
            </w:tcBorders>
            <w:shd w:val="clear" w:color="auto" w:fill="D4F1F5"/>
          </w:tcPr>
          <w:p>
            <w:pPr>
              <w:ind w:left="140"/>
              <w:spacing w:after="0"/>
              <w:rPr>
                <w:sz w:val="20"/>
                <w:szCs w:val="20"/>
                <w:color w:val="auto"/>
              </w:rPr>
            </w:pPr>
            <w:r>
              <w:rPr>
                <w:rFonts w:ascii="Arial" w:cs="Arial" w:eastAsia="Arial" w:hAnsi="Arial"/>
                <w:sz w:val="16"/>
                <w:szCs w:val="16"/>
                <w:color w:val="auto"/>
              </w:rPr>
              <w:t>Total</w:t>
            </w:r>
          </w:p>
        </w:tc>
        <w:tc>
          <w:tcPr>
            <w:tcW w:w="980" w:type="dxa"/>
            <w:vAlign w:val="bottom"/>
            <w:tcBorders>
              <w:bottom w:val="single" w:sz="8" w:color="auto"/>
            </w:tcBorders>
            <w:shd w:val="clear" w:color="auto" w:fill="D4F1F5"/>
          </w:tcPr>
          <w:p>
            <w:pPr>
              <w:jc w:val="right"/>
              <w:ind w:right="804"/>
              <w:spacing w:after="0"/>
              <w:rPr>
                <w:sz w:val="20"/>
                <w:szCs w:val="20"/>
                <w:color w:val="auto"/>
              </w:rPr>
            </w:pPr>
            <w:r>
              <w:rPr>
                <w:rFonts w:ascii="Arial" w:cs="Arial" w:eastAsia="Arial" w:hAnsi="Arial"/>
                <w:sz w:val="16"/>
                <w:szCs w:val="16"/>
                <w:color w:val="auto"/>
                <w:w w:val="89"/>
              </w:rPr>
              <w:t>$</w:t>
            </w:r>
          </w:p>
        </w:tc>
        <w:tc>
          <w:tcPr>
            <w:tcW w:w="580" w:type="dxa"/>
            <w:vAlign w:val="bottom"/>
            <w:tcBorders>
              <w:bottom w:val="single" w:sz="8" w:color="auto"/>
            </w:tcBorders>
            <w:shd w:val="clear" w:color="auto" w:fill="D4F1F5"/>
          </w:tcPr>
          <w:p>
            <w:pPr>
              <w:jc w:val="right"/>
              <w:ind w:right="19"/>
              <w:spacing w:after="0"/>
              <w:rPr>
                <w:sz w:val="20"/>
                <w:szCs w:val="20"/>
                <w:color w:val="auto"/>
              </w:rPr>
            </w:pPr>
            <w:r>
              <w:rPr>
                <w:rFonts w:ascii="Arial" w:cs="Arial" w:eastAsia="Arial" w:hAnsi="Arial"/>
                <w:sz w:val="16"/>
                <w:szCs w:val="16"/>
                <w:color w:val="auto"/>
              </w:rPr>
              <w:t>1,242</w:t>
            </w:r>
          </w:p>
        </w:tc>
        <w:tc>
          <w:tcPr>
            <w:tcW w:w="1080" w:type="dxa"/>
            <w:vAlign w:val="bottom"/>
            <w:tcBorders>
              <w:bottom w:val="single" w:sz="8" w:color="auto"/>
            </w:tcBorders>
            <w:shd w:val="clear" w:color="auto" w:fill="D4F1F5"/>
          </w:tcPr>
          <w:p>
            <w:pPr>
              <w:jc w:val="right"/>
              <w:ind w:right="822"/>
              <w:spacing w:after="0"/>
              <w:rPr>
                <w:sz w:val="20"/>
                <w:szCs w:val="20"/>
                <w:color w:val="auto"/>
              </w:rPr>
            </w:pPr>
            <w:r>
              <w:rPr>
                <w:rFonts w:ascii="Arial" w:cs="Arial" w:eastAsia="Arial" w:hAnsi="Arial"/>
                <w:sz w:val="16"/>
                <w:szCs w:val="16"/>
                <w:color w:val="auto"/>
              </w:rPr>
              <w:t>$</w:t>
            </w:r>
          </w:p>
        </w:tc>
        <w:tc>
          <w:tcPr>
            <w:tcW w:w="520" w:type="dxa"/>
            <w:vAlign w:val="bottom"/>
            <w:tcBorders>
              <w:bottom w:val="single" w:sz="8" w:color="auto"/>
            </w:tcBorders>
            <w:shd w:val="clear" w:color="auto" w:fill="D4F1F5"/>
          </w:tcPr>
          <w:p>
            <w:pPr>
              <w:jc w:val="right"/>
              <w:spacing w:after="0"/>
              <w:rPr>
                <w:sz w:val="20"/>
                <w:szCs w:val="20"/>
                <w:color w:val="auto"/>
              </w:rPr>
            </w:pPr>
            <w:r>
              <w:rPr>
                <w:rFonts w:ascii="Arial" w:cs="Arial" w:eastAsia="Arial" w:hAnsi="Arial"/>
                <w:sz w:val="16"/>
                <w:szCs w:val="16"/>
                <w:color w:val="auto"/>
              </w:rPr>
              <w:t>1,343</w:t>
            </w:r>
          </w:p>
        </w:tc>
      </w:tr>
    </w:tbl>
    <w:p>
      <w:pPr>
        <w:spacing w:after="0" w:line="75" w:lineRule="exact"/>
        <w:rPr>
          <w:sz w:val="20"/>
          <w:szCs w:val="20"/>
          <w:color w:val="auto"/>
        </w:rPr>
      </w:pPr>
    </w:p>
    <w:p>
      <w:pPr>
        <w:ind w:left="240" w:hanging="232"/>
        <w:spacing w:after="0"/>
        <w:tabs>
          <w:tab w:leader="none" w:pos="240" w:val="left"/>
        </w:tabs>
        <w:numPr>
          <w:ilvl w:val="0"/>
          <w:numId w:val="67"/>
        </w:numPr>
        <w:rPr>
          <w:rFonts w:ascii="Arial" w:cs="Arial" w:eastAsia="Arial" w:hAnsi="Arial"/>
          <w:sz w:val="21"/>
          <w:szCs w:val="21"/>
          <w:i w:val="1"/>
          <w:iCs w:val="1"/>
          <w:color w:val="auto"/>
          <w:vertAlign w:val="superscript"/>
        </w:rPr>
      </w:pPr>
      <w:r>
        <w:rPr>
          <w:rFonts w:ascii="Arial" w:cs="Arial" w:eastAsia="Arial" w:hAnsi="Arial"/>
          <w:sz w:val="14"/>
          <w:szCs w:val="14"/>
          <w:i w:val="1"/>
          <w:iCs w:val="1"/>
          <w:color w:val="auto"/>
        </w:rPr>
        <w:t>Includes eliminations of intercompany activity.</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the three months ended March 31, 2026 compared to the same period in 2025, Sempra’s O&amp;M decreased by $101 million (8%) due to:</w:t>
      </w:r>
    </w:p>
    <w:p>
      <w:pPr>
        <w:spacing w:after="0" w:line="77" w:lineRule="exact"/>
        <w:rPr>
          <w:sz w:val="20"/>
          <w:szCs w:val="20"/>
          <w:color w:val="auto"/>
        </w:rPr>
      </w:pPr>
    </w:p>
    <w:p>
      <w:pPr>
        <w:ind w:left="180" w:right="720" w:hanging="172"/>
        <w:spacing w:after="0" w:line="266" w:lineRule="auto"/>
        <w:tabs>
          <w:tab w:leader="none" w:pos="176"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$159 million decrease at Sempra California primarily due to $155 million lower expenses associated with refundable programs, which costs are recovered in revenue</w:t>
      </w:r>
    </w:p>
    <w:p>
      <w:pPr>
        <w:spacing w:after="0" w:line="270" w:lineRule="exact"/>
        <w:rPr>
          <w:sz w:val="20"/>
          <w:szCs w:val="20"/>
          <w:color w:val="auto"/>
        </w:rPr>
      </w:pPr>
    </w:p>
    <w:p>
      <w:pPr>
        <w:ind w:left="220" w:hanging="212"/>
        <w:spacing w:after="0"/>
        <w:tabs>
          <w:tab w:leader="none" w:pos="22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$47 million increase at Sempra Infrastructure due to:</w:t>
      </w:r>
    </w:p>
    <w:p>
      <w:pPr>
        <w:spacing w:after="0" w:line="49" w:lineRule="exact"/>
        <w:rPr>
          <w:rFonts w:ascii="Times New Roman" w:cs="Times New Roman" w:eastAsia="Times New Roman" w:hAnsi="Times New Roman"/>
          <w:sz w:val="18"/>
          <w:szCs w:val="18"/>
          <w:color w:val="auto"/>
        </w:rPr>
      </w:pPr>
    </w:p>
    <w:p>
      <w:pPr>
        <w:ind w:left="320" w:hanging="150"/>
        <w:spacing w:after="0"/>
        <w:tabs>
          <w:tab w:leader="none" w:pos="320" w:val="left"/>
        </w:tabs>
        <w:numPr>
          <w:ilvl w:val="1"/>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$22 million from changes in provisions for expected credit losses</w:t>
      </w:r>
    </w:p>
    <w:p>
      <w:pPr>
        <w:spacing w:after="0" w:line="49" w:lineRule="exact"/>
        <w:rPr>
          <w:rFonts w:ascii="Times New Roman" w:cs="Times New Roman" w:eastAsia="Times New Roman" w:hAnsi="Times New Roman"/>
          <w:sz w:val="18"/>
          <w:szCs w:val="18"/>
          <w:color w:val="auto"/>
        </w:rPr>
      </w:pPr>
    </w:p>
    <w:p>
      <w:pPr>
        <w:ind w:left="320" w:hanging="150"/>
        <w:spacing w:after="0"/>
        <w:tabs>
          <w:tab w:leader="none" w:pos="320" w:val="left"/>
        </w:tabs>
        <w:numPr>
          <w:ilvl w:val="1"/>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$18 million higher purchased services and maintenance expenses</w:t>
      </w:r>
    </w:p>
    <w:p>
      <w:pPr>
        <w:spacing w:after="0" w:line="63" w:lineRule="exact"/>
        <w:rPr>
          <w:rFonts w:ascii="Times New Roman" w:cs="Times New Roman" w:eastAsia="Times New Roman" w:hAnsi="Times New Roman"/>
          <w:sz w:val="18"/>
          <w:szCs w:val="18"/>
          <w:color w:val="auto"/>
        </w:rPr>
      </w:pPr>
    </w:p>
    <w:p>
      <w:pPr>
        <w:ind w:left="180" w:right="3080" w:hanging="10"/>
        <w:spacing w:after="0" w:line="297" w:lineRule="auto"/>
        <w:tabs>
          <w:tab w:leader="none" w:pos="338" w:val="left"/>
        </w:tabs>
        <w:numPr>
          <w:ilvl w:val="1"/>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$17 million higher development costs and certain non-capitalized expenses from projects under construction Offset by:</w:t>
      </w:r>
    </w:p>
    <w:p>
      <w:pPr>
        <w:ind w:left="320" w:hanging="150"/>
        <w:spacing w:after="0"/>
        <w:tabs>
          <w:tab w:leader="none" w:pos="320" w:val="left"/>
        </w:tabs>
        <w:numPr>
          <w:ilvl w:val="1"/>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$14 million related to 2025 expected credit losses on a credit support agreement with a third-party financial institution and associated transaction fees</w:t>
      </w:r>
    </w:p>
    <w:p>
      <w:pPr>
        <w:spacing w:after="0" w:line="63" w:lineRule="exact"/>
        <w:rPr>
          <w:rFonts w:ascii="Times New Roman" w:cs="Times New Roman" w:eastAsia="Times New Roman" w:hAnsi="Times New Roman"/>
          <w:sz w:val="18"/>
          <w:szCs w:val="18"/>
          <w:color w:val="auto"/>
        </w:rPr>
      </w:pPr>
    </w:p>
    <w:p>
      <w:pPr>
        <w:ind w:left="180" w:right="140" w:hanging="172"/>
        <w:spacing w:after="0" w:line="266" w:lineRule="auto"/>
        <w:tabs>
          <w:tab w:leader="none" w:pos="176"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$11 million increase at Parent and other due to a $16 million change in deferred compensation from $7 million expense in 2026 compared to $9 million benefit in 2025</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Depreciation and Amortization</w:t>
      </w:r>
    </w:p>
    <w:p>
      <w:pPr>
        <w:spacing w:after="0" w:line="49" w:lineRule="exact"/>
        <w:rPr>
          <w:sz w:val="20"/>
          <w:szCs w:val="20"/>
          <w:color w:val="auto"/>
        </w:rPr>
      </w:pPr>
    </w:p>
    <w:p>
      <w:pPr>
        <w:ind w:right="40"/>
        <w:spacing w:after="0" w:line="297" w:lineRule="auto"/>
        <w:rPr>
          <w:sz w:val="20"/>
          <w:szCs w:val="20"/>
          <w:color w:val="auto"/>
        </w:rPr>
      </w:pPr>
      <w:r>
        <w:rPr>
          <w:rFonts w:ascii="Times New Roman" w:cs="Times New Roman" w:eastAsia="Times New Roman" w:hAnsi="Times New Roman"/>
          <w:sz w:val="18"/>
          <w:szCs w:val="18"/>
          <w:color w:val="auto"/>
        </w:rPr>
        <w:t>In the three months ended March 31, 2026 compared to the same period in 2025, Sempra’s depreciation and amortization decreased by $19 million (3%) to $621 million primarily due to:</w:t>
      </w:r>
    </w:p>
    <w:p>
      <w:pPr>
        <w:spacing w:after="0" w:line="1" w:lineRule="exact"/>
        <w:rPr>
          <w:sz w:val="20"/>
          <w:szCs w:val="20"/>
          <w:color w:val="auto"/>
        </w:rPr>
      </w:pPr>
    </w:p>
    <w:p>
      <w:pPr>
        <w:ind w:left="180" w:right="820" w:hanging="172"/>
        <w:spacing w:after="0" w:line="266" w:lineRule="auto"/>
        <w:tabs>
          <w:tab w:leader="none" w:pos="176"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$73 million lower at Sempra Infrastructure as a result of classifying SI Partners and Ecogas as held for sale in September 2025 and June 2025, respectively</w:t>
      </w:r>
    </w:p>
    <w:p>
      <w:pPr>
        <w:spacing w:after="0"/>
        <w:rPr>
          <w:sz w:val="20"/>
          <w:szCs w:val="20"/>
          <w:color w:val="auto"/>
        </w:rPr>
      </w:pPr>
      <w:r>
        <w:rPr>
          <w:rFonts w:ascii="Times New Roman" w:cs="Times New Roman" w:eastAsia="Times New Roman" w:hAnsi="Times New Roman"/>
          <w:sz w:val="18"/>
          <w:szCs w:val="18"/>
          <w:color w:val="auto"/>
        </w:rPr>
        <w:t>Offset by:</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$55 million higher at Sempra California due to higher utility plant rate base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Other Income, Net</w:t>
      </w:r>
    </w:p>
    <w:p>
      <w:pPr>
        <w:spacing w:after="0" w:line="49" w:lineRule="exact"/>
        <w:rPr>
          <w:sz w:val="20"/>
          <w:szCs w:val="20"/>
          <w:color w:val="auto"/>
        </w:rPr>
      </w:pPr>
    </w:p>
    <w:p>
      <w:pPr>
        <w:ind w:right="520"/>
        <w:spacing w:after="0" w:line="289" w:lineRule="auto"/>
        <w:rPr>
          <w:sz w:val="20"/>
          <w:szCs w:val="20"/>
          <w:color w:val="auto"/>
        </w:rPr>
      </w:pPr>
      <w:r>
        <w:rPr>
          <w:rFonts w:ascii="Times New Roman" w:cs="Times New Roman" w:eastAsia="Times New Roman" w:hAnsi="Times New Roman"/>
          <w:sz w:val="18"/>
          <w:szCs w:val="18"/>
          <w:color w:val="auto"/>
        </w:rPr>
        <w:t>In the three months ended March 31, 2026 compared to the same period in 2025, Sempra’s other income, net, increased by $9 million (10%) to $100 million primarily due to:</w:t>
      </w:r>
    </w:p>
    <w:p>
      <w:pPr>
        <w:spacing w:after="0" w:line="1" w:lineRule="exact"/>
        <w:rPr>
          <w:sz w:val="20"/>
          <w:szCs w:val="20"/>
          <w:color w:val="auto"/>
        </w:rPr>
      </w:pPr>
    </w:p>
    <w:p>
      <w:pPr>
        <w:ind w:left="160" w:hanging="152"/>
        <w:spacing w:after="0"/>
        <w:tabs>
          <w:tab w:leader="none" w:pos="16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 million higher non-service components of net periodic benefit cost at Sempra California</w:t>
      </w:r>
    </w:p>
    <w:p>
      <w:pPr>
        <w:spacing w:after="0" w:line="63" w:lineRule="exact"/>
        <w:rPr>
          <w:rFonts w:ascii="Times New Roman" w:cs="Times New Roman" w:eastAsia="Times New Roman" w:hAnsi="Times New Roman"/>
          <w:sz w:val="18"/>
          <w:szCs w:val="18"/>
          <w:color w:val="auto"/>
        </w:rPr>
      </w:pPr>
    </w:p>
    <w:p>
      <w:pPr>
        <w:ind w:left="180" w:right="500" w:hanging="172"/>
        <w:spacing w:after="0" w:line="266" w:lineRule="auto"/>
        <w:tabs>
          <w:tab w:leader="none" w:pos="176"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 million higher net gains from impacts associated with foreign exchange instruments and foreign currency transactions at Sempra Infrastructure, including:</w:t>
      </w:r>
    </w:p>
    <w:p>
      <w:pPr>
        <w:ind w:left="180" w:right="3540" w:hanging="10"/>
        <w:spacing w:after="0" w:line="305" w:lineRule="auto"/>
        <w:tabs>
          <w:tab w:leader="none" w:pos="338"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 million gains in 2026 on foreign currency derivatives as a result of fluctuation of the Mexican peso Offset by:</w:t>
      </w:r>
    </w:p>
    <w:p>
      <w:pPr>
        <w:ind w:left="320" w:hanging="150"/>
        <w:spacing w:after="0"/>
        <w:tabs>
          <w:tab w:leader="none" w:pos="32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 million from a $1 million loss in 2026 compared to $4 million gains in 2025 driven by foreign currency transactional effects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Interest Expense</w:t>
      </w:r>
    </w:p>
    <w:p>
      <w:pPr>
        <w:spacing w:after="0" w:line="49" w:lineRule="exact"/>
        <w:rPr>
          <w:sz w:val="20"/>
          <w:szCs w:val="20"/>
          <w:color w:val="auto"/>
        </w:rPr>
      </w:pPr>
    </w:p>
    <w:p>
      <w:pPr>
        <w:ind w:right="540"/>
        <w:spacing w:after="0" w:line="289" w:lineRule="auto"/>
        <w:rPr>
          <w:sz w:val="20"/>
          <w:szCs w:val="20"/>
          <w:color w:val="auto"/>
        </w:rPr>
      </w:pPr>
      <w:r>
        <w:rPr>
          <w:rFonts w:ascii="Times New Roman" w:cs="Times New Roman" w:eastAsia="Times New Roman" w:hAnsi="Times New Roman"/>
          <w:sz w:val="18"/>
          <w:szCs w:val="18"/>
          <w:color w:val="auto"/>
        </w:rPr>
        <w:t>In the three months ended March 31, 2026 compared to the same period in 2025, Sempra’s interest expense decreased by $51 million (12%) to $382 million due to:</w:t>
      </w:r>
    </w:p>
    <w:p>
      <w:pPr>
        <w:spacing w:after="0" w:line="1" w:lineRule="exact"/>
        <w:rPr>
          <w:sz w:val="20"/>
          <w:szCs w:val="20"/>
          <w:color w:val="auto"/>
        </w:rPr>
      </w:pPr>
    </w:p>
    <w:p>
      <w:pPr>
        <w:ind w:left="160" w:hanging="152"/>
        <w:spacing w:after="0"/>
        <w:tabs>
          <w:tab w:leader="none" w:pos="16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$87 million at Sempra Infrastructure from:</w:t>
      </w:r>
    </w:p>
    <w:p>
      <w:pPr>
        <w:spacing w:after="0" w:line="63" w:lineRule="exact"/>
        <w:rPr>
          <w:rFonts w:ascii="Times New Roman" w:cs="Times New Roman" w:eastAsia="Times New Roman" w:hAnsi="Times New Roman"/>
          <w:sz w:val="18"/>
          <w:szCs w:val="18"/>
          <w:color w:val="auto"/>
        </w:rPr>
      </w:pPr>
    </w:p>
    <w:p>
      <w:pPr>
        <w:ind w:left="1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$74 million favorable impact in interest expense from interest rate swaps related to the PA LNG Phase 1 project comprised of:</w:t>
      </w:r>
    </w:p>
    <w:p>
      <w:pPr>
        <w:spacing w:after="0" w:line="50" w:lineRule="exact"/>
        <w:rPr>
          <w:sz w:val="20"/>
          <w:szCs w:val="20"/>
          <w:color w:val="auto"/>
        </w:rPr>
      </w:pPr>
    </w:p>
    <w:p>
      <w:pPr>
        <w:ind w:left="340" w:right="3420" w:hanging="8"/>
        <w:spacing w:after="0" w:line="305" w:lineRule="auto"/>
        <w:tabs>
          <w:tab w:leader="none" w:pos="497"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$84 million realized gains in 2026 from the termination of interest rate swaps, net of transaction costs Offset by:</w:t>
      </w:r>
    </w:p>
    <w:p>
      <w:pPr>
        <w:ind w:left="480" w:hanging="148"/>
        <w:spacing w:after="0"/>
        <w:tabs>
          <w:tab w:leader="none" w:pos="48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 million higher unrealized losses</w:t>
      </w:r>
    </w:p>
    <w:p>
      <w:pPr>
        <w:spacing w:after="0" w:line="306" w:lineRule="exact"/>
        <w:rPr>
          <w:sz w:val="20"/>
          <w:szCs w:val="20"/>
          <w:color w:val="auto"/>
        </w:rPr>
      </w:pPr>
    </w:p>
    <w:p>
      <w:pPr>
        <w:ind w:left="160" w:hanging="152"/>
        <w:spacing w:after="0"/>
        <w:tabs>
          <w:tab w:leader="none" w:pos="16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$19 million at Sempra California from higher debt balances from debt issuances</w:t>
      </w:r>
    </w:p>
    <w:p>
      <w:pPr>
        <w:spacing w:after="0" w:line="63" w:lineRule="exact"/>
        <w:rPr>
          <w:rFonts w:ascii="Times New Roman" w:cs="Times New Roman" w:eastAsia="Times New Roman" w:hAnsi="Times New Roman"/>
          <w:sz w:val="18"/>
          <w:szCs w:val="18"/>
          <w:color w:val="auto"/>
        </w:rPr>
      </w:pPr>
    </w:p>
    <w:p>
      <w:pPr>
        <w:ind w:left="180" w:hanging="172"/>
        <w:spacing w:after="0" w:line="266" w:lineRule="auto"/>
        <w:tabs>
          <w:tab w:leader="none" w:pos="176"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$17 million at Parent and other from higher debt balances from debt issuances and higher borrowings on commercial paper offset by higher capitalization of interest expense in 2026 from projects under construction at Sempra Infrastructure</w:t>
      </w:r>
    </w:p>
    <w:p>
      <w:pPr>
        <w:spacing w:after="0" w:line="200" w:lineRule="exact"/>
        <w:rPr>
          <w:sz w:val="20"/>
          <w:szCs w:val="20"/>
          <w:color w:val="auto"/>
        </w:rPr>
      </w:pPr>
    </w:p>
    <w:p>
      <w:pPr>
        <w:spacing w:after="0" w:line="3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Income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93980</wp:posOffset>
            </wp:positionV>
            <wp:extent cx="7132320" cy="3003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32320" cy="300355"/>
                    </a:xfrm>
                    <a:prstGeom prst="rect">
                      <a:avLst/>
                    </a:prstGeom>
                    <a:noFill/>
                  </pic:spPr>
                </pic:pic>
              </a:graphicData>
            </a:graphic>
          </wp:anchor>
        </w:drawing>
      </w:r>
    </w:p>
    <w:p>
      <w:pPr>
        <w:spacing w:after="0" w:line="141" w:lineRule="exact"/>
        <w:rPr>
          <w:sz w:val="20"/>
          <w:szCs w:val="20"/>
          <w:color w:val="auto"/>
        </w:rPr>
      </w:pPr>
    </w:p>
    <w:p>
      <w:pPr>
        <w:ind w:left="20" w:right="5580"/>
        <w:spacing w:after="0" w:line="311" w:lineRule="auto"/>
        <w:rPr>
          <w:sz w:val="20"/>
          <w:szCs w:val="20"/>
          <w:color w:val="auto"/>
        </w:rPr>
      </w:pPr>
      <w:r>
        <w:rPr>
          <w:rFonts w:ascii="Arial" w:cs="Arial" w:eastAsia="Arial" w:hAnsi="Arial"/>
          <w:sz w:val="16"/>
          <w:szCs w:val="16"/>
          <w:b w:val="1"/>
          <w:bCs w:val="1"/>
          <w:color w:val="FFFFFF"/>
        </w:rPr>
        <w:t xml:space="preserve">INCOME TAX EXPENSE (BENEFIT) AND EFFECTIVE INCOME TAX RATES </w:t>
      </w:r>
      <w:r>
        <w:rPr>
          <w:rFonts w:ascii="Arial" w:cs="Arial" w:eastAsia="Arial" w:hAnsi="Arial"/>
          <w:sz w:val="14"/>
          <w:szCs w:val="14"/>
          <w:i w:val="1"/>
          <w:iCs w:val="1"/>
          <w:color w:val="FFFFFF"/>
        </w:rPr>
        <w:t>(Dollars in millions)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7860" w:type="dxa"/>
            <w:vAlign w:val="bottom"/>
          </w:tcPr>
          <w:p>
            <w:pPr>
              <w:spacing w:after="0"/>
              <w:rPr>
                <w:sz w:val="16"/>
                <w:szCs w:val="16"/>
                <w:color w:val="auto"/>
              </w:rPr>
            </w:pPr>
          </w:p>
        </w:tc>
        <w:tc>
          <w:tcPr>
            <w:tcW w:w="2820" w:type="dxa"/>
            <w:vAlign w:val="bottom"/>
            <w:tcBorders>
              <w:bottom w:val="single" w:sz="8" w:color="auto"/>
            </w:tcBorders>
            <w:gridSpan w:val="3"/>
          </w:tcPr>
          <w:p>
            <w:pPr>
              <w:jc w:val="right"/>
              <w:ind w:right="41"/>
              <w:spacing w:after="0"/>
              <w:rPr>
                <w:sz w:val="20"/>
                <w:szCs w:val="20"/>
                <w:color w:val="auto"/>
              </w:rPr>
            </w:pPr>
            <w:r>
              <w:rPr>
                <w:rFonts w:ascii="Arial" w:cs="Arial" w:eastAsia="Arial" w:hAnsi="Arial"/>
                <w:sz w:val="14"/>
                <w:szCs w:val="14"/>
                <w:color w:val="auto"/>
              </w:rPr>
              <w:t>Three months ended March 31,</w:t>
            </w:r>
          </w:p>
        </w:tc>
        <w:tc>
          <w:tcPr>
            <w:tcW w:w="560" w:type="dxa"/>
            <w:vAlign w:val="bottom"/>
            <w:tcBorders>
              <w:bottom w:val="single" w:sz="8" w:color="auto"/>
            </w:tcBorders>
          </w:tcPr>
          <w:p>
            <w:pPr>
              <w:spacing w:after="0"/>
              <w:rPr>
                <w:sz w:val="16"/>
                <w:szCs w:val="16"/>
                <w:color w:val="auto"/>
              </w:rPr>
            </w:pPr>
          </w:p>
        </w:tc>
      </w:tr>
      <w:tr>
        <w:trPr>
          <w:trHeight w:val="209"/>
        </w:trPr>
        <w:tc>
          <w:tcPr>
            <w:tcW w:w="78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23"/>
              <w:spacing w:after="0"/>
              <w:rPr>
                <w:sz w:val="20"/>
                <w:szCs w:val="20"/>
                <w:color w:val="auto"/>
              </w:rPr>
            </w:pPr>
            <w:r>
              <w:rPr>
                <w:rFonts w:ascii="Arial" w:cs="Arial" w:eastAsia="Arial" w:hAnsi="Arial"/>
                <w:sz w:val="14"/>
                <w:szCs w:val="14"/>
                <w:color w:val="auto"/>
              </w:rPr>
              <w:t>2026</w:t>
            </w:r>
          </w:p>
        </w:tc>
        <w:tc>
          <w:tcPr>
            <w:tcW w:w="6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21"/>
              <w:spacing w:after="0"/>
              <w:rPr>
                <w:sz w:val="20"/>
                <w:szCs w:val="20"/>
                <w:color w:val="auto"/>
              </w:rPr>
            </w:pPr>
            <w:r>
              <w:rPr>
                <w:rFonts w:ascii="Arial" w:cs="Arial" w:eastAsia="Arial" w:hAnsi="Arial"/>
                <w:sz w:val="14"/>
                <w:szCs w:val="14"/>
                <w:color w:val="auto"/>
              </w:rPr>
              <w:t>2025</w:t>
            </w:r>
          </w:p>
        </w:tc>
        <w:tc>
          <w:tcPr>
            <w:tcW w:w="560" w:type="dxa"/>
            <w:vAlign w:val="bottom"/>
            <w:tcBorders>
              <w:bottom w:val="single" w:sz="8" w:color="auto"/>
            </w:tcBorders>
          </w:tcPr>
          <w:p>
            <w:pPr>
              <w:spacing w:after="0"/>
              <w:rPr>
                <w:sz w:val="18"/>
                <w:szCs w:val="18"/>
                <w:color w:val="auto"/>
              </w:rPr>
            </w:pPr>
          </w:p>
        </w:tc>
      </w:tr>
      <w:tr>
        <w:trPr>
          <w:trHeight w:val="213"/>
        </w:trPr>
        <w:tc>
          <w:tcPr>
            <w:tcW w:w="7860" w:type="dxa"/>
            <w:vAlign w:val="bottom"/>
            <w:shd w:val="clear" w:color="auto" w:fill="D4F1F5"/>
          </w:tcPr>
          <w:p>
            <w:pPr>
              <w:ind w:left="20"/>
              <w:spacing w:after="0"/>
              <w:rPr>
                <w:sz w:val="20"/>
                <w:szCs w:val="20"/>
                <w:color w:val="auto"/>
              </w:rPr>
            </w:pPr>
            <w:r>
              <w:rPr>
                <w:rFonts w:ascii="Arial" w:cs="Arial" w:eastAsia="Arial" w:hAnsi="Arial"/>
                <w:sz w:val="16"/>
                <w:szCs w:val="16"/>
                <w:b w:val="1"/>
                <w:bCs w:val="1"/>
                <w:color w:val="auto"/>
              </w:rPr>
              <w:t>Sempra:</w:t>
            </w:r>
          </w:p>
        </w:tc>
        <w:tc>
          <w:tcPr>
            <w:tcW w:w="1080" w:type="dxa"/>
            <w:vAlign w:val="bottom"/>
            <w:shd w:val="clear" w:color="auto" w:fill="D4F1F5"/>
          </w:tcPr>
          <w:p>
            <w:pPr>
              <w:spacing w:after="0"/>
              <w:rPr>
                <w:sz w:val="18"/>
                <w:szCs w:val="18"/>
                <w:color w:val="auto"/>
              </w:rPr>
            </w:pPr>
          </w:p>
        </w:tc>
        <w:tc>
          <w:tcPr>
            <w:tcW w:w="620" w:type="dxa"/>
            <w:vAlign w:val="bottom"/>
            <w:shd w:val="clear" w:color="auto" w:fill="D4F1F5"/>
          </w:tcPr>
          <w:p>
            <w:pPr>
              <w:spacing w:after="0"/>
              <w:rPr>
                <w:sz w:val="18"/>
                <w:szCs w:val="18"/>
                <w:color w:val="auto"/>
              </w:rPr>
            </w:pPr>
          </w:p>
        </w:tc>
        <w:tc>
          <w:tcPr>
            <w:tcW w:w="1120" w:type="dxa"/>
            <w:vAlign w:val="bottom"/>
            <w:shd w:val="clear" w:color="auto" w:fill="D4F1F5"/>
          </w:tcPr>
          <w:p>
            <w:pPr>
              <w:spacing w:after="0"/>
              <w:rPr>
                <w:sz w:val="18"/>
                <w:szCs w:val="18"/>
                <w:color w:val="auto"/>
              </w:rPr>
            </w:pPr>
          </w:p>
        </w:tc>
        <w:tc>
          <w:tcPr>
            <w:tcW w:w="560" w:type="dxa"/>
            <w:vAlign w:val="bottom"/>
            <w:shd w:val="clear" w:color="auto" w:fill="D4F1F5"/>
          </w:tcPr>
          <w:p>
            <w:pPr>
              <w:spacing w:after="0"/>
              <w:rPr>
                <w:sz w:val="18"/>
                <w:szCs w:val="18"/>
                <w:color w:val="auto"/>
              </w:rPr>
            </w:pPr>
          </w:p>
        </w:tc>
      </w:tr>
      <w:tr>
        <w:trPr>
          <w:trHeight w:val="223"/>
        </w:trPr>
        <w:tc>
          <w:tcPr>
            <w:tcW w:w="7860" w:type="dxa"/>
            <w:vAlign w:val="bottom"/>
            <w:tcBorders>
              <w:bottom w:val="single" w:sz="8" w:color="D4F1F5"/>
            </w:tcBorders>
          </w:tcPr>
          <w:p>
            <w:pPr>
              <w:ind w:left="20"/>
              <w:spacing w:after="0"/>
              <w:rPr>
                <w:sz w:val="20"/>
                <w:szCs w:val="20"/>
                <w:color w:val="auto"/>
              </w:rPr>
            </w:pPr>
            <w:r>
              <w:rPr>
                <w:rFonts w:ascii="Arial" w:cs="Arial" w:eastAsia="Arial" w:hAnsi="Arial"/>
                <w:sz w:val="16"/>
                <w:szCs w:val="16"/>
                <w:color w:val="auto"/>
              </w:rPr>
              <w:t>Income tax expense</w:t>
            </w:r>
          </w:p>
        </w:tc>
        <w:tc>
          <w:tcPr>
            <w:tcW w:w="1080" w:type="dxa"/>
            <w:vAlign w:val="bottom"/>
            <w:tcBorders>
              <w:bottom w:val="single" w:sz="8" w:color="auto"/>
            </w:tcBorders>
          </w:tcPr>
          <w:p>
            <w:pPr>
              <w:jc w:val="right"/>
              <w:ind w:right="883"/>
              <w:spacing w:after="0"/>
              <w:rPr>
                <w:sz w:val="20"/>
                <w:szCs w:val="20"/>
                <w:color w:val="auto"/>
              </w:rPr>
            </w:pPr>
            <w:r>
              <w:rPr>
                <w:rFonts w:ascii="Arial" w:cs="Arial" w:eastAsia="Arial" w:hAnsi="Arial"/>
                <w:sz w:val="16"/>
                <w:szCs w:val="16"/>
                <w:color w:val="auto"/>
              </w:rPr>
              <w:t>$</w:t>
            </w:r>
          </w:p>
        </w:tc>
        <w:tc>
          <w:tcPr>
            <w:tcW w:w="62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65</w:t>
            </w:r>
          </w:p>
        </w:tc>
        <w:tc>
          <w:tcPr>
            <w:tcW w:w="1120" w:type="dxa"/>
            <w:vAlign w:val="bottom"/>
            <w:tcBorders>
              <w:bottom w:val="single" w:sz="8" w:color="auto"/>
            </w:tcBorders>
          </w:tcPr>
          <w:p>
            <w:pPr>
              <w:jc w:val="right"/>
              <w:ind w:right="881"/>
              <w:spacing w:after="0"/>
              <w:rPr>
                <w:sz w:val="20"/>
                <w:szCs w:val="20"/>
                <w:color w:val="auto"/>
              </w:rPr>
            </w:pPr>
            <w:r>
              <w:rPr>
                <w:rFonts w:ascii="Arial" w:cs="Arial" w:eastAsia="Arial" w:hAnsi="Arial"/>
                <w:sz w:val="16"/>
                <w:szCs w:val="16"/>
                <w:color w:val="auto"/>
              </w:rPr>
              <w:t>$</w:t>
            </w:r>
          </w:p>
        </w:tc>
        <w:tc>
          <w:tcPr>
            <w:tcW w:w="56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57</w:t>
            </w:r>
          </w:p>
        </w:tc>
      </w:tr>
      <w:tr>
        <w:trPr>
          <w:trHeight w:val="203"/>
        </w:trPr>
        <w:tc>
          <w:tcPr>
            <w:tcW w:w="7860" w:type="dxa"/>
            <w:vAlign w:val="bottom"/>
            <w:shd w:val="clear" w:color="auto" w:fill="D4F1F5"/>
          </w:tcPr>
          <w:p>
            <w:pPr>
              <w:spacing w:after="0"/>
              <w:rPr>
                <w:sz w:val="17"/>
                <w:szCs w:val="17"/>
                <w:color w:val="auto"/>
              </w:rPr>
            </w:pPr>
          </w:p>
        </w:tc>
        <w:tc>
          <w:tcPr>
            <w:tcW w:w="1080" w:type="dxa"/>
            <w:vAlign w:val="bottom"/>
            <w:shd w:val="clear" w:color="auto" w:fill="D4F1F5"/>
          </w:tcPr>
          <w:p>
            <w:pPr>
              <w:spacing w:after="0"/>
              <w:rPr>
                <w:sz w:val="17"/>
                <w:szCs w:val="17"/>
                <w:color w:val="auto"/>
              </w:rPr>
            </w:pPr>
          </w:p>
        </w:tc>
        <w:tc>
          <w:tcPr>
            <w:tcW w:w="620" w:type="dxa"/>
            <w:vAlign w:val="bottom"/>
            <w:shd w:val="clear" w:color="auto" w:fill="D4F1F5"/>
          </w:tcPr>
          <w:p>
            <w:pPr>
              <w:spacing w:after="0"/>
              <w:rPr>
                <w:sz w:val="17"/>
                <w:szCs w:val="17"/>
                <w:color w:val="auto"/>
              </w:rPr>
            </w:pPr>
          </w:p>
        </w:tc>
        <w:tc>
          <w:tcPr>
            <w:tcW w:w="1120" w:type="dxa"/>
            <w:vAlign w:val="bottom"/>
            <w:shd w:val="clear" w:color="auto" w:fill="D4F1F5"/>
          </w:tcPr>
          <w:p>
            <w:pPr>
              <w:spacing w:after="0"/>
              <w:rPr>
                <w:sz w:val="17"/>
                <w:szCs w:val="17"/>
                <w:color w:val="auto"/>
              </w:rPr>
            </w:pPr>
          </w:p>
        </w:tc>
        <w:tc>
          <w:tcPr>
            <w:tcW w:w="560" w:type="dxa"/>
            <w:vAlign w:val="bottom"/>
            <w:shd w:val="clear" w:color="auto" w:fill="D4F1F5"/>
          </w:tcPr>
          <w:p>
            <w:pPr>
              <w:spacing w:after="0"/>
              <w:rPr>
                <w:sz w:val="17"/>
                <w:szCs w:val="17"/>
                <w:color w:val="auto"/>
              </w:rPr>
            </w:pPr>
          </w:p>
        </w:tc>
      </w:tr>
      <w:tr>
        <w:trPr>
          <w:trHeight w:val="215"/>
        </w:trPr>
        <w:tc>
          <w:tcPr>
            <w:tcW w:w="7860" w:type="dxa"/>
            <w:vAlign w:val="bottom"/>
          </w:tcPr>
          <w:p>
            <w:pPr>
              <w:ind w:left="20"/>
              <w:spacing w:after="0"/>
              <w:rPr>
                <w:sz w:val="20"/>
                <w:szCs w:val="20"/>
                <w:color w:val="auto"/>
              </w:rPr>
            </w:pPr>
            <w:r>
              <w:rPr>
                <w:rFonts w:ascii="Arial" w:cs="Arial" w:eastAsia="Arial" w:hAnsi="Arial"/>
                <w:sz w:val="16"/>
                <w:szCs w:val="16"/>
                <w:color w:val="auto"/>
              </w:rPr>
              <w:t>Income before income taxes and equity earnings</w:t>
            </w:r>
          </w:p>
        </w:tc>
        <w:tc>
          <w:tcPr>
            <w:tcW w:w="1080" w:type="dxa"/>
            <w:vAlign w:val="bottom"/>
          </w:tcPr>
          <w:p>
            <w:pPr>
              <w:jc w:val="right"/>
              <w:ind w:right="883"/>
              <w:spacing w:after="0"/>
              <w:rPr>
                <w:sz w:val="20"/>
                <w:szCs w:val="20"/>
                <w:color w:val="auto"/>
              </w:rPr>
            </w:pPr>
            <w:r>
              <w:rPr>
                <w:rFonts w:ascii="Arial" w:cs="Arial" w:eastAsia="Arial" w:hAnsi="Arial"/>
                <w:sz w:val="16"/>
                <w:szCs w:val="16"/>
                <w:color w:val="auto"/>
              </w:rPr>
              <w:t>$</w:t>
            </w:r>
          </w:p>
        </w:tc>
        <w:tc>
          <w:tcPr>
            <w:tcW w:w="620" w:type="dxa"/>
            <w:vAlign w:val="bottom"/>
          </w:tcPr>
          <w:p>
            <w:pPr>
              <w:jc w:val="right"/>
              <w:ind w:right="179"/>
              <w:spacing w:after="0"/>
              <w:rPr>
                <w:sz w:val="20"/>
                <w:szCs w:val="20"/>
                <w:color w:val="auto"/>
              </w:rPr>
            </w:pPr>
            <w:r>
              <w:rPr>
                <w:rFonts w:ascii="Arial" w:cs="Arial" w:eastAsia="Arial" w:hAnsi="Arial"/>
                <w:sz w:val="16"/>
                <w:szCs w:val="16"/>
                <w:color w:val="auto"/>
              </w:rPr>
              <w:t>848</w:t>
            </w:r>
          </w:p>
        </w:tc>
        <w:tc>
          <w:tcPr>
            <w:tcW w:w="1120" w:type="dxa"/>
            <w:vAlign w:val="bottom"/>
          </w:tcPr>
          <w:p>
            <w:pPr>
              <w:jc w:val="right"/>
              <w:ind w:right="881"/>
              <w:spacing w:after="0"/>
              <w:rPr>
                <w:sz w:val="20"/>
                <w:szCs w:val="20"/>
                <w:color w:val="auto"/>
              </w:rPr>
            </w:pPr>
            <w:r>
              <w:rPr>
                <w:rFonts w:ascii="Arial" w:cs="Arial" w:eastAsia="Arial" w:hAnsi="Arial"/>
                <w:sz w:val="16"/>
                <w:szCs w:val="16"/>
                <w:color w:val="auto"/>
              </w:rPr>
              <w:t>$</w:t>
            </w:r>
          </w:p>
        </w:tc>
        <w:tc>
          <w:tcPr>
            <w:tcW w:w="560" w:type="dxa"/>
            <w:vAlign w:val="bottom"/>
          </w:tcPr>
          <w:p>
            <w:pPr>
              <w:jc w:val="right"/>
              <w:ind w:right="119"/>
              <w:spacing w:after="0"/>
              <w:rPr>
                <w:sz w:val="20"/>
                <w:szCs w:val="20"/>
                <w:color w:val="auto"/>
              </w:rPr>
            </w:pPr>
            <w:r>
              <w:rPr>
                <w:rFonts w:ascii="Arial" w:cs="Arial" w:eastAsia="Arial" w:hAnsi="Arial"/>
                <w:sz w:val="16"/>
                <w:szCs w:val="16"/>
                <w:color w:val="auto"/>
              </w:rPr>
              <w:t>651</w:t>
            </w:r>
          </w:p>
        </w:tc>
      </w:tr>
      <w:tr>
        <w:trPr>
          <w:trHeight w:val="217"/>
        </w:trPr>
        <w:tc>
          <w:tcPr>
            <w:tcW w:w="7860" w:type="dxa"/>
            <w:vAlign w:val="bottom"/>
            <w:shd w:val="clear" w:color="auto" w:fill="D4F1F5"/>
          </w:tcPr>
          <w:p>
            <w:pPr>
              <w:ind w:left="20"/>
              <w:spacing w:after="0" w:line="217" w:lineRule="exact"/>
              <w:rPr>
                <w:sz w:val="20"/>
                <w:szCs w:val="20"/>
                <w:color w:val="auto"/>
              </w:rPr>
            </w:pPr>
            <w:r>
              <w:rPr>
                <w:rFonts w:ascii="Arial" w:cs="Arial" w:eastAsia="Arial" w:hAnsi="Arial"/>
                <w:sz w:val="16"/>
                <w:szCs w:val="16"/>
                <w:color w:val="auto"/>
              </w:rPr>
              <w:t>Equity earnings, before income tax</w:t>
            </w:r>
            <w:r>
              <w:rPr>
                <w:rFonts w:ascii="Arial" w:cs="Arial" w:eastAsia="Arial" w:hAnsi="Arial"/>
                <w:sz w:val="21"/>
                <w:szCs w:val="21"/>
                <w:color w:val="auto"/>
                <w:vertAlign w:val="superscript"/>
              </w:rPr>
              <w:t>(1)</w:t>
            </w:r>
          </w:p>
        </w:tc>
        <w:tc>
          <w:tcPr>
            <w:tcW w:w="1080" w:type="dxa"/>
            <w:vAlign w:val="bottom"/>
            <w:tcBorders>
              <w:bottom w:val="single" w:sz="8" w:color="auto"/>
            </w:tcBorders>
            <w:shd w:val="clear" w:color="auto" w:fill="D4F1F5"/>
          </w:tcPr>
          <w:p>
            <w:pPr>
              <w:spacing w:after="0"/>
              <w:rPr>
                <w:sz w:val="18"/>
                <w:szCs w:val="18"/>
                <w:color w:val="auto"/>
              </w:rPr>
            </w:pPr>
          </w:p>
        </w:tc>
        <w:tc>
          <w:tcPr>
            <w:tcW w:w="620" w:type="dxa"/>
            <w:vAlign w:val="bottom"/>
            <w:tcBorders>
              <w:bottom w:val="single" w:sz="8" w:color="auto"/>
            </w:tcBorders>
            <w:shd w:val="clear" w:color="auto" w:fill="D4F1F5"/>
          </w:tcPr>
          <w:p>
            <w:pPr>
              <w:jc w:val="right"/>
              <w:ind w:right="179"/>
              <w:spacing w:after="0"/>
              <w:rPr>
                <w:sz w:val="20"/>
                <w:szCs w:val="20"/>
                <w:color w:val="auto"/>
              </w:rPr>
            </w:pPr>
            <w:r>
              <w:rPr>
                <w:rFonts w:ascii="Arial" w:cs="Arial" w:eastAsia="Arial" w:hAnsi="Arial"/>
                <w:sz w:val="16"/>
                <w:szCs w:val="16"/>
                <w:color w:val="auto"/>
              </w:rPr>
              <w:t>148</w:t>
            </w:r>
          </w:p>
        </w:tc>
        <w:tc>
          <w:tcPr>
            <w:tcW w:w="1120" w:type="dxa"/>
            <w:vAlign w:val="bottom"/>
            <w:tcBorders>
              <w:bottom w:val="single" w:sz="8" w:color="auto"/>
            </w:tcBorders>
            <w:shd w:val="clear" w:color="auto" w:fill="D4F1F5"/>
          </w:tcPr>
          <w:p>
            <w:pPr>
              <w:spacing w:after="0"/>
              <w:rPr>
                <w:sz w:val="18"/>
                <w:szCs w:val="18"/>
                <w:color w:val="auto"/>
              </w:rPr>
            </w:pPr>
          </w:p>
        </w:tc>
        <w:tc>
          <w:tcPr>
            <w:tcW w:w="560" w:type="dxa"/>
            <w:vAlign w:val="bottom"/>
            <w:tcBorders>
              <w:bottom w:val="single" w:sz="8" w:color="auto"/>
            </w:tcBorders>
            <w:shd w:val="clear" w:color="auto" w:fill="D4F1F5"/>
          </w:tcPr>
          <w:p>
            <w:pPr>
              <w:jc w:val="right"/>
              <w:ind w:right="119"/>
              <w:spacing w:after="0"/>
              <w:rPr>
                <w:sz w:val="20"/>
                <w:szCs w:val="20"/>
                <w:color w:val="auto"/>
              </w:rPr>
            </w:pPr>
            <w:r>
              <w:rPr>
                <w:rFonts w:ascii="Arial" w:cs="Arial" w:eastAsia="Arial" w:hAnsi="Arial"/>
                <w:sz w:val="16"/>
                <w:szCs w:val="16"/>
                <w:color w:val="auto"/>
              </w:rPr>
              <w:t>141</w:t>
            </w:r>
          </w:p>
        </w:tc>
      </w:tr>
      <w:tr>
        <w:trPr>
          <w:trHeight w:val="217"/>
        </w:trPr>
        <w:tc>
          <w:tcPr>
            <w:tcW w:w="7860" w:type="dxa"/>
            <w:vAlign w:val="bottom"/>
            <w:tcBorders>
              <w:bottom w:val="single" w:sz="8" w:color="D4F1F5"/>
            </w:tcBorders>
          </w:tcPr>
          <w:p>
            <w:pPr>
              <w:ind w:left="20"/>
              <w:spacing w:after="0"/>
              <w:rPr>
                <w:sz w:val="20"/>
                <w:szCs w:val="20"/>
                <w:color w:val="auto"/>
              </w:rPr>
            </w:pPr>
            <w:r>
              <w:rPr>
                <w:rFonts w:ascii="Arial" w:cs="Arial" w:eastAsia="Arial" w:hAnsi="Arial"/>
                <w:sz w:val="16"/>
                <w:szCs w:val="16"/>
                <w:color w:val="auto"/>
              </w:rPr>
              <w:t>Pretax income</w:t>
            </w:r>
          </w:p>
        </w:tc>
        <w:tc>
          <w:tcPr>
            <w:tcW w:w="1080" w:type="dxa"/>
            <w:vAlign w:val="bottom"/>
            <w:tcBorders>
              <w:bottom w:val="single" w:sz="8" w:color="auto"/>
            </w:tcBorders>
          </w:tcPr>
          <w:p>
            <w:pPr>
              <w:jc w:val="right"/>
              <w:ind w:right="883"/>
              <w:spacing w:after="0"/>
              <w:rPr>
                <w:sz w:val="20"/>
                <w:szCs w:val="20"/>
                <w:color w:val="auto"/>
              </w:rPr>
            </w:pPr>
            <w:r>
              <w:rPr>
                <w:rFonts w:ascii="Arial" w:cs="Arial" w:eastAsia="Arial" w:hAnsi="Arial"/>
                <w:sz w:val="16"/>
                <w:szCs w:val="16"/>
                <w:color w:val="auto"/>
              </w:rPr>
              <w:t>$</w:t>
            </w:r>
          </w:p>
        </w:tc>
        <w:tc>
          <w:tcPr>
            <w:tcW w:w="62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996</w:t>
            </w:r>
          </w:p>
        </w:tc>
        <w:tc>
          <w:tcPr>
            <w:tcW w:w="1120" w:type="dxa"/>
            <w:vAlign w:val="bottom"/>
            <w:tcBorders>
              <w:bottom w:val="single" w:sz="8" w:color="auto"/>
            </w:tcBorders>
          </w:tcPr>
          <w:p>
            <w:pPr>
              <w:jc w:val="right"/>
              <w:ind w:right="881"/>
              <w:spacing w:after="0"/>
              <w:rPr>
                <w:sz w:val="20"/>
                <w:szCs w:val="20"/>
                <w:color w:val="auto"/>
              </w:rPr>
            </w:pPr>
            <w:r>
              <w:rPr>
                <w:rFonts w:ascii="Arial" w:cs="Arial" w:eastAsia="Arial" w:hAnsi="Arial"/>
                <w:sz w:val="16"/>
                <w:szCs w:val="16"/>
                <w:color w:val="auto"/>
              </w:rPr>
              <w:t>$</w:t>
            </w:r>
          </w:p>
        </w:tc>
        <w:tc>
          <w:tcPr>
            <w:tcW w:w="56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792</w:t>
            </w:r>
          </w:p>
        </w:tc>
      </w:tr>
      <w:tr>
        <w:trPr>
          <w:trHeight w:val="203"/>
        </w:trPr>
        <w:tc>
          <w:tcPr>
            <w:tcW w:w="7860" w:type="dxa"/>
            <w:vAlign w:val="bottom"/>
            <w:shd w:val="clear" w:color="auto" w:fill="D4F1F5"/>
          </w:tcPr>
          <w:p>
            <w:pPr>
              <w:spacing w:after="0"/>
              <w:rPr>
                <w:sz w:val="17"/>
                <w:szCs w:val="17"/>
                <w:color w:val="auto"/>
              </w:rPr>
            </w:pPr>
          </w:p>
        </w:tc>
        <w:tc>
          <w:tcPr>
            <w:tcW w:w="1080" w:type="dxa"/>
            <w:vAlign w:val="bottom"/>
            <w:shd w:val="clear" w:color="auto" w:fill="D4F1F5"/>
          </w:tcPr>
          <w:p>
            <w:pPr>
              <w:spacing w:after="0"/>
              <w:rPr>
                <w:sz w:val="17"/>
                <w:szCs w:val="17"/>
                <w:color w:val="auto"/>
              </w:rPr>
            </w:pPr>
          </w:p>
        </w:tc>
        <w:tc>
          <w:tcPr>
            <w:tcW w:w="620" w:type="dxa"/>
            <w:vAlign w:val="bottom"/>
            <w:shd w:val="clear" w:color="auto" w:fill="D4F1F5"/>
          </w:tcPr>
          <w:p>
            <w:pPr>
              <w:spacing w:after="0"/>
              <w:rPr>
                <w:sz w:val="17"/>
                <w:szCs w:val="17"/>
                <w:color w:val="auto"/>
              </w:rPr>
            </w:pPr>
          </w:p>
        </w:tc>
        <w:tc>
          <w:tcPr>
            <w:tcW w:w="1120" w:type="dxa"/>
            <w:vAlign w:val="bottom"/>
            <w:shd w:val="clear" w:color="auto" w:fill="D4F1F5"/>
          </w:tcPr>
          <w:p>
            <w:pPr>
              <w:spacing w:after="0"/>
              <w:rPr>
                <w:sz w:val="17"/>
                <w:szCs w:val="17"/>
                <w:color w:val="auto"/>
              </w:rPr>
            </w:pPr>
          </w:p>
        </w:tc>
        <w:tc>
          <w:tcPr>
            <w:tcW w:w="560" w:type="dxa"/>
            <w:vAlign w:val="bottom"/>
            <w:shd w:val="clear" w:color="auto" w:fill="D4F1F5"/>
          </w:tcPr>
          <w:p>
            <w:pPr>
              <w:spacing w:after="0"/>
              <w:rPr>
                <w:sz w:val="17"/>
                <w:szCs w:val="17"/>
                <w:color w:val="auto"/>
              </w:rPr>
            </w:pPr>
          </w:p>
        </w:tc>
      </w:tr>
      <w:tr>
        <w:trPr>
          <w:trHeight w:val="223"/>
        </w:trPr>
        <w:tc>
          <w:tcPr>
            <w:tcW w:w="78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Effective income tax rate</w:t>
            </w:r>
          </w:p>
        </w:tc>
        <w:tc>
          <w:tcPr>
            <w:tcW w:w="10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7 %</w:t>
            </w:r>
          </w:p>
        </w:tc>
        <w:tc>
          <w:tcPr>
            <w:tcW w:w="112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7 %</w:t>
            </w:r>
          </w:p>
        </w:tc>
      </w:tr>
    </w:tbl>
    <w:p>
      <w:pPr>
        <w:spacing w:after="0" w:line="111" w:lineRule="exact"/>
        <w:rPr>
          <w:sz w:val="20"/>
          <w:szCs w:val="20"/>
          <w:color w:val="auto"/>
        </w:rPr>
      </w:pPr>
    </w:p>
    <w:p>
      <w:pPr>
        <w:ind w:left="280" w:hanging="272"/>
        <w:spacing w:after="0"/>
        <w:tabs>
          <w:tab w:leader="none" w:pos="280" w:val="left"/>
        </w:tabs>
        <w:numPr>
          <w:ilvl w:val="0"/>
          <w:numId w:val="76"/>
        </w:numPr>
        <w:rPr>
          <w:rFonts w:ascii="Arial" w:cs="Arial" w:eastAsia="Arial" w:hAnsi="Arial"/>
          <w:sz w:val="19"/>
          <w:szCs w:val="19"/>
          <w:i w:val="1"/>
          <w:iCs w:val="1"/>
          <w:color w:val="auto"/>
          <w:vertAlign w:val="superscript"/>
        </w:rPr>
      </w:pPr>
      <w:r>
        <w:rPr>
          <w:rFonts w:ascii="Arial" w:cs="Arial" w:eastAsia="Arial" w:hAnsi="Arial"/>
          <w:sz w:val="14"/>
          <w:szCs w:val="14"/>
          <w:i w:val="1"/>
          <w:iCs w:val="1"/>
          <w:color w:val="auto"/>
        </w:rPr>
        <w:t>We discuss how we recognize equity earnings in Note 5 of the Notes to Consolidated Financial Statements in the Annual Report.</w:t>
      </w:r>
    </w:p>
    <w:p>
      <w:pPr>
        <w:spacing w:after="0" w:line="246" w:lineRule="exact"/>
        <w:rPr>
          <w:sz w:val="20"/>
          <w:szCs w:val="20"/>
          <w:color w:val="auto"/>
        </w:rPr>
      </w:pPr>
    </w:p>
    <w:p>
      <w:pPr>
        <w:ind w:right="140"/>
        <w:spacing w:after="0" w:line="271" w:lineRule="auto"/>
        <w:rPr>
          <w:sz w:val="20"/>
          <w:szCs w:val="20"/>
          <w:color w:val="auto"/>
        </w:rPr>
      </w:pPr>
      <w:r>
        <w:rPr>
          <w:rFonts w:ascii="Times New Roman" w:cs="Times New Roman" w:eastAsia="Times New Roman" w:hAnsi="Times New Roman"/>
          <w:sz w:val="18"/>
          <w:szCs w:val="18"/>
          <w:color w:val="auto"/>
        </w:rPr>
        <w:t>We report as part of our pretax results the income or loss attributable to NCI. However, we do not record income taxes for a portion of this income or loss, as some of our entities with NCI are currently treated as partnerships for U.S. income tax purposes, and thus we are only liable for income taxes on the portion of the earnings that are allocated to us. Our pretax income, however, includes 100% of these entities. If our entities with NCI grow, and if we continue to invest in such entities, the impact on our ETR may become more significant.</w:t>
      </w:r>
    </w:p>
    <w:p>
      <w:pPr>
        <w:spacing w:after="0" w:line="78"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In the three months ended March 31, 2026 compared to the same period in 2025, Sempra’s income tax expense increased by $8 million (14%) primarily due to:</w:t>
      </w:r>
    </w:p>
    <w:p>
      <w:pPr>
        <w:spacing w:after="0" w:line="13" w:lineRule="exact"/>
        <w:rPr>
          <w:sz w:val="20"/>
          <w:szCs w:val="20"/>
          <w:color w:val="auto"/>
        </w:rPr>
      </w:pPr>
    </w:p>
    <w:p>
      <w:pPr>
        <w:ind w:left="160" w:hanging="152"/>
        <w:spacing w:after="0"/>
        <w:tabs>
          <w:tab w:leader="none" w:pos="16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higher pretax income</w:t>
      </w:r>
    </w:p>
    <w:p>
      <w:pPr>
        <w:spacing w:after="0" w:line="49" w:lineRule="exact"/>
        <w:rPr>
          <w:rFonts w:ascii="Times New Roman" w:cs="Times New Roman" w:eastAsia="Times New Roman" w:hAnsi="Times New Roman"/>
          <w:sz w:val="18"/>
          <w:szCs w:val="18"/>
          <w:color w:val="auto"/>
        </w:rPr>
      </w:pPr>
    </w:p>
    <w:p>
      <w:pPr>
        <w:ind w:right="5100" w:firstLine="8"/>
        <w:spacing w:after="0" w:line="305" w:lineRule="auto"/>
        <w:tabs>
          <w:tab w:leader="none" w:pos="158"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lower income tax benefit from lower ITCs from standalone energy storage projects Offset by:</w:t>
      </w:r>
    </w:p>
    <w:p>
      <w:pPr>
        <w:ind w:left="160" w:hanging="152"/>
        <w:spacing w:after="0"/>
        <w:tabs>
          <w:tab w:leader="none" w:pos="16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$36 million net income tax benefit in 2026 as a result of classifying SI Partners and Ecogas as held for sale, comprised of the following:</w:t>
      </w:r>
    </w:p>
    <w:p>
      <w:pPr>
        <w:spacing w:after="0" w:line="49" w:lineRule="exact"/>
        <w:rPr>
          <w:rFonts w:ascii="Times New Roman" w:cs="Times New Roman" w:eastAsia="Times New Roman" w:hAnsi="Times New Roman"/>
          <w:sz w:val="18"/>
          <w:szCs w:val="18"/>
          <w:color w:val="auto"/>
        </w:rPr>
      </w:pPr>
    </w:p>
    <w:p>
      <w:pPr>
        <w:ind w:left="340" w:right="640" w:hanging="170"/>
        <w:spacing w:after="0" w:line="273" w:lineRule="auto"/>
        <w:tabs>
          <w:tab w:leader="none" w:pos="336" w:val="left"/>
        </w:tabs>
        <w:numPr>
          <w:ilvl w:val="1"/>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$33 million net income tax benefit to adjust deferred income tax liabilities primarily related to outside basis differences in our investment in SI Partners</w:t>
      </w:r>
    </w:p>
    <w:p>
      <w:pPr>
        <w:spacing w:after="0" w:line="1" w:lineRule="exact"/>
        <w:rPr>
          <w:rFonts w:ascii="Times New Roman" w:cs="Times New Roman" w:eastAsia="Times New Roman" w:hAnsi="Times New Roman"/>
          <w:sz w:val="18"/>
          <w:szCs w:val="18"/>
          <w:color w:val="auto"/>
        </w:rPr>
      </w:pPr>
    </w:p>
    <w:p>
      <w:pPr>
        <w:ind w:left="320" w:hanging="150"/>
        <w:spacing w:after="0"/>
        <w:tabs>
          <w:tab w:leader="none" w:pos="320" w:val="left"/>
        </w:tabs>
        <w:numPr>
          <w:ilvl w:val="1"/>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 million income tax benefit to adjust a Mexican deferred tax liability on our outside basis difference in Ecogas</w:t>
      </w:r>
    </w:p>
    <w:p>
      <w:pPr>
        <w:spacing w:after="0" w:line="49" w:lineRule="exact"/>
        <w:rPr>
          <w:rFonts w:ascii="Times New Roman" w:cs="Times New Roman" w:eastAsia="Times New Roman" w:hAnsi="Times New Roman"/>
          <w:sz w:val="18"/>
          <w:szCs w:val="18"/>
          <w:color w:val="auto"/>
        </w:rPr>
      </w:pPr>
    </w:p>
    <w:p>
      <w:pPr>
        <w:ind w:left="160" w:hanging="152"/>
        <w:spacing w:after="0"/>
        <w:tabs>
          <w:tab w:leader="none" w:pos="16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$21 million higher income tax benefit attributable to NCI’s share of higher U.S. partnership’s pretax income</w:t>
      </w:r>
    </w:p>
    <w:p>
      <w:pPr>
        <w:spacing w:after="0" w:line="63" w:lineRule="exact"/>
        <w:rPr>
          <w:rFonts w:ascii="Times New Roman" w:cs="Times New Roman" w:eastAsia="Times New Roman" w:hAnsi="Times New Roman"/>
          <w:sz w:val="18"/>
          <w:szCs w:val="18"/>
          <w:color w:val="auto"/>
        </w:rPr>
      </w:pPr>
    </w:p>
    <w:p>
      <w:pPr>
        <w:ind w:left="180" w:right="180" w:hanging="172"/>
        <w:spacing w:after="0" w:line="266" w:lineRule="auto"/>
        <w:tabs>
          <w:tab w:leader="none" w:pos="176"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 million from $18 million income tax benefit in 2026 compared to $10 million income tax benefit in 2025 from foreign currency and inflation effects on our monetary positions in Mexico and associated undesignated derivatives</w:t>
      </w:r>
    </w:p>
    <w:p>
      <w:pPr>
        <w:ind w:left="160" w:hanging="152"/>
        <w:spacing w:after="0"/>
        <w:tabs>
          <w:tab w:leader="none" w:pos="16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higher income tax benefits from flow-through items</w:t>
      </w:r>
    </w:p>
    <w:p>
      <w:pPr>
        <w:spacing w:after="0" w:line="171" w:lineRule="exact"/>
        <w:rPr>
          <w:sz w:val="20"/>
          <w:szCs w:val="20"/>
          <w:color w:val="auto"/>
        </w:rPr>
      </w:pPr>
    </w:p>
    <w:p>
      <w:pPr>
        <w:ind w:right="460"/>
        <w:spacing w:after="0" w:line="271" w:lineRule="auto"/>
        <w:rPr>
          <w:sz w:val="20"/>
          <w:szCs w:val="20"/>
          <w:color w:val="auto"/>
        </w:rPr>
      </w:pPr>
      <w:r>
        <w:rPr>
          <w:rFonts w:ascii="Times New Roman" w:cs="Times New Roman" w:eastAsia="Times New Roman" w:hAnsi="Times New Roman"/>
          <w:sz w:val="18"/>
          <w:szCs w:val="18"/>
          <w:color w:val="auto"/>
        </w:rPr>
        <w:t>We discuss the impact of foreign currency exchange rates and inflation on income taxes below in “Impact of Foreign Currency and Inflation Rates on Results of Operations.” See Note 1 of the Notes to Condensed Consolidated Financial Statements in this report and Notes 1 and 8 of the Notes to Consolidated Financial Statements in the Annual Report for further details about our accounting for income taxes and items subject to flow-through treatment.</w:t>
      </w: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Equity Earnings</w:t>
      </w:r>
    </w:p>
    <w:p>
      <w:pPr>
        <w:spacing w:after="0" w:line="49" w:lineRule="exact"/>
        <w:rPr>
          <w:sz w:val="20"/>
          <w:szCs w:val="20"/>
          <w:color w:val="auto"/>
        </w:rPr>
      </w:pPr>
    </w:p>
    <w:p>
      <w:pPr>
        <w:ind w:right="40"/>
        <w:spacing w:after="0" w:line="289" w:lineRule="auto"/>
        <w:rPr>
          <w:sz w:val="20"/>
          <w:szCs w:val="20"/>
          <w:color w:val="auto"/>
        </w:rPr>
      </w:pPr>
      <w:r>
        <w:rPr>
          <w:rFonts w:ascii="Times New Roman" w:cs="Times New Roman" w:eastAsia="Times New Roman" w:hAnsi="Times New Roman"/>
          <w:sz w:val="18"/>
          <w:szCs w:val="18"/>
          <w:color w:val="auto"/>
        </w:rPr>
        <w:t>In the three months ended March 31, 2026 compared to the same period in 2025, Sempra’s equity earnings increased by $42 million (13%) to $367 million primarily due to:</w:t>
      </w:r>
    </w:p>
    <w:p>
      <w:pPr>
        <w:spacing w:after="0" w:line="1" w:lineRule="exact"/>
        <w:rPr>
          <w:sz w:val="20"/>
          <w:szCs w:val="20"/>
          <w:color w:val="auto"/>
        </w:rPr>
      </w:pPr>
    </w:p>
    <w:p>
      <w:pPr>
        <w:ind w:left="220" w:hanging="212"/>
        <w:spacing w:after="0"/>
        <w:tabs>
          <w:tab w:leader="none" w:pos="22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$25 million at Oncor Holdings driven by:</w:t>
      </w:r>
    </w:p>
    <w:p>
      <w:pPr>
        <w:spacing w:after="0" w:line="63" w:lineRule="exact"/>
        <w:rPr>
          <w:rFonts w:ascii="Times New Roman" w:cs="Times New Roman" w:eastAsia="Times New Roman" w:hAnsi="Times New Roman"/>
          <w:sz w:val="18"/>
          <w:szCs w:val="18"/>
          <w:color w:val="auto"/>
        </w:rPr>
      </w:pPr>
    </w:p>
    <w:p>
      <w:pPr>
        <w:ind w:left="320" w:hanging="150"/>
        <w:spacing w:after="0"/>
        <w:tabs>
          <w:tab w:leader="none" w:pos="320" w:val="left"/>
        </w:tabs>
        <w:numPr>
          <w:ilvl w:val="1"/>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overall higher revenues primarily attributable to:</w:t>
      </w:r>
    </w:p>
    <w:p>
      <w:pPr>
        <w:spacing w:after="0" w:line="49" w:lineRule="exact"/>
        <w:rPr>
          <w:rFonts w:ascii="Times New Roman" w:cs="Times New Roman" w:eastAsia="Times New Roman" w:hAnsi="Times New Roman"/>
          <w:sz w:val="18"/>
          <w:szCs w:val="18"/>
          <w:color w:val="auto"/>
        </w:rPr>
      </w:pPr>
    </w:p>
    <w:p>
      <w:pPr>
        <w:ind w:left="480" w:hanging="148"/>
        <w:spacing w:after="0"/>
        <w:tabs>
          <w:tab w:leader="none" w:pos="480" w:val="left"/>
        </w:tabs>
        <w:numPr>
          <w:ilvl w:val="2"/>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establishment of the UTM in June 2025 and the SRP</w:t>
      </w:r>
    </w:p>
    <w:p>
      <w:pPr>
        <w:spacing w:after="0" w:line="49" w:lineRule="exact"/>
        <w:rPr>
          <w:rFonts w:ascii="Times New Roman" w:cs="Times New Roman" w:eastAsia="Times New Roman" w:hAnsi="Times New Roman"/>
          <w:sz w:val="18"/>
          <w:szCs w:val="18"/>
          <w:color w:val="auto"/>
        </w:rPr>
      </w:pPr>
    </w:p>
    <w:p>
      <w:pPr>
        <w:ind w:left="480" w:hanging="148"/>
        <w:spacing w:after="0"/>
        <w:tabs>
          <w:tab w:leader="none" w:pos="480" w:val="left"/>
        </w:tabs>
        <w:numPr>
          <w:ilvl w:val="2"/>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rate updates to reflect increases in invested capital</w:t>
      </w:r>
    </w:p>
    <w:p>
      <w:pPr>
        <w:spacing w:after="0" w:line="63" w:lineRule="exact"/>
        <w:rPr>
          <w:rFonts w:ascii="Times New Roman" w:cs="Times New Roman" w:eastAsia="Times New Roman" w:hAnsi="Times New Roman"/>
          <w:sz w:val="18"/>
          <w:szCs w:val="18"/>
          <w:color w:val="auto"/>
        </w:rPr>
      </w:pPr>
    </w:p>
    <w:p>
      <w:pPr>
        <w:ind w:left="480" w:hanging="148"/>
        <w:spacing w:after="0"/>
        <w:tabs>
          <w:tab w:leader="none" w:pos="480" w:val="left"/>
        </w:tabs>
        <w:numPr>
          <w:ilvl w:val="2"/>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customer growth</w:t>
      </w:r>
    </w:p>
    <w:p>
      <w:pPr>
        <w:spacing w:after="0" w:line="5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Offset by:</w:t>
      </w:r>
    </w:p>
    <w:p>
      <w:pPr>
        <w:spacing w:after="0" w:line="50" w:lineRule="exact"/>
        <w:rPr>
          <w:sz w:val="20"/>
          <w:szCs w:val="20"/>
          <w:color w:val="auto"/>
        </w:rPr>
      </w:pPr>
    </w:p>
    <w:p>
      <w:pPr>
        <w:ind w:left="180" w:right="6240" w:firstLine="162"/>
        <w:spacing w:after="0" w:line="305" w:lineRule="auto"/>
        <w:rPr>
          <w:sz w:val="20"/>
          <w:szCs w:val="20"/>
          <w:color w:val="auto"/>
        </w:rPr>
      </w:pPr>
      <w:r>
        <w:rPr>
          <w:rFonts w:ascii="Times New Roman" w:cs="Times New Roman" w:eastAsia="Times New Roman" w:hAnsi="Times New Roman"/>
          <w:sz w:val="18"/>
          <w:szCs w:val="18"/>
          <w:color w:val="auto"/>
        </w:rPr>
        <w:t>• lower customer consumption primarily attributable to weather Offset by:</w:t>
      </w:r>
    </w:p>
    <w:p>
      <w:pPr>
        <w:ind w:left="320" w:hanging="150"/>
        <w:spacing w:after="0"/>
        <w:tabs>
          <w:tab w:leader="none" w:pos="320" w:val="left"/>
        </w:tabs>
        <w:numPr>
          <w:ilvl w:val="1"/>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higher interest expense and depreciation expense associated with increases in invested capital</w:t>
      </w:r>
    </w:p>
    <w:p>
      <w:pPr>
        <w:spacing w:after="0" w:line="49" w:lineRule="exact"/>
        <w:rPr>
          <w:rFonts w:ascii="Times New Roman" w:cs="Times New Roman" w:eastAsia="Times New Roman" w:hAnsi="Times New Roman"/>
          <w:sz w:val="18"/>
          <w:szCs w:val="18"/>
          <w:color w:val="auto"/>
        </w:rPr>
      </w:pPr>
    </w:p>
    <w:p>
      <w:pPr>
        <w:ind w:left="320" w:hanging="150"/>
        <w:spacing w:after="0"/>
        <w:tabs>
          <w:tab w:leader="none" w:pos="320" w:val="left"/>
        </w:tabs>
        <w:numPr>
          <w:ilvl w:val="1"/>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higher O&amp;M</w:t>
      </w:r>
    </w:p>
    <w:p>
      <w:pPr>
        <w:spacing w:after="0" w:line="63" w:lineRule="exact"/>
        <w:rPr>
          <w:rFonts w:ascii="Times New Roman" w:cs="Times New Roman" w:eastAsia="Times New Roman" w:hAnsi="Times New Roman"/>
          <w:sz w:val="18"/>
          <w:szCs w:val="18"/>
          <w:color w:val="auto"/>
        </w:rPr>
      </w:pPr>
    </w:p>
    <w:p>
      <w:pPr>
        <w:ind w:left="160" w:hanging="152"/>
        <w:spacing w:after="0"/>
        <w:tabs>
          <w:tab w:leader="none" w:pos="16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 million at Cameron LNG JV primarily from lower interest expense and higher maintenance revenues</w:t>
      </w:r>
    </w:p>
    <w:p>
      <w:pPr>
        <w:spacing w:after="0" w:line="49" w:lineRule="exact"/>
        <w:rPr>
          <w:rFonts w:ascii="Times New Roman" w:cs="Times New Roman" w:eastAsia="Times New Roman" w:hAnsi="Times New Roman"/>
          <w:sz w:val="18"/>
          <w:szCs w:val="18"/>
          <w:color w:val="auto"/>
        </w:rPr>
      </w:pPr>
    </w:p>
    <w:p>
      <w:pPr>
        <w:ind w:left="160" w:hanging="152"/>
        <w:spacing w:after="0"/>
        <w:tabs>
          <w:tab w:leader="none" w:pos="16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 million at IMG due to lower income tax expense primarily from foreign currency and inflation effects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Earnings Attributable to Noncontrolling Interests</w:t>
      </w:r>
    </w:p>
    <w:p>
      <w:pPr>
        <w:spacing w:after="0" w:line="49"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18"/>
          <w:szCs w:val="18"/>
          <w:color w:val="auto"/>
        </w:rPr>
        <w:t>In the three months ended March 31, 2026 compared to the same period in 2025, Sempra’s earnings attributable to NCI increased by $105 million to $107 million primarily due to an increase in SI Partners subsidiaries’ net income driven by a favorable impact in interest expense from the termination of interest rate swaps in 2026 related to the PA LNG Phase 1 project and lower depreciation expense as a result of classifying SI Partners and Ecogas as held for sale in September 2025 and June 2025,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150495</wp:posOffset>
            </wp:positionV>
            <wp:extent cx="7157720" cy="425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93" w:name="page94"/>
    <w:bookmarkEnd w:id="9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IMPACT OF FOREIGN CURRENCY AND INFLATION RATES ON RESULTS OF OPERATIONS</w:t>
      </w:r>
    </w:p>
    <w:p>
      <w:pPr>
        <w:spacing w:after="0" w:line="118" w:lineRule="exact"/>
        <w:rPr>
          <w:sz w:val="20"/>
          <w:szCs w:val="20"/>
          <w:color w:val="auto"/>
        </w:rPr>
      </w:pPr>
    </w:p>
    <w:p>
      <w:pPr>
        <w:ind w:right="100"/>
        <w:spacing w:after="0" w:line="228" w:lineRule="exact"/>
        <w:rPr>
          <w:sz w:val="20"/>
          <w:szCs w:val="20"/>
          <w:color w:val="auto"/>
        </w:rPr>
      </w:pPr>
      <w:r>
        <w:rPr>
          <w:rFonts w:ascii="Times New Roman" w:cs="Times New Roman" w:eastAsia="Times New Roman" w:hAnsi="Times New Roman"/>
          <w:sz w:val="17"/>
          <w:szCs w:val="17"/>
          <w:color w:val="auto"/>
        </w:rPr>
        <w:t>Because Ecogas, our natural gas distribution utility in Mexico, uses the Mexican peso as its functional currency, its revenues and expenses are translated into U.S. dollars at average exchange rates for the period when included in Sempra’s results of operations. Year</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over</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year differences in average exchange rates used to translate Ecogas’ income statement activity can therefore create variances in our comparative results of operations. In the three months ended March 31, 2026 compared to the same period in 2025, the impact of changes in average foreign currency translation rates on our earnings was $1 million.</w:t>
      </w:r>
    </w:p>
    <w:p>
      <w:pPr>
        <w:spacing w:after="0" w:line="104" w:lineRule="exact"/>
        <w:rPr>
          <w:sz w:val="20"/>
          <w:szCs w:val="20"/>
          <w:color w:val="auto"/>
        </w:rPr>
      </w:pPr>
    </w:p>
    <w:p>
      <w:pPr>
        <w:ind w:right="540"/>
        <w:spacing w:after="0" w:line="282" w:lineRule="auto"/>
        <w:rPr>
          <w:sz w:val="20"/>
          <w:szCs w:val="20"/>
          <w:color w:val="auto"/>
        </w:rPr>
      </w:pPr>
      <w:r>
        <w:rPr>
          <w:rFonts w:ascii="Times New Roman" w:cs="Times New Roman" w:eastAsia="Times New Roman" w:hAnsi="Times New Roman"/>
          <w:sz w:val="18"/>
          <w:szCs w:val="18"/>
          <w:color w:val="auto"/>
        </w:rPr>
        <w:t>We discuss further the impact of foreign currency and inflation rates on results of operations, including impacts on income taxes and related hedging activity, in “Part II – Item 7. MD&amp;A – Impact of Foreign Currency and Inflation Rates on Results of Operations” in the Annual Report.</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impact from fluctuations in foreign currency exchange rates and Mexican inflation on our results of operations is summarized in the following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111760</wp:posOffset>
            </wp:positionV>
            <wp:extent cx="7132320" cy="3003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32320" cy="300355"/>
                    </a:xfrm>
                    <a:prstGeom prst="rect">
                      <a:avLst/>
                    </a:prstGeom>
                    <a:noFill/>
                  </pic:spPr>
                </pic:pic>
              </a:graphicData>
            </a:graphic>
          </wp:anchor>
        </w:drawing>
      </w:r>
    </w:p>
    <w:p>
      <w:pPr>
        <w:spacing w:after="0" w:line="169"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FFFFFF"/>
        </w:rPr>
        <w:t>TRANSACTIONAL GAINS (LOSSES) FROM FOREIGN CURRENCY AND INFLATION EFFECTS</w:t>
      </w:r>
    </w:p>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5520" w:type="dxa"/>
            <w:vAlign w:val="bottom"/>
          </w:tcPr>
          <w:p>
            <w:pPr>
              <w:ind w:left="20"/>
              <w:spacing w:after="0"/>
              <w:rPr>
                <w:sz w:val="20"/>
                <w:szCs w:val="20"/>
                <w:color w:val="auto"/>
              </w:rPr>
            </w:pPr>
            <w:r>
              <w:rPr>
                <w:rFonts w:ascii="Arial" w:cs="Arial" w:eastAsia="Arial" w:hAnsi="Arial"/>
                <w:sz w:val="14"/>
                <w:szCs w:val="14"/>
                <w:i w:val="1"/>
                <w:iCs w:val="1"/>
                <w:color w:val="FFFFFF"/>
              </w:rPr>
              <w:t>(Dollars in millions)</w:t>
            </w:r>
          </w:p>
        </w:tc>
        <w:tc>
          <w:tcPr>
            <w:tcW w:w="8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40" w:type="dxa"/>
            <w:vAlign w:val="bottom"/>
          </w:tcPr>
          <w:p>
            <w:pPr>
              <w:spacing w:after="0"/>
              <w:rPr>
                <w:sz w:val="16"/>
                <w:szCs w:val="16"/>
                <w:color w:val="auto"/>
              </w:rPr>
            </w:pPr>
          </w:p>
        </w:tc>
      </w:tr>
      <w:tr>
        <w:trPr>
          <w:trHeight w:val="201"/>
        </w:trPr>
        <w:tc>
          <w:tcPr>
            <w:tcW w:w="55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80" w:type="dxa"/>
            <w:vAlign w:val="bottom"/>
            <w:gridSpan w:val="3"/>
          </w:tcPr>
          <w:p>
            <w:pPr>
              <w:jc w:val="center"/>
              <w:ind w:right="60"/>
              <w:spacing w:after="0"/>
              <w:rPr>
                <w:sz w:val="20"/>
                <w:szCs w:val="20"/>
                <w:color w:val="auto"/>
              </w:rPr>
            </w:pPr>
            <w:r>
              <w:rPr>
                <w:rFonts w:ascii="Arial" w:cs="Arial" w:eastAsia="Arial" w:hAnsi="Arial"/>
                <w:sz w:val="14"/>
                <w:szCs w:val="14"/>
                <w:color w:val="auto"/>
              </w:rPr>
              <w:t>Transactional gains (losses) included in</w:t>
            </w:r>
          </w:p>
        </w:tc>
      </w:tr>
      <w:tr>
        <w:trPr>
          <w:trHeight w:val="208"/>
        </w:trPr>
        <w:tc>
          <w:tcPr>
            <w:tcW w:w="5520" w:type="dxa"/>
            <w:vAlign w:val="bottom"/>
          </w:tcPr>
          <w:p>
            <w:pPr>
              <w:spacing w:after="0"/>
              <w:rPr>
                <w:sz w:val="18"/>
                <w:szCs w:val="18"/>
                <w:color w:val="auto"/>
              </w:rPr>
            </w:pPr>
          </w:p>
        </w:tc>
        <w:tc>
          <w:tcPr>
            <w:tcW w:w="2920" w:type="dxa"/>
            <w:vAlign w:val="bottom"/>
            <w:tcBorders>
              <w:bottom w:val="single" w:sz="8" w:color="auto"/>
            </w:tcBorders>
            <w:gridSpan w:val="4"/>
          </w:tcPr>
          <w:p>
            <w:pPr>
              <w:jc w:val="right"/>
              <w:ind w:right="721"/>
              <w:spacing w:after="0"/>
              <w:rPr>
                <w:sz w:val="20"/>
                <w:szCs w:val="20"/>
                <w:color w:val="auto"/>
              </w:rPr>
            </w:pPr>
            <w:r>
              <w:rPr>
                <w:rFonts w:ascii="Arial" w:cs="Arial" w:eastAsia="Arial" w:hAnsi="Arial"/>
                <w:sz w:val="14"/>
                <w:szCs w:val="14"/>
                <w:color w:val="auto"/>
              </w:rPr>
              <w:t>Total reported amounts</w:t>
            </w:r>
          </w:p>
        </w:tc>
        <w:tc>
          <w:tcPr>
            <w:tcW w:w="120" w:type="dxa"/>
            <w:vAlign w:val="bottom"/>
            <w:tcBorders>
              <w:bottom w:val="single" w:sz="8" w:color="auto"/>
            </w:tcBorders>
          </w:tcPr>
          <w:p>
            <w:pPr>
              <w:spacing w:after="0"/>
              <w:rPr>
                <w:sz w:val="18"/>
                <w:szCs w:val="18"/>
                <w:color w:val="auto"/>
              </w:rPr>
            </w:pPr>
          </w:p>
        </w:tc>
        <w:tc>
          <w:tcPr>
            <w:tcW w:w="1840" w:type="dxa"/>
            <w:vAlign w:val="bottom"/>
            <w:tcBorders>
              <w:bottom w:val="single" w:sz="8" w:color="auto"/>
            </w:tcBorders>
            <w:gridSpan w:val="2"/>
          </w:tcPr>
          <w:p>
            <w:pPr>
              <w:jc w:val="center"/>
              <w:ind w:left="622"/>
              <w:spacing w:after="0"/>
              <w:rPr>
                <w:sz w:val="20"/>
                <w:szCs w:val="20"/>
                <w:color w:val="auto"/>
              </w:rPr>
            </w:pPr>
            <w:r>
              <w:rPr>
                <w:rFonts w:ascii="Arial" w:cs="Arial" w:eastAsia="Arial" w:hAnsi="Arial"/>
                <w:sz w:val="14"/>
                <w:szCs w:val="14"/>
                <w:color w:val="auto"/>
              </w:rPr>
              <w:t>reported amounts</w:t>
            </w:r>
          </w:p>
        </w:tc>
        <w:tc>
          <w:tcPr>
            <w:tcW w:w="840" w:type="dxa"/>
            <w:vAlign w:val="bottom"/>
            <w:tcBorders>
              <w:bottom w:val="single" w:sz="8" w:color="auto"/>
            </w:tcBorders>
          </w:tcPr>
          <w:p>
            <w:pPr>
              <w:spacing w:after="0"/>
              <w:rPr>
                <w:sz w:val="18"/>
                <w:szCs w:val="18"/>
                <w:color w:val="auto"/>
              </w:rPr>
            </w:pPr>
          </w:p>
        </w:tc>
      </w:tr>
      <w:tr>
        <w:trPr>
          <w:trHeight w:val="210"/>
        </w:trPr>
        <w:tc>
          <w:tcPr>
            <w:tcW w:w="5520" w:type="dxa"/>
            <w:vAlign w:val="bottom"/>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620" w:type="dxa"/>
            <w:vAlign w:val="bottom"/>
            <w:tcBorders>
              <w:bottom w:val="single" w:sz="8" w:color="auto"/>
            </w:tcBorders>
            <w:gridSpan w:val="3"/>
          </w:tcPr>
          <w:p>
            <w:pPr>
              <w:jc w:val="right"/>
              <w:ind w:right="382"/>
              <w:spacing w:after="0"/>
              <w:rPr>
                <w:sz w:val="20"/>
                <w:szCs w:val="20"/>
                <w:color w:val="auto"/>
              </w:rPr>
            </w:pPr>
            <w:r>
              <w:rPr>
                <w:rFonts w:ascii="Arial" w:cs="Arial" w:eastAsia="Arial" w:hAnsi="Arial"/>
                <w:sz w:val="14"/>
                <w:szCs w:val="14"/>
                <w:color w:val="auto"/>
              </w:rPr>
              <w:t>Three months ended March 31,</w:t>
            </w:r>
          </w:p>
        </w:tc>
        <w:tc>
          <w:tcPr>
            <w:tcW w:w="5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r>
      <w:tr>
        <w:trPr>
          <w:trHeight w:val="209"/>
        </w:trPr>
        <w:tc>
          <w:tcPr>
            <w:tcW w:w="55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2026</w:t>
            </w:r>
          </w:p>
        </w:tc>
        <w:tc>
          <w:tcPr>
            <w:tcW w:w="56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561"/>
              <w:spacing w:after="0"/>
              <w:rPr>
                <w:sz w:val="20"/>
                <w:szCs w:val="20"/>
                <w:color w:val="auto"/>
              </w:rPr>
            </w:pPr>
            <w:r>
              <w:rPr>
                <w:rFonts w:ascii="Arial" w:cs="Arial" w:eastAsia="Arial" w:hAnsi="Arial"/>
                <w:sz w:val="14"/>
                <w:szCs w:val="14"/>
                <w:color w:val="auto"/>
              </w:rPr>
              <w:t>2025</w:t>
            </w:r>
          </w:p>
        </w:tc>
        <w:tc>
          <w:tcPr>
            <w:tcW w:w="1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502"/>
              <w:spacing w:after="0"/>
              <w:rPr>
                <w:sz w:val="20"/>
                <w:szCs w:val="20"/>
                <w:color w:val="auto"/>
              </w:rPr>
            </w:pPr>
            <w:r>
              <w:rPr>
                <w:rFonts w:ascii="Arial" w:cs="Arial" w:eastAsia="Arial" w:hAnsi="Arial"/>
                <w:sz w:val="14"/>
                <w:szCs w:val="14"/>
                <w:color w:val="auto"/>
              </w:rPr>
              <w:t>2026</w:t>
            </w:r>
          </w:p>
        </w:tc>
        <w:tc>
          <w:tcPr>
            <w:tcW w:w="5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440"/>
              <w:spacing w:after="0"/>
              <w:rPr>
                <w:sz w:val="20"/>
                <w:szCs w:val="20"/>
                <w:color w:val="auto"/>
              </w:rPr>
            </w:pPr>
            <w:r>
              <w:rPr>
                <w:rFonts w:ascii="Arial" w:cs="Arial" w:eastAsia="Arial" w:hAnsi="Arial"/>
                <w:sz w:val="14"/>
                <w:szCs w:val="14"/>
                <w:color w:val="auto"/>
                <w:w w:val="96"/>
              </w:rPr>
              <w:t>2025</w:t>
            </w:r>
          </w:p>
        </w:tc>
      </w:tr>
      <w:tr>
        <w:trPr>
          <w:trHeight w:val="214"/>
        </w:trPr>
        <w:tc>
          <w:tcPr>
            <w:tcW w:w="5520" w:type="dxa"/>
            <w:vAlign w:val="bottom"/>
            <w:shd w:val="clear" w:color="auto" w:fill="D4F1F5"/>
          </w:tcPr>
          <w:p>
            <w:pPr>
              <w:ind w:left="20"/>
              <w:spacing w:after="0"/>
              <w:rPr>
                <w:sz w:val="20"/>
                <w:szCs w:val="20"/>
                <w:color w:val="auto"/>
              </w:rPr>
            </w:pPr>
            <w:r>
              <w:rPr>
                <w:rFonts w:ascii="Arial" w:cs="Arial" w:eastAsia="Arial" w:hAnsi="Arial"/>
                <w:sz w:val="16"/>
                <w:szCs w:val="16"/>
                <w:b w:val="1"/>
                <w:bCs w:val="1"/>
                <w:color w:val="auto"/>
              </w:rPr>
              <w:t>Sempra:</w:t>
            </w:r>
          </w:p>
        </w:tc>
        <w:tc>
          <w:tcPr>
            <w:tcW w:w="840" w:type="dxa"/>
            <w:vAlign w:val="bottom"/>
            <w:shd w:val="clear" w:color="auto" w:fill="D4F1F5"/>
          </w:tcPr>
          <w:p>
            <w:pPr>
              <w:spacing w:after="0"/>
              <w:rPr>
                <w:sz w:val="18"/>
                <w:szCs w:val="18"/>
                <w:color w:val="auto"/>
              </w:rPr>
            </w:pPr>
          </w:p>
        </w:tc>
        <w:tc>
          <w:tcPr>
            <w:tcW w:w="560" w:type="dxa"/>
            <w:vAlign w:val="bottom"/>
            <w:shd w:val="clear" w:color="auto" w:fill="D4F1F5"/>
          </w:tcPr>
          <w:p>
            <w:pPr>
              <w:spacing w:after="0"/>
              <w:rPr>
                <w:sz w:val="18"/>
                <w:szCs w:val="18"/>
                <w:color w:val="auto"/>
              </w:rPr>
            </w:pPr>
          </w:p>
        </w:tc>
        <w:tc>
          <w:tcPr>
            <w:tcW w:w="300" w:type="dxa"/>
            <w:vAlign w:val="bottom"/>
            <w:shd w:val="clear" w:color="auto" w:fill="D4F1F5"/>
          </w:tcPr>
          <w:p>
            <w:pPr>
              <w:spacing w:after="0"/>
              <w:rPr>
                <w:sz w:val="18"/>
                <w:szCs w:val="18"/>
                <w:color w:val="auto"/>
              </w:rPr>
            </w:pPr>
          </w:p>
        </w:tc>
        <w:tc>
          <w:tcPr>
            <w:tcW w:w="1220" w:type="dxa"/>
            <w:vAlign w:val="bottom"/>
            <w:tcBorders>
              <w:right w:val="single" w:sz="8" w:color="D4F1F5"/>
            </w:tcBorders>
            <w:shd w:val="clear" w:color="auto" w:fill="D4F1F5"/>
          </w:tcPr>
          <w:p>
            <w:pPr>
              <w:spacing w:after="0"/>
              <w:rPr>
                <w:sz w:val="18"/>
                <w:szCs w:val="18"/>
                <w:color w:val="auto"/>
              </w:rPr>
            </w:pPr>
          </w:p>
        </w:tc>
        <w:tc>
          <w:tcPr>
            <w:tcW w:w="120" w:type="dxa"/>
            <w:vAlign w:val="bottom"/>
            <w:shd w:val="clear" w:color="auto" w:fill="D4F1F5"/>
          </w:tcPr>
          <w:p>
            <w:pPr>
              <w:spacing w:after="0"/>
              <w:rPr>
                <w:sz w:val="18"/>
                <w:szCs w:val="18"/>
                <w:color w:val="auto"/>
              </w:rPr>
            </w:pPr>
          </w:p>
        </w:tc>
        <w:tc>
          <w:tcPr>
            <w:tcW w:w="1280" w:type="dxa"/>
            <w:vAlign w:val="bottom"/>
            <w:shd w:val="clear" w:color="auto" w:fill="D4F1F5"/>
          </w:tcPr>
          <w:p>
            <w:pPr>
              <w:spacing w:after="0"/>
              <w:rPr>
                <w:sz w:val="18"/>
                <w:szCs w:val="18"/>
                <w:color w:val="auto"/>
              </w:rPr>
            </w:pPr>
          </w:p>
        </w:tc>
        <w:tc>
          <w:tcPr>
            <w:tcW w:w="560" w:type="dxa"/>
            <w:vAlign w:val="bottom"/>
            <w:shd w:val="clear" w:color="auto" w:fill="D4F1F5"/>
          </w:tcPr>
          <w:p>
            <w:pPr>
              <w:spacing w:after="0"/>
              <w:rPr>
                <w:sz w:val="18"/>
                <w:szCs w:val="18"/>
                <w:color w:val="auto"/>
              </w:rPr>
            </w:pPr>
          </w:p>
        </w:tc>
        <w:tc>
          <w:tcPr>
            <w:tcW w:w="840" w:type="dxa"/>
            <w:vAlign w:val="bottom"/>
            <w:shd w:val="clear" w:color="auto" w:fill="D4F1F5"/>
          </w:tcPr>
          <w:p>
            <w:pPr>
              <w:spacing w:after="0"/>
              <w:rPr>
                <w:sz w:val="18"/>
                <w:szCs w:val="18"/>
                <w:color w:val="auto"/>
              </w:rPr>
            </w:pPr>
          </w:p>
        </w:tc>
      </w:tr>
      <w:tr>
        <w:trPr>
          <w:trHeight w:val="215"/>
        </w:trPr>
        <w:tc>
          <w:tcPr>
            <w:tcW w:w="5520" w:type="dxa"/>
            <w:vAlign w:val="bottom"/>
          </w:tcPr>
          <w:p>
            <w:pPr>
              <w:ind w:left="20"/>
              <w:spacing w:after="0"/>
              <w:rPr>
                <w:sz w:val="20"/>
                <w:szCs w:val="20"/>
                <w:color w:val="auto"/>
              </w:rPr>
            </w:pPr>
            <w:r>
              <w:rPr>
                <w:rFonts w:ascii="Arial" w:cs="Arial" w:eastAsia="Arial" w:hAnsi="Arial"/>
                <w:sz w:val="16"/>
                <w:szCs w:val="16"/>
                <w:color w:val="auto"/>
              </w:rPr>
              <w:t>Other income, net</w:t>
            </w:r>
          </w:p>
        </w:tc>
        <w:tc>
          <w:tcPr>
            <w:tcW w:w="840" w:type="dxa"/>
            <w:vAlign w:val="bottom"/>
          </w:tcPr>
          <w:p>
            <w:pPr>
              <w:jc w:val="right"/>
              <w:ind w:right="665"/>
              <w:spacing w:after="0"/>
              <w:rPr>
                <w:sz w:val="20"/>
                <w:szCs w:val="20"/>
                <w:color w:val="auto"/>
              </w:rPr>
            </w:pPr>
            <w:r>
              <w:rPr>
                <w:rFonts w:ascii="Arial" w:cs="Arial" w:eastAsia="Arial" w:hAnsi="Arial"/>
                <w:sz w:val="16"/>
                <w:szCs w:val="16"/>
                <w:color w:val="auto"/>
                <w:w w:val="89"/>
              </w:rPr>
              <w:t>$</w:t>
            </w:r>
          </w:p>
        </w:tc>
        <w:tc>
          <w:tcPr>
            <w:tcW w:w="560" w:type="dxa"/>
            <w:vAlign w:val="bottom"/>
          </w:tcPr>
          <w:p>
            <w:pPr>
              <w:jc w:val="right"/>
              <w:ind w:right="39"/>
              <w:spacing w:after="0"/>
              <w:rPr>
                <w:sz w:val="20"/>
                <w:szCs w:val="20"/>
                <w:color w:val="auto"/>
              </w:rPr>
            </w:pPr>
            <w:r>
              <w:rPr>
                <w:rFonts w:ascii="Arial" w:cs="Arial" w:eastAsia="Arial" w:hAnsi="Arial"/>
                <w:sz w:val="16"/>
                <w:szCs w:val="16"/>
                <w:color w:val="auto"/>
              </w:rPr>
              <w:t>100</w:t>
            </w:r>
          </w:p>
        </w:tc>
        <w:tc>
          <w:tcPr>
            <w:tcW w:w="30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220" w:type="dxa"/>
            <w:vAlign w:val="bottom"/>
            <w:tcBorders>
              <w:right w:val="single" w:sz="8" w:color="auto"/>
            </w:tcBorders>
          </w:tcPr>
          <w:p>
            <w:pPr>
              <w:jc w:val="right"/>
              <w:ind w:right="121"/>
              <w:spacing w:after="0"/>
              <w:rPr>
                <w:sz w:val="20"/>
                <w:szCs w:val="20"/>
                <w:color w:val="auto"/>
              </w:rPr>
            </w:pPr>
            <w:r>
              <w:rPr>
                <w:rFonts w:ascii="Arial" w:cs="Arial" w:eastAsia="Arial" w:hAnsi="Arial"/>
                <w:sz w:val="16"/>
                <w:szCs w:val="16"/>
                <w:color w:val="auto"/>
              </w:rPr>
              <w:t>91</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Pr>
          <w:p>
            <w:pPr>
              <w:jc w:val="right"/>
              <w:ind w:right="42"/>
              <w:spacing w:after="0"/>
              <w:rPr>
                <w:sz w:val="20"/>
                <w:szCs w:val="20"/>
                <w:color w:val="auto"/>
              </w:rPr>
            </w:pPr>
            <w:r>
              <w:rPr>
                <w:rFonts w:ascii="Arial" w:cs="Arial" w:eastAsia="Arial" w:hAnsi="Arial"/>
                <w:sz w:val="16"/>
                <w:szCs w:val="16"/>
                <w:color w:val="auto"/>
              </w:rPr>
              <w:t>8</w:t>
            </w:r>
          </w:p>
        </w:tc>
        <w:tc>
          <w:tcPr>
            <w:tcW w:w="560" w:type="dxa"/>
            <w:vAlign w:val="bottom"/>
          </w:tcPr>
          <w:p>
            <w:pPr>
              <w:jc w:val="right"/>
              <w:ind w:right="319"/>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4</w:t>
            </w:r>
          </w:p>
        </w:tc>
      </w:tr>
      <w:tr>
        <w:trPr>
          <w:trHeight w:val="217"/>
        </w:trPr>
        <w:tc>
          <w:tcPr>
            <w:tcW w:w="5520" w:type="dxa"/>
            <w:vAlign w:val="bottom"/>
            <w:shd w:val="clear" w:color="auto" w:fill="D4F1F5"/>
          </w:tcPr>
          <w:p>
            <w:pPr>
              <w:ind w:left="20"/>
              <w:spacing w:after="0"/>
              <w:rPr>
                <w:sz w:val="20"/>
                <w:szCs w:val="20"/>
                <w:color w:val="auto"/>
              </w:rPr>
            </w:pPr>
            <w:r>
              <w:rPr>
                <w:rFonts w:ascii="Arial" w:cs="Arial" w:eastAsia="Arial" w:hAnsi="Arial"/>
                <w:sz w:val="16"/>
                <w:szCs w:val="16"/>
                <w:color w:val="auto"/>
              </w:rPr>
              <w:t>Income tax expense</w:t>
            </w:r>
          </w:p>
        </w:tc>
        <w:tc>
          <w:tcPr>
            <w:tcW w:w="840" w:type="dxa"/>
            <w:vAlign w:val="bottom"/>
            <w:shd w:val="clear" w:color="auto" w:fill="D4F1F5"/>
          </w:tcPr>
          <w:p>
            <w:pPr>
              <w:spacing w:after="0"/>
              <w:rPr>
                <w:sz w:val="18"/>
                <w:szCs w:val="18"/>
                <w:color w:val="auto"/>
              </w:rPr>
            </w:pPr>
          </w:p>
        </w:tc>
        <w:tc>
          <w:tcPr>
            <w:tcW w:w="560" w:type="dxa"/>
            <w:vAlign w:val="bottom"/>
            <w:shd w:val="clear" w:color="auto" w:fill="D4F1F5"/>
          </w:tcPr>
          <w:p>
            <w:pPr>
              <w:jc w:val="right"/>
              <w:spacing w:after="0"/>
              <w:rPr>
                <w:sz w:val="20"/>
                <w:szCs w:val="20"/>
                <w:color w:val="auto"/>
              </w:rPr>
            </w:pPr>
            <w:r>
              <w:rPr>
                <w:rFonts w:ascii="Arial" w:cs="Arial" w:eastAsia="Arial" w:hAnsi="Arial"/>
                <w:sz w:val="16"/>
                <w:szCs w:val="16"/>
                <w:color w:val="auto"/>
              </w:rPr>
              <w:t>(65)</w:t>
            </w:r>
          </w:p>
        </w:tc>
        <w:tc>
          <w:tcPr>
            <w:tcW w:w="300" w:type="dxa"/>
            <w:vAlign w:val="bottom"/>
            <w:shd w:val="clear" w:color="auto" w:fill="D4F1F5"/>
          </w:tcPr>
          <w:p>
            <w:pPr>
              <w:spacing w:after="0"/>
              <w:rPr>
                <w:sz w:val="18"/>
                <w:szCs w:val="18"/>
                <w:color w:val="auto"/>
              </w:rPr>
            </w:pPr>
          </w:p>
        </w:tc>
        <w:tc>
          <w:tcPr>
            <w:tcW w:w="1220" w:type="dxa"/>
            <w:vAlign w:val="bottom"/>
            <w:tcBorders>
              <w:right w:val="single" w:sz="8" w:color="auto"/>
            </w:tcBorders>
            <w:shd w:val="clear" w:color="auto" w:fill="D4F1F5"/>
          </w:tcPr>
          <w:p>
            <w:pPr>
              <w:jc w:val="right"/>
              <w:ind w:right="81"/>
              <w:spacing w:after="0"/>
              <w:rPr>
                <w:sz w:val="20"/>
                <w:szCs w:val="20"/>
                <w:color w:val="auto"/>
              </w:rPr>
            </w:pPr>
            <w:r>
              <w:rPr>
                <w:rFonts w:ascii="Arial" w:cs="Arial" w:eastAsia="Arial" w:hAnsi="Arial"/>
                <w:sz w:val="16"/>
                <w:szCs w:val="16"/>
                <w:color w:val="auto"/>
              </w:rPr>
              <w:t>(57)</w:t>
            </w:r>
          </w:p>
        </w:tc>
        <w:tc>
          <w:tcPr>
            <w:tcW w:w="120" w:type="dxa"/>
            <w:vAlign w:val="bottom"/>
            <w:shd w:val="clear" w:color="auto" w:fill="D4F1F5"/>
          </w:tcPr>
          <w:p>
            <w:pPr>
              <w:spacing w:after="0"/>
              <w:rPr>
                <w:sz w:val="18"/>
                <w:szCs w:val="18"/>
                <w:color w:val="auto"/>
              </w:rPr>
            </w:pPr>
          </w:p>
        </w:tc>
        <w:tc>
          <w:tcPr>
            <w:tcW w:w="1280" w:type="dxa"/>
            <w:vAlign w:val="bottom"/>
            <w:shd w:val="clear" w:color="auto" w:fill="D4F1F5"/>
          </w:tcPr>
          <w:p>
            <w:pPr>
              <w:jc w:val="right"/>
              <w:ind w:right="42"/>
              <w:spacing w:after="0"/>
              <w:rPr>
                <w:sz w:val="20"/>
                <w:szCs w:val="20"/>
                <w:color w:val="auto"/>
              </w:rPr>
            </w:pPr>
            <w:r>
              <w:rPr>
                <w:rFonts w:ascii="Arial" w:cs="Arial" w:eastAsia="Arial" w:hAnsi="Arial"/>
                <w:sz w:val="16"/>
                <w:szCs w:val="16"/>
                <w:color w:val="auto"/>
              </w:rPr>
              <w:t>18</w:t>
            </w:r>
          </w:p>
        </w:tc>
        <w:tc>
          <w:tcPr>
            <w:tcW w:w="560" w:type="dxa"/>
            <w:vAlign w:val="bottom"/>
            <w:shd w:val="clear" w:color="auto" w:fill="D4F1F5"/>
          </w:tcPr>
          <w:p>
            <w:pPr>
              <w:spacing w:after="0"/>
              <w:rPr>
                <w:sz w:val="18"/>
                <w:szCs w:val="18"/>
                <w:color w:val="auto"/>
              </w:rPr>
            </w:pPr>
          </w:p>
        </w:tc>
        <w:tc>
          <w:tcPr>
            <w:tcW w:w="840" w:type="dxa"/>
            <w:vAlign w:val="bottom"/>
            <w:shd w:val="clear" w:color="auto" w:fill="D4F1F5"/>
          </w:tcPr>
          <w:p>
            <w:pPr>
              <w:jc w:val="right"/>
              <w:spacing w:after="0"/>
              <w:rPr>
                <w:sz w:val="20"/>
                <w:szCs w:val="20"/>
                <w:color w:val="auto"/>
              </w:rPr>
            </w:pPr>
            <w:r>
              <w:rPr>
                <w:rFonts w:ascii="Arial" w:cs="Arial" w:eastAsia="Arial" w:hAnsi="Arial"/>
                <w:sz w:val="16"/>
                <w:szCs w:val="16"/>
                <w:color w:val="auto"/>
              </w:rPr>
              <w:t>10</w:t>
            </w:r>
          </w:p>
        </w:tc>
      </w:tr>
      <w:tr>
        <w:trPr>
          <w:trHeight w:val="215"/>
        </w:trPr>
        <w:tc>
          <w:tcPr>
            <w:tcW w:w="5520" w:type="dxa"/>
            <w:vAlign w:val="bottom"/>
          </w:tcPr>
          <w:p>
            <w:pPr>
              <w:ind w:left="20"/>
              <w:spacing w:after="0"/>
              <w:rPr>
                <w:sz w:val="20"/>
                <w:szCs w:val="20"/>
                <w:color w:val="auto"/>
              </w:rPr>
            </w:pPr>
            <w:r>
              <w:rPr>
                <w:rFonts w:ascii="Arial" w:cs="Arial" w:eastAsia="Arial" w:hAnsi="Arial"/>
                <w:sz w:val="16"/>
                <w:szCs w:val="16"/>
                <w:color w:val="auto"/>
              </w:rPr>
              <w:t>Equity earnings</w:t>
            </w:r>
          </w:p>
        </w:tc>
        <w:tc>
          <w:tcPr>
            <w:tcW w:w="840" w:type="dxa"/>
            <w:vAlign w:val="bottom"/>
          </w:tcPr>
          <w:p>
            <w:pPr>
              <w:spacing w:after="0"/>
              <w:rPr>
                <w:sz w:val="18"/>
                <w:szCs w:val="18"/>
                <w:color w:val="auto"/>
              </w:rPr>
            </w:pPr>
          </w:p>
        </w:tc>
        <w:tc>
          <w:tcPr>
            <w:tcW w:w="560" w:type="dxa"/>
            <w:vAlign w:val="bottom"/>
          </w:tcPr>
          <w:p>
            <w:pPr>
              <w:jc w:val="right"/>
              <w:ind w:right="39"/>
              <w:spacing w:after="0"/>
              <w:rPr>
                <w:sz w:val="20"/>
                <w:szCs w:val="20"/>
                <w:color w:val="auto"/>
              </w:rPr>
            </w:pPr>
            <w:r>
              <w:rPr>
                <w:rFonts w:ascii="Arial" w:cs="Arial" w:eastAsia="Arial" w:hAnsi="Arial"/>
                <w:sz w:val="16"/>
                <w:szCs w:val="16"/>
                <w:color w:val="auto"/>
              </w:rPr>
              <w:t>367</w:t>
            </w:r>
          </w:p>
        </w:tc>
        <w:tc>
          <w:tcPr>
            <w:tcW w:w="300" w:type="dxa"/>
            <w:vAlign w:val="bottom"/>
          </w:tcPr>
          <w:p>
            <w:pPr>
              <w:spacing w:after="0"/>
              <w:rPr>
                <w:sz w:val="18"/>
                <w:szCs w:val="18"/>
                <w:color w:val="auto"/>
              </w:rPr>
            </w:pPr>
          </w:p>
        </w:tc>
        <w:tc>
          <w:tcPr>
            <w:tcW w:w="1220" w:type="dxa"/>
            <w:vAlign w:val="bottom"/>
            <w:tcBorders>
              <w:right w:val="single" w:sz="8" w:color="auto"/>
            </w:tcBorders>
          </w:tcPr>
          <w:p>
            <w:pPr>
              <w:jc w:val="right"/>
              <w:ind w:right="121"/>
              <w:spacing w:after="0"/>
              <w:rPr>
                <w:sz w:val="20"/>
                <w:szCs w:val="20"/>
                <w:color w:val="auto"/>
              </w:rPr>
            </w:pPr>
            <w:r>
              <w:rPr>
                <w:rFonts w:ascii="Arial" w:cs="Arial" w:eastAsia="Arial" w:hAnsi="Arial"/>
                <w:sz w:val="16"/>
                <w:szCs w:val="16"/>
                <w:color w:val="auto"/>
              </w:rPr>
              <w:t>325</w:t>
            </w:r>
          </w:p>
        </w:tc>
        <w:tc>
          <w:tcPr>
            <w:tcW w:w="120" w:type="dxa"/>
            <w:vAlign w:val="bottom"/>
          </w:tcPr>
          <w:p>
            <w:pPr>
              <w:spacing w:after="0"/>
              <w:rPr>
                <w:sz w:val="18"/>
                <w:szCs w:val="18"/>
                <w:color w:val="auto"/>
              </w:rPr>
            </w:pPr>
          </w:p>
        </w:tc>
        <w:tc>
          <w:tcPr>
            <w:tcW w:w="1280" w:type="dxa"/>
            <w:vAlign w:val="bottom"/>
          </w:tcPr>
          <w:p>
            <w:pPr>
              <w:jc w:val="right"/>
              <w:ind w:right="42"/>
              <w:spacing w:after="0"/>
              <w:rPr>
                <w:sz w:val="20"/>
                <w:szCs w:val="20"/>
                <w:color w:val="auto"/>
              </w:rPr>
            </w:pPr>
            <w:r>
              <w:rPr>
                <w:rFonts w:ascii="Arial" w:cs="Arial" w:eastAsia="Arial" w:hAnsi="Arial"/>
                <w:sz w:val="16"/>
                <w:szCs w:val="16"/>
                <w:color w:val="auto"/>
              </w:rPr>
              <w:t>3</w:t>
            </w:r>
          </w:p>
        </w:tc>
        <w:tc>
          <w:tcPr>
            <w:tcW w:w="5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w:t>
            </w:r>
          </w:p>
        </w:tc>
      </w:tr>
      <w:tr>
        <w:trPr>
          <w:trHeight w:val="217"/>
        </w:trPr>
        <w:tc>
          <w:tcPr>
            <w:tcW w:w="5520" w:type="dxa"/>
            <w:vAlign w:val="bottom"/>
            <w:shd w:val="clear" w:color="auto" w:fill="D4F1F5"/>
          </w:tcPr>
          <w:p>
            <w:pPr>
              <w:ind w:left="20"/>
              <w:spacing w:after="0"/>
              <w:rPr>
                <w:sz w:val="20"/>
                <w:szCs w:val="20"/>
                <w:color w:val="auto"/>
              </w:rPr>
            </w:pPr>
            <w:r>
              <w:rPr>
                <w:rFonts w:ascii="Arial" w:cs="Arial" w:eastAsia="Arial" w:hAnsi="Arial"/>
                <w:sz w:val="16"/>
                <w:szCs w:val="16"/>
                <w:color w:val="auto"/>
              </w:rPr>
              <w:t>Net income</w:t>
            </w:r>
          </w:p>
        </w:tc>
        <w:tc>
          <w:tcPr>
            <w:tcW w:w="840" w:type="dxa"/>
            <w:vAlign w:val="bottom"/>
            <w:shd w:val="clear" w:color="auto" w:fill="D4F1F5"/>
          </w:tcPr>
          <w:p>
            <w:pPr>
              <w:spacing w:after="0"/>
              <w:rPr>
                <w:sz w:val="18"/>
                <w:szCs w:val="18"/>
                <w:color w:val="auto"/>
              </w:rPr>
            </w:pPr>
          </w:p>
        </w:tc>
        <w:tc>
          <w:tcPr>
            <w:tcW w:w="560" w:type="dxa"/>
            <w:vAlign w:val="bottom"/>
            <w:shd w:val="clear" w:color="auto" w:fill="D4F1F5"/>
          </w:tcPr>
          <w:p>
            <w:pPr>
              <w:jc w:val="right"/>
              <w:ind w:right="39"/>
              <w:spacing w:after="0"/>
              <w:rPr>
                <w:sz w:val="20"/>
                <w:szCs w:val="20"/>
                <w:color w:val="auto"/>
              </w:rPr>
            </w:pPr>
            <w:r>
              <w:rPr>
                <w:rFonts w:ascii="Arial" w:cs="Arial" w:eastAsia="Arial" w:hAnsi="Arial"/>
                <w:sz w:val="16"/>
                <w:szCs w:val="16"/>
                <w:color w:val="auto"/>
              </w:rPr>
              <w:t>1,150</w:t>
            </w:r>
          </w:p>
        </w:tc>
        <w:tc>
          <w:tcPr>
            <w:tcW w:w="300" w:type="dxa"/>
            <w:vAlign w:val="bottom"/>
            <w:shd w:val="clear" w:color="auto" w:fill="D4F1F5"/>
          </w:tcPr>
          <w:p>
            <w:pPr>
              <w:spacing w:after="0"/>
              <w:rPr>
                <w:sz w:val="18"/>
                <w:szCs w:val="18"/>
                <w:color w:val="auto"/>
              </w:rPr>
            </w:pPr>
          </w:p>
        </w:tc>
        <w:tc>
          <w:tcPr>
            <w:tcW w:w="1220" w:type="dxa"/>
            <w:vAlign w:val="bottom"/>
            <w:tcBorders>
              <w:right w:val="single" w:sz="8" w:color="auto"/>
            </w:tcBorders>
            <w:shd w:val="clear" w:color="auto" w:fill="D4F1F5"/>
          </w:tcPr>
          <w:p>
            <w:pPr>
              <w:jc w:val="right"/>
              <w:ind w:right="121"/>
              <w:spacing w:after="0"/>
              <w:rPr>
                <w:sz w:val="20"/>
                <w:szCs w:val="20"/>
                <w:color w:val="auto"/>
              </w:rPr>
            </w:pPr>
            <w:r>
              <w:rPr>
                <w:rFonts w:ascii="Arial" w:cs="Arial" w:eastAsia="Arial" w:hAnsi="Arial"/>
                <w:sz w:val="16"/>
                <w:szCs w:val="16"/>
                <w:color w:val="auto"/>
              </w:rPr>
              <w:t>919</w:t>
            </w:r>
          </w:p>
        </w:tc>
        <w:tc>
          <w:tcPr>
            <w:tcW w:w="120" w:type="dxa"/>
            <w:vAlign w:val="bottom"/>
            <w:shd w:val="clear" w:color="auto" w:fill="D4F1F5"/>
          </w:tcPr>
          <w:p>
            <w:pPr>
              <w:spacing w:after="0"/>
              <w:rPr>
                <w:sz w:val="18"/>
                <w:szCs w:val="18"/>
                <w:color w:val="auto"/>
              </w:rPr>
            </w:pPr>
          </w:p>
        </w:tc>
        <w:tc>
          <w:tcPr>
            <w:tcW w:w="1280" w:type="dxa"/>
            <w:vAlign w:val="bottom"/>
            <w:shd w:val="clear" w:color="auto" w:fill="D4F1F5"/>
          </w:tcPr>
          <w:p>
            <w:pPr>
              <w:jc w:val="right"/>
              <w:ind w:right="42"/>
              <w:spacing w:after="0"/>
              <w:rPr>
                <w:sz w:val="20"/>
                <w:szCs w:val="20"/>
                <w:color w:val="auto"/>
              </w:rPr>
            </w:pPr>
            <w:r>
              <w:rPr>
                <w:rFonts w:ascii="Arial" w:cs="Arial" w:eastAsia="Arial" w:hAnsi="Arial"/>
                <w:sz w:val="16"/>
                <w:szCs w:val="16"/>
                <w:color w:val="auto"/>
              </w:rPr>
              <w:t>29</w:t>
            </w:r>
          </w:p>
        </w:tc>
        <w:tc>
          <w:tcPr>
            <w:tcW w:w="560" w:type="dxa"/>
            <w:vAlign w:val="bottom"/>
            <w:shd w:val="clear" w:color="auto" w:fill="D4F1F5"/>
          </w:tcPr>
          <w:p>
            <w:pPr>
              <w:spacing w:after="0"/>
              <w:rPr>
                <w:sz w:val="18"/>
                <w:szCs w:val="18"/>
                <w:color w:val="auto"/>
              </w:rPr>
            </w:pPr>
          </w:p>
        </w:tc>
        <w:tc>
          <w:tcPr>
            <w:tcW w:w="840" w:type="dxa"/>
            <w:vAlign w:val="bottom"/>
            <w:shd w:val="clear" w:color="auto" w:fill="D4F1F5"/>
          </w:tcPr>
          <w:p>
            <w:pPr>
              <w:jc w:val="right"/>
              <w:spacing w:after="0"/>
              <w:rPr>
                <w:sz w:val="20"/>
                <w:szCs w:val="20"/>
                <w:color w:val="auto"/>
              </w:rPr>
            </w:pPr>
            <w:r>
              <w:rPr>
                <w:rFonts w:ascii="Arial" w:cs="Arial" w:eastAsia="Arial" w:hAnsi="Arial"/>
                <w:sz w:val="16"/>
                <w:szCs w:val="16"/>
                <w:color w:val="auto"/>
              </w:rPr>
              <w:t>12</w:t>
            </w:r>
          </w:p>
        </w:tc>
      </w:tr>
      <w:tr>
        <w:trPr>
          <w:trHeight w:val="215"/>
        </w:trPr>
        <w:tc>
          <w:tcPr>
            <w:tcW w:w="5520" w:type="dxa"/>
            <w:vAlign w:val="bottom"/>
          </w:tcPr>
          <w:p>
            <w:pPr>
              <w:ind w:left="20"/>
              <w:spacing w:after="0"/>
              <w:rPr>
                <w:sz w:val="20"/>
                <w:szCs w:val="20"/>
                <w:color w:val="auto"/>
              </w:rPr>
            </w:pPr>
            <w:r>
              <w:rPr>
                <w:rFonts w:ascii="Arial" w:cs="Arial" w:eastAsia="Arial" w:hAnsi="Arial"/>
                <w:sz w:val="16"/>
                <w:szCs w:val="16"/>
                <w:color w:val="auto"/>
              </w:rPr>
              <w:t>Earnings attributable to noncontrolling interests</w:t>
            </w:r>
          </w:p>
        </w:tc>
        <w:tc>
          <w:tcPr>
            <w:tcW w:w="8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(107)</w:t>
            </w:r>
          </w:p>
        </w:tc>
        <w:tc>
          <w:tcPr>
            <w:tcW w:w="300" w:type="dxa"/>
            <w:vAlign w:val="bottom"/>
          </w:tcPr>
          <w:p>
            <w:pPr>
              <w:spacing w:after="0"/>
              <w:rPr>
                <w:sz w:val="18"/>
                <w:szCs w:val="18"/>
                <w:color w:val="auto"/>
              </w:rPr>
            </w:pPr>
          </w:p>
        </w:tc>
        <w:tc>
          <w:tcPr>
            <w:tcW w:w="1220" w:type="dxa"/>
            <w:vAlign w:val="bottom"/>
            <w:tcBorders>
              <w:right w:val="single" w:sz="8" w:color="auto"/>
            </w:tcBorders>
          </w:tcPr>
          <w:p>
            <w:pPr>
              <w:jc w:val="right"/>
              <w:ind w:right="81"/>
              <w:spacing w:after="0"/>
              <w:rPr>
                <w:sz w:val="20"/>
                <w:szCs w:val="20"/>
                <w:color w:val="auto"/>
              </w:rPr>
            </w:pPr>
            <w:r>
              <w:rPr>
                <w:rFonts w:ascii="Arial" w:cs="Arial" w:eastAsia="Arial" w:hAnsi="Arial"/>
                <w:sz w:val="16"/>
                <w:szCs w:val="16"/>
                <w:color w:val="auto"/>
              </w:rPr>
              <w:t>(2)</w:t>
            </w:r>
          </w:p>
        </w:tc>
        <w:tc>
          <w:tcPr>
            <w:tcW w:w="120" w:type="dxa"/>
            <w:vAlign w:val="bottom"/>
          </w:tcPr>
          <w:p>
            <w:pPr>
              <w:spacing w:after="0"/>
              <w:rPr>
                <w:sz w:val="18"/>
                <w:szCs w:val="18"/>
                <w:color w:val="auto"/>
              </w:rPr>
            </w:pPr>
          </w:p>
        </w:tc>
        <w:tc>
          <w:tcPr>
            <w:tcW w:w="1280" w:type="dxa"/>
            <w:vAlign w:val="bottom"/>
          </w:tcPr>
          <w:p>
            <w:pPr>
              <w:jc w:val="right"/>
              <w:ind w:right="2"/>
              <w:spacing w:after="0"/>
              <w:rPr>
                <w:sz w:val="20"/>
                <w:szCs w:val="20"/>
                <w:color w:val="auto"/>
              </w:rPr>
            </w:pPr>
            <w:r>
              <w:rPr>
                <w:rFonts w:ascii="Arial" w:cs="Arial" w:eastAsia="Arial" w:hAnsi="Arial"/>
                <w:sz w:val="16"/>
                <w:szCs w:val="16"/>
                <w:color w:val="auto"/>
              </w:rPr>
              <w:t>(10)</w:t>
            </w:r>
          </w:p>
        </w:tc>
        <w:tc>
          <w:tcPr>
            <w:tcW w:w="5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(4)</w:t>
            </w:r>
          </w:p>
        </w:tc>
      </w:tr>
      <w:tr>
        <w:trPr>
          <w:trHeight w:val="224"/>
        </w:trPr>
        <w:tc>
          <w:tcPr>
            <w:tcW w:w="5520" w:type="dxa"/>
            <w:vAlign w:val="bottom"/>
            <w:tcBorders>
              <w:bottom w:val="single" w:sz="8" w:color="ACACAC"/>
            </w:tcBorders>
            <w:shd w:val="clear" w:color="auto" w:fill="D4F1F5"/>
          </w:tcPr>
          <w:p>
            <w:pPr>
              <w:ind w:left="20"/>
              <w:spacing w:after="0"/>
              <w:rPr>
                <w:sz w:val="20"/>
                <w:szCs w:val="20"/>
                <w:color w:val="auto"/>
              </w:rPr>
            </w:pPr>
            <w:r>
              <w:rPr>
                <w:rFonts w:ascii="Arial" w:cs="Arial" w:eastAsia="Arial" w:hAnsi="Arial"/>
                <w:sz w:val="16"/>
                <w:szCs w:val="16"/>
                <w:color w:val="auto"/>
              </w:rPr>
              <w:t>Earnings attributable to common shares</w:t>
            </w:r>
          </w:p>
        </w:tc>
        <w:tc>
          <w:tcPr>
            <w:tcW w:w="840" w:type="dxa"/>
            <w:vAlign w:val="bottom"/>
            <w:tcBorders>
              <w:bottom w:val="single" w:sz="8" w:color="ACACAC"/>
            </w:tcBorders>
            <w:shd w:val="clear" w:color="auto" w:fill="D4F1F5"/>
          </w:tcPr>
          <w:p>
            <w:pPr>
              <w:spacing w:after="0"/>
              <w:rPr>
                <w:sz w:val="19"/>
                <w:szCs w:val="19"/>
                <w:color w:val="auto"/>
              </w:rPr>
            </w:pPr>
          </w:p>
        </w:tc>
        <w:tc>
          <w:tcPr>
            <w:tcW w:w="560" w:type="dxa"/>
            <w:vAlign w:val="bottom"/>
            <w:tcBorders>
              <w:bottom w:val="single" w:sz="8" w:color="ACACAC"/>
            </w:tcBorders>
            <w:shd w:val="clear" w:color="auto" w:fill="D4F1F5"/>
          </w:tcPr>
          <w:p>
            <w:pPr>
              <w:jc w:val="right"/>
              <w:ind w:right="39"/>
              <w:spacing w:after="0"/>
              <w:rPr>
                <w:sz w:val="20"/>
                <w:szCs w:val="20"/>
                <w:color w:val="auto"/>
              </w:rPr>
            </w:pPr>
            <w:r>
              <w:rPr>
                <w:rFonts w:ascii="Arial" w:cs="Arial" w:eastAsia="Arial" w:hAnsi="Arial"/>
                <w:sz w:val="16"/>
                <w:szCs w:val="16"/>
                <w:color w:val="auto"/>
              </w:rPr>
              <w:t>1,037</w:t>
            </w:r>
          </w:p>
        </w:tc>
        <w:tc>
          <w:tcPr>
            <w:tcW w:w="300" w:type="dxa"/>
            <w:vAlign w:val="bottom"/>
            <w:tcBorders>
              <w:bottom w:val="single" w:sz="8" w:color="ACACAC"/>
            </w:tcBorders>
            <w:shd w:val="clear" w:color="auto" w:fill="D4F1F5"/>
          </w:tcPr>
          <w:p>
            <w:pPr>
              <w:spacing w:after="0"/>
              <w:rPr>
                <w:sz w:val="19"/>
                <w:szCs w:val="19"/>
                <w:color w:val="auto"/>
              </w:rPr>
            </w:pPr>
          </w:p>
        </w:tc>
        <w:tc>
          <w:tcPr>
            <w:tcW w:w="1220" w:type="dxa"/>
            <w:vAlign w:val="bottom"/>
            <w:tcBorders>
              <w:bottom w:val="single" w:sz="8" w:color="ACACAC"/>
              <w:right w:val="single" w:sz="8" w:color="auto"/>
            </w:tcBorders>
            <w:shd w:val="clear" w:color="auto" w:fill="D4F1F5"/>
          </w:tcPr>
          <w:p>
            <w:pPr>
              <w:jc w:val="right"/>
              <w:ind w:right="121"/>
              <w:spacing w:after="0"/>
              <w:rPr>
                <w:sz w:val="20"/>
                <w:szCs w:val="20"/>
                <w:color w:val="auto"/>
              </w:rPr>
            </w:pPr>
            <w:r>
              <w:rPr>
                <w:rFonts w:ascii="Arial" w:cs="Arial" w:eastAsia="Arial" w:hAnsi="Arial"/>
                <w:sz w:val="16"/>
                <w:szCs w:val="16"/>
                <w:color w:val="auto"/>
              </w:rPr>
              <w:t>906</w:t>
            </w:r>
          </w:p>
        </w:tc>
        <w:tc>
          <w:tcPr>
            <w:tcW w:w="120" w:type="dxa"/>
            <w:vAlign w:val="bottom"/>
            <w:tcBorders>
              <w:bottom w:val="single" w:sz="8" w:color="ACACAC"/>
            </w:tcBorders>
            <w:shd w:val="clear" w:color="auto" w:fill="D4F1F5"/>
          </w:tcPr>
          <w:p>
            <w:pPr>
              <w:spacing w:after="0"/>
              <w:rPr>
                <w:sz w:val="19"/>
                <w:szCs w:val="19"/>
                <w:color w:val="auto"/>
              </w:rPr>
            </w:pPr>
          </w:p>
        </w:tc>
        <w:tc>
          <w:tcPr>
            <w:tcW w:w="1280" w:type="dxa"/>
            <w:vAlign w:val="bottom"/>
            <w:tcBorders>
              <w:bottom w:val="single" w:sz="8" w:color="ACACAC"/>
            </w:tcBorders>
            <w:shd w:val="clear" w:color="auto" w:fill="D4F1F5"/>
          </w:tcPr>
          <w:p>
            <w:pPr>
              <w:jc w:val="right"/>
              <w:ind w:right="42"/>
              <w:spacing w:after="0"/>
              <w:rPr>
                <w:sz w:val="20"/>
                <w:szCs w:val="20"/>
                <w:color w:val="auto"/>
              </w:rPr>
            </w:pPr>
            <w:r>
              <w:rPr>
                <w:rFonts w:ascii="Arial" w:cs="Arial" w:eastAsia="Arial" w:hAnsi="Arial"/>
                <w:sz w:val="16"/>
                <w:szCs w:val="16"/>
                <w:color w:val="auto"/>
              </w:rPr>
              <w:t>19</w:t>
            </w:r>
          </w:p>
        </w:tc>
        <w:tc>
          <w:tcPr>
            <w:tcW w:w="560" w:type="dxa"/>
            <w:vAlign w:val="bottom"/>
            <w:tcBorders>
              <w:bottom w:val="single" w:sz="8" w:color="ACACAC"/>
            </w:tcBorders>
            <w:shd w:val="clear" w:color="auto" w:fill="D4F1F5"/>
          </w:tcPr>
          <w:p>
            <w:pPr>
              <w:spacing w:after="0"/>
              <w:rPr>
                <w:sz w:val="19"/>
                <w:szCs w:val="19"/>
                <w:color w:val="auto"/>
              </w:rPr>
            </w:pPr>
          </w:p>
        </w:tc>
        <w:tc>
          <w:tcPr>
            <w:tcW w:w="840" w:type="dxa"/>
            <w:vAlign w:val="bottom"/>
            <w:tcBorders>
              <w:bottom w:val="single" w:sz="8" w:color="ACACAC"/>
            </w:tcBorders>
            <w:shd w:val="clear" w:color="auto" w:fill="D4F1F5"/>
          </w:tcPr>
          <w:p>
            <w:pPr>
              <w:jc w:val="right"/>
              <w:spacing w:after="0"/>
              <w:rPr>
                <w:sz w:val="20"/>
                <w:szCs w:val="20"/>
                <w:color w:val="auto"/>
              </w:rPr>
            </w:pPr>
            <w:r>
              <w:rPr>
                <w:rFonts w:ascii="Arial" w:cs="Arial" w:eastAsia="Arial" w:hAnsi="Arial"/>
                <w:sz w:val="16"/>
                <w:szCs w:val="16"/>
                <w:color w:val="auto"/>
              </w:rPr>
              <w:t>8</w:t>
            </w:r>
          </w:p>
        </w:tc>
      </w:tr>
    </w:tbl>
    <w:p>
      <w:pPr>
        <w:spacing w:after="0" w:line="225" w:lineRule="exact"/>
        <w:rPr>
          <w:sz w:val="20"/>
          <w:szCs w:val="20"/>
          <w:color w:val="auto"/>
        </w:rPr>
      </w:pPr>
    </w:p>
    <w:p>
      <w:pPr>
        <w:ind w:right="60"/>
        <w:spacing w:after="0" w:line="281" w:lineRule="auto"/>
        <w:rPr>
          <w:sz w:val="20"/>
          <w:szCs w:val="20"/>
          <w:color w:val="auto"/>
        </w:rPr>
      </w:pPr>
      <w:r>
        <w:rPr>
          <w:rFonts w:ascii="Times New Roman" w:cs="Times New Roman" w:eastAsia="Times New Roman" w:hAnsi="Times New Roman"/>
          <w:sz w:val="18"/>
          <w:szCs w:val="18"/>
          <w:color w:val="auto"/>
        </w:rPr>
        <w:t>At March 31, 2026, SI Partners, which holds our foreign operations, is classified as held for sale. Upon completion of the sale, which we expect to occur in the second or third quarter of 2026, we will deconsolidate SI Partners and account for our remaining 25% interest under the equity method, which we expect will reduce volatility in our results of operations associated with foreign currency exchange rate fluctuations and Mexican inflation.</w:t>
      </w: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617220</wp:posOffset>
            </wp:positionV>
            <wp:extent cx="1062990" cy="3003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1062990" cy="3003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right="540"/>
        <w:spacing w:after="0" w:line="282" w:lineRule="auto"/>
        <w:rPr>
          <w:sz w:val="20"/>
          <w:szCs w:val="20"/>
          <w:color w:val="auto"/>
        </w:rPr>
      </w:pPr>
      <w:r>
        <w:rPr>
          <w:rFonts w:ascii="Times New Roman" w:cs="Times New Roman" w:eastAsia="Times New Roman" w:hAnsi="Times New Roman"/>
          <w:sz w:val="18"/>
          <w:szCs w:val="18"/>
          <w:color w:val="auto"/>
        </w:rPr>
        <w:t>We discuss herein SDG&amp;E’s results of operations and significant changes in earnings, revenues and costs in the three months ended March 31, 2026 compared to the same period in 2025.</w:t>
      </w: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103505</wp:posOffset>
            </wp:positionV>
            <wp:extent cx="7132320" cy="3003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32320" cy="300355"/>
                    </a:xfrm>
                    <a:prstGeom prst="rect">
                      <a:avLst/>
                    </a:prstGeom>
                    <a:noFill/>
                  </pic:spPr>
                </pic:pic>
              </a:graphicData>
            </a:graphic>
          </wp:anchor>
        </w:drawing>
      </w:r>
    </w:p>
    <w:p>
      <w:pPr>
        <w:spacing w:after="0" w:line="156"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FFFFFF"/>
        </w:rPr>
        <w:t>RESULTS OF OPERATIONS</w:t>
      </w:r>
    </w:p>
    <w:p>
      <w:pPr>
        <w:spacing w:after="0" w:line="66" w:lineRule="exact"/>
        <w:rPr>
          <w:sz w:val="20"/>
          <w:szCs w:val="20"/>
          <w:color w:val="auto"/>
        </w:rPr>
      </w:pPr>
    </w:p>
    <w:p>
      <w:pPr>
        <w:ind w:left="20"/>
        <w:spacing w:after="0"/>
        <w:rPr>
          <w:sz w:val="20"/>
          <w:szCs w:val="20"/>
          <w:color w:val="auto"/>
        </w:rPr>
      </w:pPr>
      <w:r>
        <w:rPr>
          <w:rFonts w:ascii="Arial" w:cs="Arial" w:eastAsia="Arial" w:hAnsi="Arial"/>
          <w:sz w:val="14"/>
          <w:szCs w:val="14"/>
          <w:i w:val="1"/>
          <w:iCs w:val="1"/>
          <w:color w:val="FFFFFF"/>
        </w:rPr>
        <w:t>(Dollars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159385</wp:posOffset>
            </wp:positionV>
            <wp:extent cx="7132320" cy="180022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32320" cy="18002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the three months ended March 31, 2026 compared to the same period in 2025, the increase in earnings of $15 million (5%) was primarily due to:</w:t>
      </w:r>
    </w:p>
    <w:p>
      <w:pPr>
        <w:spacing w:after="0" w:line="77" w:lineRule="exact"/>
        <w:rPr>
          <w:sz w:val="20"/>
          <w:szCs w:val="20"/>
          <w:color w:val="auto"/>
        </w:rPr>
      </w:pPr>
    </w:p>
    <w:p>
      <w:pPr>
        <w:ind w:left="180" w:right="20" w:hanging="172"/>
        <w:spacing w:after="0" w:line="266" w:lineRule="auto"/>
        <w:tabs>
          <w:tab w:leader="none" w:pos="176"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$32 million higher CPUC base operating margin, net of operating expenses, including $43 million recognition of regulatory revenue reflecting returns on approved WMP capital projects resulting from the 2024 GRC Track 2 FD</w:t>
      </w:r>
    </w:p>
    <w:p>
      <w:pPr>
        <w:spacing w:after="0"/>
        <w:rPr>
          <w:sz w:val="20"/>
          <w:szCs w:val="20"/>
          <w:color w:val="auto"/>
        </w:rPr>
      </w:pPr>
      <w:r>
        <w:rPr>
          <w:rFonts w:ascii="Times New Roman" w:cs="Times New Roman" w:eastAsia="Times New Roman" w:hAnsi="Times New Roman"/>
          <w:sz w:val="18"/>
          <w:szCs w:val="18"/>
          <w:color w:val="auto"/>
        </w:rPr>
        <w:t>Offset by:</w:t>
      </w:r>
    </w:p>
    <w:p>
      <w:pPr>
        <w:spacing w:after="0" w:line="63" w:lineRule="exact"/>
        <w:rPr>
          <w:sz w:val="20"/>
          <w:szCs w:val="20"/>
          <w:color w:val="auto"/>
        </w:rPr>
      </w:pPr>
    </w:p>
    <w:p>
      <w:pPr>
        <w:ind w:left="160" w:hanging="152"/>
        <w:spacing w:after="0"/>
        <w:tabs>
          <w:tab w:leader="none" w:pos="16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 million higher net interest expense</w:t>
      </w:r>
    </w:p>
    <w:p>
      <w:pPr>
        <w:spacing w:after="0" w:line="49" w:lineRule="exact"/>
        <w:rPr>
          <w:rFonts w:ascii="Times New Roman" w:cs="Times New Roman" w:eastAsia="Times New Roman" w:hAnsi="Times New Roman"/>
          <w:sz w:val="18"/>
          <w:szCs w:val="18"/>
          <w:color w:val="auto"/>
        </w:rPr>
      </w:pPr>
    </w:p>
    <w:p>
      <w:pPr>
        <w:ind w:left="160" w:hanging="152"/>
        <w:spacing w:after="0"/>
        <w:tabs>
          <w:tab w:leader="none" w:pos="16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 million lower income tax benefits primarily from flow-through items</w:t>
      </w:r>
    </w:p>
    <w:p>
      <w:pPr>
        <w:spacing w:after="0" w:line="3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SIGNIFICANT CHANGES IN REVENUES AND COSTS</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Electric Revenues and Cost of Electric Fuel and Purchased Power</w:t>
      </w:r>
    </w:p>
    <w:p>
      <w:pPr>
        <w:spacing w:after="0" w:line="49" w:lineRule="exact"/>
        <w:rPr>
          <w:sz w:val="20"/>
          <w:szCs w:val="20"/>
          <w:color w:val="auto"/>
        </w:rPr>
      </w:pPr>
    </w:p>
    <w:p>
      <w:pPr>
        <w:ind w:right="400"/>
        <w:spacing w:after="0" w:line="297" w:lineRule="auto"/>
        <w:rPr>
          <w:sz w:val="20"/>
          <w:szCs w:val="20"/>
          <w:color w:val="auto"/>
        </w:rPr>
      </w:pPr>
      <w:r>
        <w:rPr>
          <w:rFonts w:ascii="Times New Roman" w:cs="Times New Roman" w:eastAsia="Times New Roman" w:hAnsi="Times New Roman"/>
          <w:sz w:val="18"/>
          <w:szCs w:val="18"/>
          <w:color w:val="auto"/>
        </w:rPr>
        <w:t>In the three months ended March 31, 2026 compared to the same period in 2025, SDG&amp;E’s electric revenues increased by $164 million (15%) to $1.2 billion primarily due to:</w:t>
      </w:r>
    </w:p>
    <w:p>
      <w:pPr>
        <w:spacing w:after="0" w:line="1" w:lineRule="exact"/>
        <w:rPr>
          <w:sz w:val="20"/>
          <w:szCs w:val="20"/>
          <w:color w:val="auto"/>
        </w:rPr>
      </w:pPr>
    </w:p>
    <w:p>
      <w:pPr>
        <w:ind w:left="180" w:hanging="172"/>
        <w:spacing w:after="0" w:line="266" w:lineRule="auto"/>
        <w:tabs>
          <w:tab w:leader="none" w:pos="175"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$99 million higher revenues from incremental and balanced capital projects, including $59 million recognition of regulatory revenue reflecting returns on approved WMP capital projects resulting from the 2024 GRC Track 2 FD</w:t>
      </w:r>
    </w:p>
    <w:p>
      <w:pPr>
        <w:ind w:left="160" w:hanging="152"/>
        <w:spacing w:after="0"/>
        <w:tabs>
          <w:tab w:leader="none" w:pos="16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$33 million higher regulatory revenues from lower ITCs from standalone energy storage projects, which are offset in income tax expense</w:t>
      </w:r>
    </w:p>
    <w:p>
      <w:pPr>
        <w:spacing w:after="0" w:line="63" w:lineRule="exact"/>
        <w:rPr>
          <w:rFonts w:ascii="Times New Roman" w:cs="Times New Roman" w:eastAsia="Times New Roman" w:hAnsi="Times New Roman"/>
          <w:sz w:val="18"/>
          <w:szCs w:val="18"/>
          <w:color w:val="auto"/>
        </w:rPr>
      </w:pPr>
    </w:p>
    <w:p>
      <w:pPr>
        <w:ind w:left="160" w:hanging="152"/>
        <w:spacing w:after="0"/>
        <w:tabs>
          <w:tab w:leader="none" w:pos="16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$21 million increase in cost of electric fuel and purchased power, which we discuss below</w:t>
      </w:r>
    </w:p>
    <w:p>
      <w:pPr>
        <w:spacing w:after="0" w:line="49" w:lineRule="exact"/>
        <w:rPr>
          <w:rFonts w:ascii="Times New Roman" w:cs="Times New Roman" w:eastAsia="Times New Roman" w:hAnsi="Times New Roman"/>
          <w:sz w:val="18"/>
          <w:szCs w:val="18"/>
          <w:color w:val="auto"/>
        </w:rPr>
      </w:pPr>
    </w:p>
    <w:p>
      <w:pPr>
        <w:ind w:left="160" w:hanging="152"/>
        <w:spacing w:after="0"/>
        <w:tabs>
          <w:tab w:leader="none" w:pos="16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$14 million higher revenues from transmission operations</w:t>
      </w:r>
    </w:p>
    <w:p>
      <w:pPr>
        <w:spacing w:after="0" w:line="49" w:lineRule="exact"/>
        <w:rPr>
          <w:rFonts w:ascii="Times New Roman" w:cs="Times New Roman" w:eastAsia="Times New Roman" w:hAnsi="Times New Roman"/>
          <w:sz w:val="18"/>
          <w:szCs w:val="18"/>
          <w:color w:val="auto"/>
        </w:rPr>
      </w:pPr>
    </w:p>
    <w:p>
      <w:pPr>
        <w:ind w:left="160" w:hanging="152"/>
        <w:spacing w:after="0"/>
        <w:tabs>
          <w:tab w:leader="none" w:pos="16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 million higher regulatory revenues associated with refundable programs, which are fully offset in O&amp;M</w:t>
      </w:r>
    </w:p>
    <w:p>
      <w:pPr>
        <w:spacing w:after="0" w:line="171"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In the three months ended March 31, 2026 compared to the same period in 2025, SDG&amp;E’s cost of electric fuel and purchased power increased by $21 million (29%) to $94 million primarily due to:</w:t>
      </w:r>
    </w:p>
    <w:p>
      <w:pPr>
        <w:spacing w:after="0" w:line="13" w:lineRule="exact"/>
        <w:rPr>
          <w:sz w:val="20"/>
          <w:szCs w:val="20"/>
          <w:color w:val="auto"/>
        </w:rPr>
      </w:pPr>
    </w:p>
    <w:p>
      <w:pPr>
        <w:ind w:left="160" w:hanging="152"/>
        <w:spacing w:after="0"/>
        <w:tabs>
          <w:tab w:leader="none" w:pos="16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$42 million lower sales to the California ISO due to lower market prices</w:t>
      </w:r>
    </w:p>
    <w:p>
      <w:pPr>
        <w:spacing w:after="0" w:line="49" w:lineRule="exact"/>
        <w:rPr>
          <w:rFonts w:ascii="Times New Roman" w:cs="Times New Roman" w:eastAsia="Times New Roman" w:hAnsi="Times New Roman"/>
          <w:sz w:val="18"/>
          <w:szCs w:val="18"/>
          <w:color w:val="auto"/>
        </w:rPr>
      </w:pPr>
    </w:p>
    <w:p>
      <w:pPr>
        <w:ind w:right="2600" w:firstLine="8"/>
        <w:spacing w:after="0" w:line="305" w:lineRule="auto"/>
        <w:tabs>
          <w:tab w:leader="none" w:pos="158"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 million higher purchased power primarily due to tolling agreements offset by lower utility-owned generation costs Offset by:</w:t>
      </w:r>
    </w:p>
    <w:p>
      <w:pPr>
        <w:ind w:left="160" w:hanging="152"/>
        <w:spacing w:after="0"/>
        <w:tabs>
          <w:tab w:leader="none" w:pos="16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$26 million lower purchased power from the California ISO due to lower market prices</w:t>
      </w:r>
    </w:p>
    <w:p>
      <w:pPr>
        <w:sectPr>
          <w:pgSz w:w="11900" w:h="16838" w:orient="portrait"/>
          <w:cols w:equalWidth="0" w:num="1">
            <w:col w:w="11220"/>
          </w:cols>
          <w:pgMar w:left="320" w:top="121"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150495</wp:posOffset>
            </wp:positionV>
            <wp:extent cx="7157720" cy="425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type w:val="continuous"/>
        </w:sectPr>
      </w:pPr>
    </w:p>
    <w:bookmarkStart w:id="95" w:name="page96"/>
    <w:bookmarkEnd w:id="9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Natural Gas Revenues and Cost of Natural Gas</w:t>
      </w:r>
    </w:p>
    <w:p>
      <w:pPr>
        <w:spacing w:after="0" w:line="49" w:lineRule="exact"/>
        <w:rPr>
          <w:sz w:val="20"/>
          <w:szCs w:val="20"/>
          <w:color w:val="auto"/>
        </w:rPr>
      </w:pPr>
    </w:p>
    <w:p>
      <w:pPr>
        <w:ind w:right="120"/>
        <w:spacing w:after="0" w:line="297" w:lineRule="auto"/>
        <w:rPr>
          <w:sz w:val="20"/>
          <w:szCs w:val="20"/>
          <w:color w:val="auto"/>
        </w:rPr>
      </w:pPr>
      <w:r>
        <w:rPr>
          <w:rFonts w:ascii="Times New Roman" w:cs="Times New Roman" w:eastAsia="Times New Roman" w:hAnsi="Times New Roman"/>
          <w:sz w:val="18"/>
          <w:szCs w:val="18"/>
          <w:color w:val="auto"/>
        </w:rPr>
        <w:t>In the three months ended March 31, 2026 and 2025, SDG&amp;E’s average cost of natural gas per thousand cubic feet was $7.59 and $5.69, respectively. The average cost of natural gas sold at SDG&amp;E is impacted by market prices, as well as transportation, tariff and other charges.</w:t>
      </w:r>
    </w:p>
    <w:p>
      <w:pPr>
        <w:spacing w:after="0" w:line="41" w:lineRule="exact"/>
        <w:rPr>
          <w:sz w:val="20"/>
          <w:szCs w:val="20"/>
          <w:color w:val="auto"/>
        </w:rPr>
      </w:pPr>
    </w:p>
    <w:p>
      <w:pPr>
        <w:ind w:right="180"/>
        <w:spacing w:after="0" w:line="297" w:lineRule="auto"/>
        <w:rPr>
          <w:sz w:val="20"/>
          <w:szCs w:val="20"/>
          <w:color w:val="auto"/>
        </w:rPr>
      </w:pPr>
      <w:r>
        <w:rPr>
          <w:rFonts w:ascii="Times New Roman" w:cs="Times New Roman" w:eastAsia="Times New Roman" w:hAnsi="Times New Roman"/>
          <w:sz w:val="18"/>
          <w:szCs w:val="18"/>
          <w:color w:val="auto"/>
        </w:rPr>
        <w:t>In the three months ended March 31, 2026 compared to the same period in 2025, SDG&amp;E’s natural gas revenues decreased by $37 million (10%) to $319 million primarily due to:</w:t>
      </w:r>
    </w:p>
    <w:p>
      <w:pPr>
        <w:spacing w:after="0" w:line="1" w:lineRule="exact"/>
        <w:rPr>
          <w:sz w:val="20"/>
          <w:szCs w:val="20"/>
          <w:color w:val="auto"/>
        </w:rPr>
      </w:pPr>
    </w:p>
    <w:p>
      <w:pPr>
        <w:ind w:left="160" w:hanging="152"/>
        <w:spacing w:after="0"/>
        <w:tabs>
          <w:tab w:leader="none" w:pos="16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$27 million lower regulatory revenues associated with refundable programs, which are fully offset in O&amp;M</w:t>
      </w:r>
    </w:p>
    <w:p>
      <w:pPr>
        <w:spacing w:after="0" w:line="49" w:lineRule="exact"/>
        <w:rPr>
          <w:rFonts w:ascii="Times New Roman" w:cs="Times New Roman" w:eastAsia="Times New Roman" w:hAnsi="Times New Roman"/>
          <w:sz w:val="18"/>
          <w:szCs w:val="18"/>
          <w:color w:val="auto"/>
        </w:rPr>
      </w:pPr>
    </w:p>
    <w:p>
      <w:pPr>
        <w:ind w:left="160" w:hanging="152"/>
        <w:spacing w:after="0"/>
        <w:tabs>
          <w:tab w:leader="none" w:pos="16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$12 million lower revenues from incremental and balanced capital projects</w:t>
      </w:r>
    </w:p>
    <w:p>
      <w:pPr>
        <w:spacing w:after="0" w:line="158" w:lineRule="exact"/>
        <w:rPr>
          <w:sz w:val="20"/>
          <w:szCs w:val="20"/>
          <w:color w:val="auto"/>
        </w:rPr>
      </w:pPr>
    </w:p>
    <w:p>
      <w:pPr>
        <w:ind w:right="80"/>
        <w:spacing w:after="0" w:line="297" w:lineRule="auto"/>
        <w:rPr>
          <w:sz w:val="20"/>
          <w:szCs w:val="20"/>
          <w:color w:val="auto"/>
        </w:rPr>
      </w:pPr>
      <w:r>
        <w:rPr>
          <w:rFonts w:ascii="Times New Roman" w:cs="Times New Roman" w:eastAsia="Times New Roman" w:hAnsi="Times New Roman"/>
          <w:sz w:val="18"/>
          <w:szCs w:val="18"/>
          <w:color w:val="auto"/>
        </w:rPr>
        <w:t>In the three months ended March 31, 2026 compared to the same period in 2025, SDG&amp;E’s cost of natural gas increased by $3 million (3%) to $90 million due to:</w:t>
      </w:r>
    </w:p>
    <w:p>
      <w:pPr>
        <w:spacing w:after="0" w:line="1" w:lineRule="exact"/>
        <w:rPr>
          <w:sz w:val="20"/>
          <w:szCs w:val="20"/>
          <w:color w:val="auto"/>
        </w:rPr>
      </w:pPr>
    </w:p>
    <w:p>
      <w:pPr>
        <w:ind w:right="7820" w:firstLine="8"/>
        <w:spacing w:after="0" w:line="297" w:lineRule="auto"/>
        <w:tabs>
          <w:tab w:leader="none" w:pos="158"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$23 million higher average natural gas prices Offset by:</w:t>
      </w:r>
    </w:p>
    <w:p>
      <w:pPr>
        <w:ind w:left="160" w:hanging="152"/>
        <w:spacing w:after="0"/>
        <w:tabs>
          <w:tab w:leader="none" w:pos="16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 million lower volumes driven by weather</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Operation and Maintenance</w:t>
      </w:r>
    </w:p>
    <w:p>
      <w:pPr>
        <w:spacing w:after="0" w:line="49"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In the three months ended March 31, 2026 compared to the same period in 2025, SDG&amp;E’s O&amp;M decreased by $17 million (4%) to $423 million primarily due to $18 million lower expenses associated with refundable programs, which costs are recovered in revenue.</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Income Taxes</w:t>
      </w:r>
    </w:p>
    <w:p>
      <w:pPr>
        <w:spacing w:after="0" w:line="134" w:lineRule="exact"/>
        <w:rPr>
          <w:sz w:val="20"/>
          <w:szCs w:val="20"/>
          <w:color w:val="auto"/>
        </w:rPr>
      </w:pPr>
    </w:p>
    <w:p>
      <w:pPr>
        <w:ind w:left="20" w:right="5580"/>
        <w:spacing w:after="0" w:line="284" w:lineRule="auto"/>
        <w:rPr>
          <w:sz w:val="20"/>
          <w:szCs w:val="20"/>
          <w:color w:val="auto"/>
        </w:rPr>
      </w:pPr>
      <w:r>
        <w:rPr>
          <w:rFonts w:ascii="Arial" w:cs="Arial" w:eastAsia="Arial" w:hAnsi="Arial"/>
          <w:sz w:val="16"/>
          <w:szCs w:val="16"/>
          <w:b w:val="1"/>
          <w:bCs w:val="1"/>
          <w:color w:val="FFFFFF"/>
        </w:rPr>
        <w:t xml:space="preserve">INCOME TAX EXPENSE (BENEFIT) AND EFFECTIVE INCOME TAX RATES </w:t>
      </w:r>
      <w:r>
        <w:rPr>
          <w:rFonts w:ascii="Arial" w:cs="Arial" w:eastAsia="Arial" w:hAnsi="Arial"/>
          <w:sz w:val="14"/>
          <w:szCs w:val="14"/>
          <w:i w:val="1"/>
          <w:iCs w:val="1"/>
          <w:color w:val="FFFFFF"/>
        </w:rPr>
        <w:t>(Dollars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-275590</wp:posOffset>
            </wp:positionV>
            <wp:extent cx="7132320" cy="26543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32320" cy="26543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94"/>
        </w:trPr>
        <w:tc>
          <w:tcPr>
            <w:tcW w:w="7800" w:type="dxa"/>
            <w:vAlign w:val="bottom"/>
          </w:tcPr>
          <w:p>
            <w:pPr>
              <w:spacing w:after="0"/>
              <w:rPr>
                <w:sz w:val="16"/>
                <w:szCs w:val="16"/>
                <w:color w:val="auto"/>
              </w:rPr>
            </w:pPr>
          </w:p>
        </w:tc>
        <w:tc>
          <w:tcPr>
            <w:tcW w:w="2880" w:type="dxa"/>
            <w:vAlign w:val="bottom"/>
            <w:tcBorders>
              <w:bottom w:val="single" w:sz="8" w:color="auto"/>
            </w:tcBorders>
            <w:gridSpan w:val="3"/>
          </w:tcPr>
          <w:p>
            <w:pPr>
              <w:jc w:val="right"/>
              <w:ind w:right="82"/>
              <w:spacing w:after="0"/>
              <w:rPr>
                <w:sz w:val="20"/>
                <w:szCs w:val="20"/>
                <w:color w:val="auto"/>
              </w:rPr>
            </w:pPr>
            <w:r>
              <w:rPr>
                <w:rFonts w:ascii="Arial" w:cs="Arial" w:eastAsia="Arial" w:hAnsi="Arial"/>
                <w:sz w:val="14"/>
                <w:szCs w:val="14"/>
                <w:color w:val="auto"/>
              </w:rPr>
              <w:t>Three months ended March 31,</w:t>
            </w:r>
          </w:p>
        </w:tc>
        <w:tc>
          <w:tcPr>
            <w:tcW w:w="560" w:type="dxa"/>
            <w:vAlign w:val="bottom"/>
            <w:tcBorders>
              <w:bottom w:val="single" w:sz="8" w:color="auto"/>
            </w:tcBorders>
          </w:tcPr>
          <w:p>
            <w:pPr>
              <w:spacing w:after="0"/>
              <w:rPr>
                <w:sz w:val="16"/>
                <w:szCs w:val="16"/>
                <w:color w:val="auto"/>
              </w:rPr>
            </w:pPr>
          </w:p>
        </w:tc>
      </w:tr>
      <w:tr>
        <w:trPr>
          <w:trHeight w:val="209"/>
        </w:trPr>
        <w:tc>
          <w:tcPr>
            <w:tcW w:w="78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
              <w:spacing w:after="0"/>
              <w:rPr>
                <w:sz w:val="20"/>
                <w:szCs w:val="20"/>
                <w:color w:val="auto"/>
              </w:rPr>
            </w:pPr>
            <w:r>
              <w:rPr>
                <w:rFonts w:ascii="Arial" w:cs="Arial" w:eastAsia="Arial" w:hAnsi="Arial"/>
                <w:sz w:val="14"/>
                <w:szCs w:val="14"/>
                <w:color w:val="auto"/>
              </w:rPr>
              <w:t>2026</w:t>
            </w:r>
          </w:p>
        </w:tc>
        <w:tc>
          <w:tcPr>
            <w:tcW w:w="6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22"/>
              <w:spacing w:after="0"/>
              <w:rPr>
                <w:sz w:val="20"/>
                <w:szCs w:val="20"/>
                <w:color w:val="auto"/>
              </w:rPr>
            </w:pPr>
            <w:r>
              <w:rPr>
                <w:rFonts w:ascii="Arial" w:cs="Arial" w:eastAsia="Arial" w:hAnsi="Arial"/>
                <w:sz w:val="14"/>
                <w:szCs w:val="14"/>
                <w:color w:val="auto"/>
              </w:rPr>
              <w:t>2025</w:t>
            </w:r>
          </w:p>
        </w:tc>
        <w:tc>
          <w:tcPr>
            <w:tcW w:w="560" w:type="dxa"/>
            <w:vAlign w:val="bottom"/>
            <w:tcBorders>
              <w:bottom w:val="single" w:sz="8" w:color="auto"/>
            </w:tcBorders>
          </w:tcPr>
          <w:p>
            <w:pPr>
              <w:spacing w:after="0"/>
              <w:rPr>
                <w:sz w:val="18"/>
                <w:szCs w:val="18"/>
                <w:color w:val="auto"/>
              </w:rPr>
            </w:pPr>
          </w:p>
        </w:tc>
      </w:tr>
      <w:tr>
        <w:trPr>
          <w:trHeight w:val="213"/>
        </w:trPr>
        <w:tc>
          <w:tcPr>
            <w:tcW w:w="7800" w:type="dxa"/>
            <w:vAlign w:val="bottom"/>
            <w:shd w:val="clear" w:color="auto" w:fill="D4F1F5"/>
          </w:tcPr>
          <w:p>
            <w:pPr>
              <w:ind w:left="20"/>
              <w:spacing w:after="0"/>
              <w:rPr>
                <w:sz w:val="20"/>
                <w:szCs w:val="20"/>
                <w:color w:val="auto"/>
              </w:rPr>
            </w:pPr>
            <w:r>
              <w:rPr>
                <w:rFonts w:ascii="Arial" w:cs="Arial" w:eastAsia="Arial" w:hAnsi="Arial"/>
                <w:sz w:val="16"/>
                <w:szCs w:val="16"/>
                <w:b w:val="1"/>
                <w:bCs w:val="1"/>
                <w:color w:val="auto"/>
              </w:rPr>
              <w:t>SDG&amp;E:</w:t>
            </w:r>
          </w:p>
        </w:tc>
        <w:tc>
          <w:tcPr>
            <w:tcW w:w="1060" w:type="dxa"/>
            <w:vAlign w:val="bottom"/>
            <w:shd w:val="clear" w:color="auto" w:fill="D4F1F5"/>
          </w:tcPr>
          <w:p>
            <w:pPr>
              <w:spacing w:after="0"/>
              <w:rPr>
                <w:sz w:val="18"/>
                <w:szCs w:val="18"/>
                <w:color w:val="auto"/>
              </w:rPr>
            </w:pPr>
          </w:p>
        </w:tc>
        <w:tc>
          <w:tcPr>
            <w:tcW w:w="660" w:type="dxa"/>
            <w:vAlign w:val="bottom"/>
            <w:shd w:val="clear" w:color="auto" w:fill="D4F1F5"/>
          </w:tcPr>
          <w:p>
            <w:pPr>
              <w:spacing w:after="0"/>
              <w:rPr>
                <w:sz w:val="18"/>
                <w:szCs w:val="18"/>
                <w:color w:val="auto"/>
              </w:rPr>
            </w:pPr>
          </w:p>
        </w:tc>
        <w:tc>
          <w:tcPr>
            <w:tcW w:w="1160" w:type="dxa"/>
            <w:vAlign w:val="bottom"/>
            <w:shd w:val="clear" w:color="auto" w:fill="D4F1F5"/>
          </w:tcPr>
          <w:p>
            <w:pPr>
              <w:spacing w:after="0"/>
              <w:rPr>
                <w:sz w:val="18"/>
                <w:szCs w:val="18"/>
                <w:color w:val="auto"/>
              </w:rPr>
            </w:pPr>
          </w:p>
        </w:tc>
        <w:tc>
          <w:tcPr>
            <w:tcW w:w="560" w:type="dxa"/>
            <w:vAlign w:val="bottom"/>
            <w:shd w:val="clear" w:color="auto" w:fill="D4F1F5"/>
          </w:tcPr>
          <w:p>
            <w:pPr>
              <w:spacing w:after="0"/>
              <w:rPr>
                <w:sz w:val="18"/>
                <w:szCs w:val="18"/>
                <w:color w:val="auto"/>
              </w:rPr>
            </w:pPr>
          </w:p>
        </w:tc>
      </w:tr>
      <w:tr>
        <w:trPr>
          <w:trHeight w:val="215"/>
        </w:trPr>
        <w:tc>
          <w:tcPr>
            <w:tcW w:w="7800" w:type="dxa"/>
            <w:vAlign w:val="bottom"/>
          </w:tcPr>
          <w:p>
            <w:pPr>
              <w:ind w:left="20"/>
              <w:spacing w:after="0"/>
              <w:rPr>
                <w:sz w:val="20"/>
                <w:szCs w:val="20"/>
                <w:color w:val="auto"/>
              </w:rPr>
            </w:pPr>
            <w:r>
              <w:rPr>
                <w:rFonts w:ascii="Arial" w:cs="Arial" w:eastAsia="Arial" w:hAnsi="Arial"/>
                <w:sz w:val="16"/>
                <w:szCs w:val="16"/>
                <w:color w:val="auto"/>
              </w:rPr>
              <w:t>Income tax expense</w:t>
            </w:r>
          </w:p>
        </w:tc>
        <w:tc>
          <w:tcPr>
            <w:tcW w:w="1060" w:type="dxa"/>
            <w:vAlign w:val="bottom"/>
          </w:tcPr>
          <w:p>
            <w:pPr>
              <w:jc w:val="right"/>
              <w:ind w:right="884"/>
              <w:spacing w:after="0"/>
              <w:rPr>
                <w:sz w:val="20"/>
                <w:szCs w:val="20"/>
                <w:color w:val="auto"/>
              </w:rPr>
            </w:pPr>
            <w:r>
              <w:rPr>
                <w:rFonts w:ascii="Arial" w:cs="Arial" w:eastAsia="Arial" w:hAnsi="Arial"/>
                <w:sz w:val="16"/>
                <w:szCs w:val="16"/>
                <w:color w:val="auto"/>
                <w:w w:val="89"/>
              </w:rPr>
              <w:t>$</w:t>
            </w:r>
          </w:p>
        </w:tc>
        <w:tc>
          <w:tcPr>
            <w:tcW w:w="660" w:type="dxa"/>
            <w:vAlign w:val="bottom"/>
          </w:tcPr>
          <w:p>
            <w:pPr>
              <w:jc w:val="right"/>
              <w:ind w:right="219"/>
              <w:spacing w:after="0"/>
              <w:rPr>
                <w:sz w:val="20"/>
                <w:szCs w:val="20"/>
                <w:color w:val="auto"/>
              </w:rPr>
            </w:pPr>
            <w:r>
              <w:rPr>
                <w:rFonts w:ascii="Arial" w:cs="Arial" w:eastAsia="Arial" w:hAnsi="Arial"/>
                <w:sz w:val="16"/>
                <w:szCs w:val="16"/>
                <w:color w:val="auto"/>
              </w:rPr>
              <w:t>69</w:t>
            </w:r>
          </w:p>
        </w:tc>
        <w:tc>
          <w:tcPr>
            <w:tcW w:w="1160" w:type="dxa"/>
            <w:vAlign w:val="bottom"/>
          </w:tcPr>
          <w:p>
            <w:pPr>
              <w:jc w:val="right"/>
              <w:ind w:right="882"/>
              <w:spacing w:after="0"/>
              <w:rPr>
                <w:sz w:val="20"/>
                <w:szCs w:val="20"/>
                <w:color w:val="auto"/>
              </w:rPr>
            </w:pPr>
            <w:r>
              <w:rPr>
                <w:rFonts w:ascii="Arial" w:cs="Arial" w:eastAsia="Arial" w:hAnsi="Arial"/>
                <w:sz w:val="16"/>
                <w:szCs w:val="16"/>
                <w:color w:val="auto"/>
              </w:rPr>
              <w:t>$</w:t>
            </w:r>
          </w:p>
        </w:tc>
        <w:tc>
          <w:tcPr>
            <w:tcW w:w="560" w:type="dxa"/>
            <w:vAlign w:val="bottom"/>
          </w:tcPr>
          <w:p>
            <w:pPr>
              <w:jc w:val="right"/>
              <w:ind w:right="119"/>
              <w:spacing w:after="0"/>
              <w:rPr>
                <w:sz w:val="20"/>
                <w:szCs w:val="20"/>
                <w:color w:val="auto"/>
              </w:rPr>
            </w:pPr>
            <w:r>
              <w:rPr>
                <w:rFonts w:ascii="Arial" w:cs="Arial" w:eastAsia="Arial" w:hAnsi="Arial"/>
                <w:sz w:val="16"/>
                <w:szCs w:val="16"/>
                <w:color w:val="auto"/>
              </w:rPr>
              <w:t>14</w:t>
            </w:r>
          </w:p>
        </w:tc>
      </w:tr>
      <w:tr>
        <w:trPr>
          <w:trHeight w:val="217"/>
        </w:trPr>
        <w:tc>
          <w:tcPr>
            <w:tcW w:w="7800" w:type="dxa"/>
            <w:vAlign w:val="bottom"/>
            <w:shd w:val="clear" w:color="auto" w:fill="D4F1F5"/>
          </w:tcPr>
          <w:p>
            <w:pPr>
              <w:ind w:left="20"/>
              <w:spacing w:after="0"/>
              <w:rPr>
                <w:sz w:val="20"/>
                <w:szCs w:val="20"/>
                <w:color w:val="auto"/>
              </w:rPr>
            </w:pPr>
            <w:r>
              <w:rPr>
                <w:rFonts w:ascii="Arial" w:cs="Arial" w:eastAsia="Arial" w:hAnsi="Arial"/>
                <w:sz w:val="16"/>
                <w:szCs w:val="16"/>
                <w:color w:val="auto"/>
              </w:rPr>
              <w:t>Income before income taxes</w:t>
            </w:r>
          </w:p>
        </w:tc>
        <w:tc>
          <w:tcPr>
            <w:tcW w:w="1060" w:type="dxa"/>
            <w:vAlign w:val="bottom"/>
            <w:shd w:val="clear" w:color="auto" w:fill="D4F1F5"/>
          </w:tcPr>
          <w:p>
            <w:pPr>
              <w:jc w:val="right"/>
              <w:ind w:right="884"/>
              <w:spacing w:after="0"/>
              <w:rPr>
                <w:sz w:val="20"/>
                <w:szCs w:val="20"/>
                <w:color w:val="auto"/>
              </w:rPr>
            </w:pPr>
            <w:r>
              <w:rPr>
                <w:rFonts w:ascii="Arial" w:cs="Arial" w:eastAsia="Arial" w:hAnsi="Arial"/>
                <w:sz w:val="16"/>
                <w:szCs w:val="16"/>
                <w:color w:val="auto"/>
                <w:w w:val="89"/>
              </w:rPr>
              <w:t>$</w:t>
            </w:r>
          </w:p>
        </w:tc>
        <w:tc>
          <w:tcPr>
            <w:tcW w:w="660" w:type="dxa"/>
            <w:vAlign w:val="bottom"/>
            <w:shd w:val="clear" w:color="auto" w:fill="D4F1F5"/>
          </w:tcPr>
          <w:p>
            <w:pPr>
              <w:jc w:val="right"/>
              <w:ind w:right="219"/>
              <w:spacing w:after="0"/>
              <w:rPr>
                <w:sz w:val="20"/>
                <w:szCs w:val="20"/>
                <w:color w:val="auto"/>
              </w:rPr>
            </w:pPr>
            <w:r>
              <w:rPr>
                <w:rFonts w:ascii="Arial" w:cs="Arial" w:eastAsia="Arial" w:hAnsi="Arial"/>
                <w:sz w:val="16"/>
                <w:szCs w:val="16"/>
                <w:color w:val="auto"/>
              </w:rPr>
              <w:t>365</w:t>
            </w:r>
          </w:p>
        </w:tc>
        <w:tc>
          <w:tcPr>
            <w:tcW w:w="1160" w:type="dxa"/>
            <w:vAlign w:val="bottom"/>
            <w:shd w:val="clear" w:color="auto" w:fill="D4F1F5"/>
          </w:tcPr>
          <w:p>
            <w:pPr>
              <w:jc w:val="right"/>
              <w:ind w:right="882"/>
              <w:spacing w:after="0"/>
              <w:rPr>
                <w:sz w:val="20"/>
                <w:szCs w:val="20"/>
                <w:color w:val="auto"/>
              </w:rPr>
            </w:pPr>
            <w:r>
              <w:rPr>
                <w:rFonts w:ascii="Arial" w:cs="Arial" w:eastAsia="Arial" w:hAnsi="Arial"/>
                <w:sz w:val="16"/>
                <w:szCs w:val="16"/>
                <w:color w:val="auto"/>
              </w:rPr>
              <w:t>$</w:t>
            </w:r>
          </w:p>
        </w:tc>
        <w:tc>
          <w:tcPr>
            <w:tcW w:w="560" w:type="dxa"/>
            <w:vAlign w:val="bottom"/>
            <w:shd w:val="clear" w:color="auto" w:fill="D4F1F5"/>
          </w:tcPr>
          <w:p>
            <w:pPr>
              <w:jc w:val="right"/>
              <w:ind w:right="119"/>
              <w:spacing w:after="0"/>
              <w:rPr>
                <w:sz w:val="20"/>
                <w:szCs w:val="20"/>
                <w:color w:val="auto"/>
              </w:rPr>
            </w:pPr>
            <w:r>
              <w:rPr>
                <w:rFonts w:ascii="Arial" w:cs="Arial" w:eastAsia="Arial" w:hAnsi="Arial"/>
                <w:sz w:val="16"/>
                <w:szCs w:val="16"/>
                <w:color w:val="auto"/>
              </w:rPr>
              <w:t>295</w:t>
            </w:r>
          </w:p>
        </w:tc>
      </w:tr>
      <w:tr>
        <w:trPr>
          <w:trHeight w:val="223"/>
        </w:trPr>
        <w:tc>
          <w:tcPr>
            <w:tcW w:w="78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Effective income tax rate</w:t>
            </w:r>
          </w:p>
        </w:tc>
        <w:tc>
          <w:tcPr>
            <w:tcW w:w="10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19 %</w:t>
            </w:r>
          </w:p>
        </w:tc>
        <w:tc>
          <w:tcPr>
            <w:tcW w:w="116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5 %</w:t>
            </w:r>
          </w:p>
        </w:tc>
      </w:tr>
    </w:tbl>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the three months ended March 31, 2026 compared to the same period in 2025, SDG&amp;E’s income tax expense increased by $55 million primarily due to:</w:t>
      </w:r>
    </w:p>
    <w:p>
      <w:pPr>
        <w:spacing w:after="0" w:line="77" w:lineRule="exact"/>
        <w:rPr>
          <w:sz w:val="20"/>
          <w:szCs w:val="20"/>
          <w:color w:val="auto"/>
        </w:rPr>
      </w:pPr>
    </w:p>
    <w:p>
      <w:pPr>
        <w:ind w:left="160" w:hanging="152"/>
        <w:spacing w:after="0"/>
        <w:tabs>
          <w:tab w:leader="none" w:pos="16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lower income tax benefit from lower ITCs from standalone energy storage projects</w:t>
      </w:r>
    </w:p>
    <w:p>
      <w:pPr>
        <w:spacing w:after="0" w:line="49" w:lineRule="exact"/>
        <w:rPr>
          <w:rFonts w:ascii="Times New Roman" w:cs="Times New Roman" w:eastAsia="Times New Roman" w:hAnsi="Times New Roman"/>
          <w:sz w:val="18"/>
          <w:szCs w:val="18"/>
          <w:color w:val="auto"/>
        </w:rPr>
      </w:pPr>
    </w:p>
    <w:p>
      <w:pPr>
        <w:ind w:left="160" w:hanging="152"/>
        <w:spacing w:after="0"/>
        <w:tabs>
          <w:tab w:leader="none" w:pos="16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higher pretax income</w:t>
      </w:r>
    </w:p>
    <w:p>
      <w:pPr>
        <w:spacing w:after="0" w:line="49" w:lineRule="exact"/>
        <w:rPr>
          <w:rFonts w:ascii="Times New Roman" w:cs="Times New Roman" w:eastAsia="Times New Roman" w:hAnsi="Times New Roman"/>
          <w:sz w:val="18"/>
          <w:szCs w:val="18"/>
          <w:color w:val="auto"/>
        </w:rPr>
      </w:pPr>
    </w:p>
    <w:p>
      <w:pPr>
        <w:ind w:left="160" w:hanging="152"/>
        <w:spacing w:after="0"/>
        <w:tabs>
          <w:tab w:leader="none" w:pos="16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lower income tax benefits from flow-through items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150495</wp:posOffset>
            </wp:positionV>
            <wp:extent cx="7157720" cy="425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6" w:name="page97"/>
    <w:bookmarkEnd w:id="9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462915</wp:posOffset>
            </wp:positionV>
            <wp:extent cx="1062990" cy="44577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1062990" cy="4457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We discuss herein SoCalGas’ results of operations and significant changes in earnings, revenues and costs in the three months ended March 31, 2026 compared to the same period in 2025.</w:t>
      </w: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103505</wp:posOffset>
            </wp:positionV>
            <wp:extent cx="7132320" cy="3003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32320" cy="300355"/>
                    </a:xfrm>
                    <a:prstGeom prst="rect">
                      <a:avLst/>
                    </a:prstGeom>
                    <a:noFill/>
                  </pic:spPr>
                </pic:pic>
              </a:graphicData>
            </a:graphic>
          </wp:anchor>
        </w:drawing>
      </w:r>
    </w:p>
    <w:p>
      <w:pPr>
        <w:spacing w:after="0" w:line="156"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FFFFFF"/>
        </w:rPr>
        <w:t>RESULTS OF OPERATIONS</w:t>
      </w:r>
    </w:p>
    <w:p>
      <w:pPr>
        <w:spacing w:after="0" w:line="66" w:lineRule="exact"/>
        <w:rPr>
          <w:sz w:val="20"/>
          <w:szCs w:val="20"/>
          <w:color w:val="auto"/>
        </w:rPr>
      </w:pPr>
    </w:p>
    <w:p>
      <w:pPr>
        <w:ind w:left="20"/>
        <w:spacing w:after="0"/>
        <w:rPr>
          <w:sz w:val="20"/>
          <w:szCs w:val="20"/>
          <w:color w:val="auto"/>
        </w:rPr>
      </w:pPr>
      <w:r>
        <w:rPr>
          <w:rFonts w:ascii="Arial" w:cs="Arial" w:eastAsia="Arial" w:hAnsi="Arial"/>
          <w:sz w:val="14"/>
          <w:szCs w:val="14"/>
          <w:i w:val="1"/>
          <w:iCs w:val="1"/>
          <w:color w:val="FFFFFF"/>
        </w:rPr>
        <w:t>(Dollars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159385</wp:posOffset>
            </wp:positionV>
            <wp:extent cx="7132320" cy="179197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32320" cy="17919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the three months ended March 31, 2026 compared to the same period in 2025, the decrease in earnings of $19 million (4%) was primarily due to:</w:t>
      </w:r>
    </w:p>
    <w:p>
      <w:pPr>
        <w:spacing w:after="0" w:line="77" w:lineRule="exact"/>
        <w:rPr>
          <w:sz w:val="20"/>
          <w:szCs w:val="20"/>
          <w:color w:val="auto"/>
        </w:rPr>
      </w:pPr>
    </w:p>
    <w:p>
      <w:pPr>
        <w:ind w:left="160" w:hanging="152"/>
        <w:spacing w:after="0"/>
        <w:tabs>
          <w:tab w:leader="none" w:pos="16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$26 million lower income tax benefits primarily from flow-through items</w:t>
      </w:r>
    </w:p>
    <w:p>
      <w:pPr>
        <w:spacing w:after="0" w:line="49" w:lineRule="exact"/>
        <w:rPr>
          <w:rFonts w:ascii="Times New Roman" w:cs="Times New Roman" w:eastAsia="Times New Roman" w:hAnsi="Times New Roman"/>
          <w:sz w:val="18"/>
          <w:szCs w:val="18"/>
          <w:color w:val="auto"/>
        </w:rPr>
      </w:pPr>
    </w:p>
    <w:p>
      <w:pPr>
        <w:ind w:left="160" w:hanging="152"/>
        <w:spacing w:after="0"/>
        <w:tabs>
          <w:tab w:leader="none" w:pos="16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 million higher net interest expense</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Offset by:</w:t>
      </w:r>
    </w:p>
    <w:p>
      <w:pPr>
        <w:spacing w:after="0" w:line="63" w:lineRule="exact"/>
        <w:rPr>
          <w:sz w:val="20"/>
          <w:szCs w:val="20"/>
          <w:color w:val="auto"/>
        </w:rPr>
      </w:pPr>
    </w:p>
    <w:p>
      <w:pPr>
        <w:ind w:left="160" w:hanging="152"/>
        <w:spacing w:after="0"/>
        <w:tabs>
          <w:tab w:leader="none" w:pos="16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 million higher CPUC base operating margin, net of operating expenses</w:t>
      </w:r>
    </w:p>
    <w:p>
      <w:pPr>
        <w:spacing w:after="0" w:line="49" w:lineRule="exact"/>
        <w:rPr>
          <w:rFonts w:ascii="Times New Roman" w:cs="Times New Roman" w:eastAsia="Times New Roman" w:hAnsi="Times New Roman"/>
          <w:sz w:val="18"/>
          <w:szCs w:val="18"/>
          <w:color w:val="auto"/>
        </w:rPr>
      </w:pPr>
    </w:p>
    <w:p>
      <w:pPr>
        <w:ind w:left="160" w:hanging="152"/>
        <w:spacing w:after="0"/>
        <w:tabs>
          <w:tab w:leader="none" w:pos="16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 million regulatory award approved by the CPUC in 2026</w:t>
      </w:r>
    </w:p>
    <w:p>
      <w:pPr>
        <w:spacing w:after="0" w:line="3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SIGNIFICANT CHANGES IN REVENUES AND COSTS</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Natural Gas Revenues and Cost of Natural Gas</w:t>
      </w:r>
    </w:p>
    <w:p>
      <w:pPr>
        <w:spacing w:after="0" w:line="49" w:lineRule="exact"/>
        <w:rPr>
          <w:sz w:val="20"/>
          <w:szCs w:val="20"/>
          <w:color w:val="auto"/>
        </w:rPr>
      </w:pPr>
    </w:p>
    <w:p>
      <w:pPr>
        <w:spacing w:after="0" w:line="297" w:lineRule="auto"/>
        <w:rPr>
          <w:sz w:val="20"/>
          <w:szCs w:val="20"/>
          <w:color w:val="auto"/>
        </w:rPr>
      </w:pPr>
      <w:r>
        <w:rPr>
          <w:rFonts w:ascii="Times New Roman" w:cs="Times New Roman" w:eastAsia="Times New Roman" w:hAnsi="Times New Roman"/>
          <w:sz w:val="18"/>
          <w:szCs w:val="18"/>
          <w:color w:val="auto"/>
        </w:rPr>
        <w:t>In the three months ended March 31, 2026 and 2025, SoCalGas’ average cost of natural gas per thousand cubic feet was $3.18 and $4.23, respectively. The average cost of natural gas sold at SoCalGas is impacted by market prices, as well as transportation and other charges.</w:t>
      </w:r>
    </w:p>
    <w:p>
      <w:pPr>
        <w:spacing w:after="0" w:line="55"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In the three months ended March 31, 2026 compared to the same period in 2025, SoCalGas’ natural gas revenues decreased by $292 million (14%) to $1.7 billion primarily due to:</w:t>
      </w:r>
    </w:p>
    <w:p>
      <w:pPr>
        <w:spacing w:after="0" w:line="13" w:lineRule="exact"/>
        <w:rPr>
          <w:sz w:val="20"/>
          <w:szCs w:val="20"/>
          <w:color w:val="auto"/>
        </w:rPr>
      </w:pPr>
    </w:p>
    <w:p>
      <w:pPr>
        <w:ind w:left="160" w:hanging="152"/>
        <w:spacing w:after="0"/>
        <w:tabs>
          <w:tab w:leader="none" w:pos="16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$159 million decrease in cost of natural gas sold, which we discuss below</w:t>
      </w:r>
    </w:p>
    <w:p>
      <w:pPr>
        <w:spacing w:after="0" w:line="49" w:lineRule="exact"/>
        <w:rPr>
          <w:rFonts w:ascii="Times New Roman" w:cs="Times New Roman" w:eastAsia="Times New Roman" w:hAnsi="Times New Roman"/>
          <w:sz w:val="18"/>
          <w:szCs w:val="18"/>
          <w:color w:val="auto"/>
        </w:rPr>
      </w:pPr>
    </w:p>
    <w:p>
      <w:pPr>
        <w:ind w:left="160" w:hanging="152"/>
        <w:spacing w:after="0"/>
        <w:tabs>
          <w:tab w:leader="none" w:pos="16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$137 million lower regulatory revenues associated with refundable programs, which are fully offset in O&amp;M</w:t>
      </w:r>
    </w:p>
    <w:p>
      <w:pPr>
        <w:spacing w:after="0" w:line="63" w:lineRule="exact"/>
        <w:rPr>
          <w:rFonts w:ascii="Times New Roman" w:cs="Times New Roman" w:eastAsia="Times New Roman" w:hAnsi="Times New Roman"/>
          <w:sz w:val="18"/>
          <w:szCs w:val="18"/>
          <w:color w:val="auto"/>
        </w:rPr>
      </w:pPr>
    </w:p>
    <w:p>
      <w:pPr>
        <w:ind w:left="160" w:hanging="152"/>
        <w:spacing w:after="0"/>
        <w:tabs>
          <w:tab w:leader="none" w:pos="16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$28 million lower regulatory revenues associated with the acceleration of self-developed software deductions, which are offset in income tax expense</w:t>
      </w:r>
    </w:p>
    <w:p>
      <w:pPr>
        <w:spacing w:after="0" w:line="49" w:lineRule="exact"/>
        <w:rPr>
          <w:rFonts w:ascii="Times New Roman" w:cs="Times New Roman" w:eastAsia="Times New Roman" w:hAnsi="Times New Roman"/>
          <w:sz w:val="18"/>
          <w:szCs w:val="18"/>
          <w:color w:val="auto"/>
        </w:rPr>
      </w:pPr>
    </w:p>
    <w:p>
      <w:pPr>
        <w:ind w:left="160" w:hanging="152"/>
        <w:spacing w:after="0"/>
        <w:tabs>
          <w:tab w:leader="none" w:pos="16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$16 million lower regulatory revenues primarily from higher gas repairs tax benefits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Offset by:</w:t>
      </w:r>
    </w:p>
    <w:p>
      <w:pPr>
        <w:spacing w:after="0" w:line="50" w:lineRule="exact"/>
        <w:rPr>
          <w:sz w:val="20"/>
          <w:szCs w:val="20"/>
          <w:color w:val="auto"/>
        </w:rPr>
      </w:pPr>
    </w:p>
    <w:p>
      <w:pPr>
        <w:ind w:left="160" w:hanging="152"/>
        <w:spacing w:after="0"/>
        <w:tabs>
          <w:tab w:leader="none" w:pos="16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$36 million higher CPUC-authorized base revenues</w:t>
      </w:r>
    </w:p>
    <w:p>
      <w:pPr>
        <w:spacing w:after="0" w:line="63" w:lineRule="exact"/>
        <w:rPr>
          <w:rFonts w:ascii="Times New Roman" w:cs="Times New Roman" w:eastAsia="Times New Roman" w:hAnsi="Times New Roman"/>
          <w:sz w:val="18"/>
          <w:szCs w:val="18"/>
          <w:color w:val="auto"/>
        </w:rPr>
      </w:pPr>
    </w:p>
    <w:p>
      <w:pPr>
        <w:ind w:left="160" w:hanging="152"/>
        <w:spacing w:after="0"/>
        <w:tabs>
          <w:tab w:leader="none" w:pos="16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 million higher revenues from incremental and balanced capital projects</w:t>
      </w:r>
    </w:p>
    <w:p>
      <w:pPr>
        <w:spacing w:after="0" w:line="49" w:lineRule="exact"/>
        <w:rPr>
          <w:rFonts w:ascii="Times New Roman" w:cs="Times New Roman" w:eastAsia="Times New Roman" w:hAnsi="Times New Roman"/>
          <w:sz w:val="18"/>
          <w:szCs w:val="18"/>
          <w:color w:val="auto"/>
        </w:rPr>
      </w:pPr>
    </w:p>
    <w:p>
      <w:pPr>
        <w:ind w:left="160" w:hanging="152"/>
        <w:spacing w:after="0"/>
        <w:tabs>
          <w:tab w:leader="none" w:pos="16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 million regulatory award approved by the CPUC in 2026</w:t>
      </w:r>
    </w:p>
    <w:p>
      <w:pPr>
        <w:sectPr>
          <w:pgSz w:w="11900" w:h="16838" w:orient="portrait"/>
          <w:cols w:equalWidth="0" w:num="1">
            <w:col w:w="11180"/>
          </w:cols>
          <w:pgMar w:left="320" w:top="121" w:right="3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type w:val="continuous"/>
        </w:sectPr>
      </w:pPr>
    </w:p>
    <w:bookmarkStart w:id="97" w:name="page98"/>
    <w:bookmarkEnd w:id="9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right="200"/>
        <w:spacing w:after="0" w:line="289" w:lineRule="auto"/>
        <w:rPr>
          <w:sz w:val="20"/>
          <w:szCs w:val="20"/>
          <w:color w:val="auto"/>
        </w:rPr>
      </w:pPr>
      <w:r>
        <w:rPr>
          <w:rFonts w:ascii="Times New Roman" w:cs="Times New Roman" w:eastAsia="Times New Roman" w:hAnsi="Times New Roman"/>
          <w:sz w:val="18"/>
          <w:szCs w:val="18"/>
          <w:color w:val="auto"/>
        </w:rPr>
        <w:t>In the three months ended March 31, 2026 compared to the same period in 2025, SoCalGas’ cost of natural gas decreased by $159 million (38%) to $256 million due to:</w:t>
      </w:r>
    </w:p>
    <w:p>
      <w:pPr>
        <w:spacing w:after="0" w:line="1" w:lineRule="exact"/>
        <w:rPr>
          <w:sz w:val="20"/>
          <w:szCs w:val="20"/>
          <w:color w:val="auto"/>
        </w:rPr>
      </w:pPr>
    </w:p>
    <w:p>
      <w:pPr>
        <w:ind w:left="160" w:hanging="152"/>
        <w:spacing w:after="0"/>
        <w:tabs>
          <w:tab w:leader="none" w:pos="16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$84 million lower average natural gas prices</w:t>
      </w:r>
    </w:p>
    <w:p>
      <w:pPr>
        <w:spacing w:after="0" w:line="63" w:lineRule="exact"/>
        <w:rPr>
          <w:rFonts w:ascii="Times New Roman" w:cs="Times New Roman" w:eastAsia="Times New Roman" w:hAnsi="Times New Roman"/>
          <w:sz w:val="18"/>
          <w:szCs w:val="18"/>
          <w:color w:val="auto"/>
        </w:rPr>
      </w:pPr>
    </w:p>
    <w:p>
      <w:pPr>
        <w:ind w:left="160" w:hanging="152"/>
        <w:spacing w:after="0"/>
        <w:tabs>
          <w:tab w:leader="none" w:pos="16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$75 million lower volumes driven by weather</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Operation and Maintenance</w:t>
      </w:r>
    </w:p>
    <w:p>
      <w:pPr>
        <w:spacing w:after="0" w:line="49" w:lineRule="exact"/>
        <w:rPr>
          <w:sz w:val="20"/>
          <w:szCs w:val="20"/>
          <w:color w:val="auto"/>
        </w:rPr>
      </w:pPr>
    </w:p>
    <w:p>
      <w:pPr>
        <w:ind w:right="520"/>
        <w:spacing w:after="0" w:line="297" w:lineRule="auto"/>
        <w:rPr>
          <w:sz w:val="20"/>
          <w:szCs w:val="20"/>
          <w:color w:val="auto"/>
        </w:rPr>
      </w:pPr>
      <w:r>
        <w:rPr>
          <w:rFonts w:ascii="Times New Roman" w:cs="Times New Roman" w:eastAsia="Times New Roman" w:hAnsi="Times New Roman"/>
          <w:sz w:val="18"/>
          <w:szCs w:val="18"/>
          <w:color w:val="auto"/>
        </w:rPr>
        <w:t>In the three months ended March 31, 2026 compared to the same period in 2025, SoCalGas’ O&amp;M decreased by $136 million (18%) to $621 million primarily due to $137 million lower expenses associated with refundable programs, which costs are recovered in revenue.</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Income Taxes</w:t>
      </w:r>
    </w:p>
    <w:p>
      <w:pPr>
        <w:spacing w:after="0" w:line="134" w:lineRule="exact"/>
        <w:rPr>
          <w:sz w:val="20"/>
          <w:szCs w:val="20"/>
          <w:color w:val="auto"/>
        </w:rPr>
      </w:pPr>
    </w:p>
    <w:p>
      <w:pPr>
        <w:ind w:left="20" w:right="5580"/>
        <w:spacing w:after="0" w:line="284" w:lineRule="auto"/>
        <w:rPr>
          <w:sz w:val="20"/>
          <w:szCs w:val="20"/>
          <w:color w:val="auto"/>
        </w:rPr>
      </w:pPr>
      <w:r>
        <w:rPr>
          <w:rFonts w:ascii="Arial" w:cs="Arial" w:eastAsia="Arial" w:hAnsi="Arial"/>
          <w:sz w:val="16"/>
          <w:szCs w:val="16"/>
          <w:b w:val="1"/>
          <w:bCs w:val="1"/>
          <w:color w:val="FFFFFF"/>
        </w:rPr>
        <w:t xml:space="preserve">INCOME TAX EXPENSE (BENEFIT) AND EFFECTIVE INCOME TAX RATES </w:t>
      </w:r>
      <w:r>
        <w:rPr>
          <w:rFonts w:ascii="Arial" w:cs="Arial" w:eastAsia="Arial" w:hAnsi="Arial"/>
          <w:sz w:val="14"/>
          <w:szCs w:val="14"/>
          <w:i w:val="1"/>
          <w:iCs w:val="1"/>
          <w:color w:val="FFFFFF"/>
        </w:rPr>
        <w:t>(Dollars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-275590</wp:posOffset>
            </wp:positionV>
            <wp:extent cx="7132320" cy="26543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32320" cy="26543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94"/>
        </w:trPr>
        <w:tc>
          <w:tcPr>
            <w:tcW w:w="7880" w:type="dxa"/>
            <w:vAlign w:val="bottom"/>
          </w:tcPr>
          <w:p>
            <w:pPr>
              <w:spacing w:after="0"/>
              <w:rPr>
                <w:sz w:val="16"/>
                <w:szCs w:val="16"/>
                <w:color w:val="auto"/>
              </w:rPr>
            </w:pPr>
          </w:p>
        </w:tc>
        <w:tc>
          <w:tcPr>
            <w:tcW w:w="2800" w:type="dxa"/>
            <w:vAlign w:val="bottom"/>
            <w:tcBorders>
              <w:bottom w:val="single" w:sz="8" w:color="auto"/>
            </w:tcBorders>
            <w:gridSpan w:val="3"/>
          </w:tcPr>
          <w:p>
            <w:pPr>
              <w:jc w:val="right"/>
              <w:ind w:right="42"/>
              <w:spacing w:after="0"/>
              <w:rPr>
                <w:sz w:val="20"/>
                <w:szCs w:val="20"/>
                <w:color w:val="auto"/>
              </w:rPr>
            </w:pPr>
            <w:r>
              <w:rPr>
                <w:rFonts w:ascii="Arial" w:cs="Arial" w:eastAsia="Arial" w:hAnsi="Arial"/>
                <w:sz w:val="14"/>
                <w:szCs w:val="14"/>
                <w:color w:val="auto"/>
              </w:rPr>
              <w:t>Three months ended March 31,</w:t>
            </w:r>
          </w:p>
        </w:tc>
        <w:tc>
          <w:tcPr>
            <w:tcW w:w="560" w:type="dxa"/>
            <w:vAlign w:val="bottom"/>
            <w:tcBorders>
              <w:bottom w:val="single" w:sz="8" w:color="auto"/>
            </w:tcBorders>
          </w:tcPr>
          <w:p>
            <w:pPr>
              <w:spacing w:after="0"/>
              <w:rPr>
                <w:sz w:val="16"/>
                <w:szCs w:val="16"/>
                <w:color w:val="auto"/>
              </w:rPr>
            </w:pPr>
          </w:p>
        </w:tc>
      </w:tr>
      <w:tr>
        <w:trPr>
          <w:trHeight w:val="210"/>
        </w:trPr>
        <w:tc>
          <w:tcPr>
            <w:tcW w:w="78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24"/>
              <w:spacing w:after="0"/>
              <w:rPr>
                <w:sz w:val="20"/>
                <w:szCs w:val="20"/>
                <w:color w:val="auto"/>
              </w:rPr>
            </w:pPr>
            <w:r>
              <w:rPr>
                <w:rFonts w:ascii="Arial" w:cs="Arial" w:eastAsia="Arial" w:hAnsi="Arial"/>
                <w:sz w:val="14"/>
                <w:szCs w:val="14"/>
                <w:color w:val="auto"/>
              </w:rPr>
              <w:t>2026</w:t>
            </w:r>
          </w:p>
        </w:tc>
        <w:tc>
          <w:tcPr>
            <w:tcW w:w="6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22"/>
              <w:spacing w:after="0"/>
              <w:rPr>
                <w:sz w:val="20"/>
                <w:szCs w:val="20"/>
                <w:color w:val="auto"/>
              </w:rPr>
            </w:pPr>
            <w:r>
              <w:rPr>
                <w:rFonts w:ascii="Arial" w:cs="Arial" w:eastAsia="Arial" w:hAnsi="Arial"/>
                <w:sz w:val="14"/>
                <w:szCs w:val="14"/>
                <w:color w:val="auto"/>
              </w:rPr>
              <w:t>2025</w:t>
            </w:r>
          </w:p>
        </w:tc>
        <w:tc>
          <w:tcPr>
            <w:tcW w:w="560" w:type="dxa"/>
            <w:vAlign w:val="bottom"/>
            <w:tcBorders>
              <w:bottom w:val="single" w:sz="8" w:color="auto"/>
            </w:tcBorders>
          </w:tcPr>
          <w:p>
            <w:pPr>
              <w:spacing w:after="0"/>
              <w:rPr>
                <w:sz w:val="18"/>
                <w:szCs w:val="18"/>
                <w:color w:val="auto"/>
              </w:rPr>
            </w:pPr>
          </w:p>
        </w:tc>
      </w:tr>
      <w:tr>
        <w:trPr>
          <w:trHeight w:val="213"/>
        </w:trPr>
        <w:tc>
          <w:tcPr>
            <w:tcW w:w="7880" w:type="dxa"/>
            <w:vAlign w:val="bottom"/>
            <w:shd w:val="clear" w:color="auto" w:fill="D4F1F5"/>
          </w:tcPr>
          <w:p>
            <w:pPr>
              <w:ind w:left="20"/>
              <w:spacing w:after="0"/>
              <w:rPr>
                <w:sz w:val="20"/>
                <w:szCs w:val="20"/>
                <w:color w:val="auto"/>
              </w:rPr>
            </w:pPr>
            <w:r>
              <w:rPr>
                <w:rFonts w:ascii="Arial" w:cs="Arial" w:eastAsia="Arial" w:hAnsi="Arial"/>
                <w:sz w:val="16"/>
                <w:szCs w:val="16"/>
                <w:b w:val="1"/>
                <w:bCs w:val="1"/>
                <w:color w:val="auto"/>
              </w:rPr>
              <w:t>SoCalGas:</w:t>
            </w:r>
          </w:p>
        </w:tc>
        <w:tc>
          <w:tcPr>
            <w:tcW w:w="1060" w:type="dxa"/>
            <w:vAlign w:val="bottom"/>
            <w:shd w:val="clear" w:color="auto" w:fill="D4F1F5"/>
          </w:tcPr>
          <w:p>
            <w:pPr>
              <w:spacing w:after="0"/>
              <w:rPr>
                <w:sz w:val="18"/>
                <w:szCs w:val="18"/>
                <w:color w:val="auto"/>
              </w:rPr>
            </w:pPr>
          </w:p>
        </w:tc>
        <w:tc>
          <w:tcPr>
            <w:tcW w:w="620" w:type="dxa"/>
            <w:vAlign w:val="bottom"/>
            <w:shd w:val="clear" w:color="auto" w:fill="D4F1F5"/>
          </w:tcPr>
          <w:p>
            <w:pPr>
              <w:spacing w:after="0"/>
              <w:rPr>
                <w:sz w:val="18"/>
                <w:szCs w:val="18"/>
                <w:color w:val="auto"/>
              </w:rPr>
            </w:pPr>
          </w:p>
        </w:tc>
        <w:tc>
          <w:tcPr>
            <w:tcW w:w="1120" w:type="dxa"/>
            <w:vAlign w:val="bottom"/>
            <w:shd w:val="clear" w:color="auto" w:fill="D4F1F5"/>
          </w:tcPr>
          <w:p>
            <w:pPr>
              <w:spacing w:after="0"/>
              <w:rPr>
                <w:sz w:val="18"/>
                <w:szCs w:val="18"/>
                <w:color w:val="auto"/>
              </w:rPr>
            </w:pPr>
          </w:p>
        </w:tc>
        <w:tc>
          <w:tcPr>
            <w:tcW w:w="560" w:type="dxa"/>
            <w:vAlign w:val="bottom"/>
            <w:shd w:val="clear" w:color="auto" w:fill="D4F1F5"/>
          </w:tcPr>
          <w:p>
            <w:pPr>
              <w:spacing w:after="0"/>
              <w:rPr>
                <w:sz w:val="18"/>
                <w:szCs w:val="18"/>
                <w:color w:val="auto"/>
              </w:rPr>
            </w:pPr>
          </w:p>
        </w:tc>
      </w:tr>
      <w:tr>
        <w:trPr>
          <w:trHeight w:val="215"/>
        </w:trPr>
        <w:tc>
          <w:tcPr>
            <w:tcW w:w="7880" w:type="dxa"/>
            <w:vAlign w:val="bottom"/>
          </w:tcPr>
          <w:p>
            <w:pPr>
              <w:ind w:left="20"/>
              <w:spacing w:after="0"/>
              <w:rPr>
                <w:sz w:val="20"/>
                <w:szCs w:val="20"/>
                <w:color w:val="auto"/>
              </w:rPr>
            </w:pPr>
            <w:r>
              <w:rPr>
                <w:rFonts w:ascii="Arial" w:cs="Arial" w:eastAsia="Arial" w:hAnsi="Arial"/>
                <w:sz w:val="16"/>
                <w:szCs w:val="16"/>
                <w:color w:val="auto"/>
              </w:rPr>
              <w:t>Income tax expense</w:t>
            </w:r>
          </w:p>
        </w:tc>
        <w:tc>
          <w:tcPr>
            <w:tcW w:w="1060" w:type="dxa"/>
            <w:vAlign w:val="bottom"/>
          </w:tcPr>
          <w:p>
            <w:pPr>
              <w:jc w:val="right"/>
              <w:ind w:right="884"/>
              <w:spacing w:after="0"/>
              <w:rPr>
                <w:sz w:val="20"/>
                <w:szCs w:val="20"/>
                <w:color w:val="auto"/>
              </w:rPr>
            </w:pPr>
            <w:r>
              <w:rPr>
                <w:rFonts w:ascii="Arial" w:cs="Arial" w:eastAsia="Arial" w:hAnsi="Arial"/>
                <w:sz w:val="16"/>
                <w:szCs w:val="16"/>
                <w:color w:val="auto"/>
                <w:w w:val="89"/>
              </w:rPr>
              <w:t>$</w:t>
            </w:r>
          </w:p>
        </w:tc>
        <w:tc>
          <w:tcPr>
            <w:tcW w:w="620" w:type="dxa"/>
            <w:vAlign w:val="bottom"/>
          </w:tcPr>
          <w:p>
            <w:pPr>
              <w:jc w:val="right"/>
              <w:ind w:right="179"/>
              <w:spacing w:after="0"/>
              <w:rPr>
                <w:sz w:val="20"/>
                <w:szCs w:val="20"/>
                <w:color w:val="auto"/>
              </w:rPr>
            </w:pPr>
            <w:r>
              <w:rPr>
                <w:rFonts w:ascii="Arial" w:cs="Arial" w:eastAsia="Arial" w:hAnsi="Arial"/>
                <w:sz w:val="16"/>
                <w:szCs w:val="16"/>
                <w:color w:val="auto"/>
              </w:rPr>
              <w:t>20</w:t>
            </w:r>
          </w:p>
        </w:tc>
        <w:tc>
          <w:tcPr>
            <w:tcW w:w="1120" w:type="dxa"/>
            <w:vAlign w:val="bottom"/>
          </w:tcPr>
          <w:p>
            <w:pPr>
              <w:jc w:val="right"/>
              <w:ind w:right="882"/>
              <w:spacing w:after="0"/>
              <w:rPr>
                <w:sz w:val="20"/>
                <w:szCs w:val="20"/>
                <w:color w:val="auto"/>
              </w:rPr>
            </w:pPr>
            <w:r>
              <w:rPr>
                <w:rFonts w:ascii="Arial" w:cs="Arial" w:eastAsia="Arial" w:hAnsi="Arial"/>
                <w:sz w:val="16"/>
                <w:szCs w:val="16"/>
                <w:color w:val="auto"/>
              </w:rPr>
              <w:t>$</w:t>
            </w:r>
          </w:p>
        </w:tc>
        <w:tc>
          <w:tcPr>
            <w:tcW w:w="560" w:type="dxa"/>
            <w:vAlign w:val="bottom"/>
          </w:tcPr>
          <w:p>
            <w:pPr>
              <w:jc w:val="right"/>
              <w:ind w:right="119"/>
              <w:spacing w:after="0"/>
              <w:rPr>
                <w:sz w:val="20"/>
                <w:szCs w:val="20"/>
                <w:color w:val="auto"/>
              </w:rPr>
            </w:pPr>
            <w:r>
              <w:rPr>
                <w:rFonts w:ascii="Arial" w:cs="Arial" w:eastAsia="Arial" w:hAnsi="Arial"/>
                <w:sz w:val="16"/>
                <w:szCs w:val="16"/>
                <w:color w:val="auto"/>
              </w:rPr>
              <w:t>38</w:t>
            </w:r>
          </w:p>
        </w:tc>
      </w:tr>
      <w:tr>
        <w:trPr>
          <w:trHeight w:val="217"/>
        </w:trPr>
        <w:tc>
          <w:tcPr>
            <w:tcW w:w="7880" w:type="dxa"/>
            <w:vAlign w:val="bottom"/>
            <w:shd w:val="clear" w:color="auto" w:fill="D4F1F5"/>
          </w:tcPr>
          <w:p>
            <w:pPr>
              <w:ind w:left="20"/>
              <w:spacing w:after="0"/>
              <w:rPr>
                <w:sz w:val="20"/>
                <w:szCs w:val="20"/>
                <w:color w:val="auto"/>
              </w:rPr>
            </w:pPr>
            <w:r>
              <w:rPr>
                <w:rFonts w:ascii="Arial" w:cs="Arial" w:eastAsia="Arial" w:hAnsi="Arial"/>
                <w:sz w:val="16"/>
                <w:szCs w:val="16"/>
                <w:color w:val="auto"/>
              </w:rPr>
              <w:t>Income before income taxes</w:t>
            </w:r>
          </w:p>
        </w:tc>
        <w:tc>
          <w:tcPr>
            <w:tcW w:w="1060" w:type="dxa"/>
            <w:vAlign w:val="bottom"/>
            <w:shd w:val="clear" w:color="auto" w:fill="D4F1F5"/>
          </w:tcPr>
          <w:p>
            <w:pPr>
              <w:jc w:val="right"/>
              <w:ind w:right="884"/>
              <w:spacing w:after="0"/>
              <w:rPr>
                <w:sz w:val="20"/>
                <w:szCs w:val="20"/>
                <w:color w:val="auto"/>
              </w:rPr>
            </w:pPr>
            <w:r>
              <w:rPr>
                <w:rFonts w:ascii="Arial" w:cs="Arial" w:eastAsia="Arial" w:hAnsi="Arial"/>
                <w:sz w:val="16"/>
                <w:szCs w:val="16"/>
                <w:color w:val="auto"/>
                <w:w w:val="89"/>
              </w:rPr>
              <w:t>$</w:t>
            </w:r>
          </w:p>
        </w:tc>
        <w:tc>
          <w:tcPr>
            <w:tcW w:w="620" w:type="dxa"/>
            <w:vAlign w:val="bottom"/>
            <w:shd w:val="clear" w:color="auto" w:fill="D4F1F5"/>
          </w:tcPr>
          <w:p>
            <w:pPr>
              <w:jc w:val="right"/>
              <w:ind w:right="179"/>
              <w:spacing w:after="0"/>
              <w:rPr>
                <w:sz w:val="20"/>
                <w:szCs w:val="20"/>
                <w:color w:val="auto"/>
              </w:rPr>
            </w:pPr>
            <w:r>
              <w:rPr>
                <w:rFonts w:ascii="Arial" w:cs="Arial" w:eastAsia="Arial" w:hAnsi="Arial"/>
                <w:sz w:val="16"/>
                <w:szCs w:val="16"/>
                <w:color w:val="auto"/>
              </w:rPr>
              <w:t>444</w:t>
            </w:r>
          </w:p>
        </w:tc>
        <w:tc>
          <w:tcPr>
            <w:tcW w:w="1120" w:type="dxa"/>
            <w:vAlign w:val="bottom"/>
            <w:shd w:val="clear" w:color="auto" w:fill="D4F1F5"/>
          </w:tcPr>
          <w:p>
            <w:pPr>
              <w:jc w:val="right"/>
              <w:ind w:right="882"/>
              <w:spacing w:after="0"/>
              <w:rPr>
                <w:sz w:val="20"/>
                <w:szCs w:val="20"/>
                <w:color w:val="auto"/>
              </w:rPr>
            </w:pPr>
            <w:r>
              <w:rPr>
                <w:rFonts w:ascii="Arial" w:cs="Arial" w:eastAsia="Arial" w:hAnsi="Arial"/>
                <w:sz w:val="16"/>
                <w:szCs w:val="16"/>
                <w:color w:val="auto"/>
              </w:rPr>
              <w:t>$</w:t>
            </w:r>
          </w:p>
        </w:tc>
        <w:tc>
          <w:tcPr>
            <w:tcW w:w="560" w:type="dxa"/>
            <w:vAlign w:val="bottom"/>
            <w:shd w:val="clear" w:color="auto" w:fill="D4F1F5"/>
          </w:tcPr>
          <w:p>
            <w:pPr>
              <w:jc w:val="right"/>
              <w:ind w:right="119"/>
              <w:spacing w:after="0"/>
              <w:rPr>
                <w:sz w:val="20"/>
                <w:szCs w:val="20"/>
                <w:color w:val="auto"/>
              </w:rPr>
            </w:pPr>
            <w:r>
              <w:rPr>
                <w:rFonts w:ascii="Arial" w:cs="Arial" w:eastAsia="Arial" w:hAnsi="Arial"/>
                <w:sz w:val="16"/>
                <w:szCs w:val="16"/>
                <w:color w:val="auto"/>
              </w:rPr>
              <w:t>481</w:t>
            </w:r>
          </w:p>
        </w:tc>
      </w:tr>
      <w:tr>
        <w:trPr>
          <w:trHeight w:val="223"/>
        </w:trPr>
        <w:tc>
          <w:tcPr>
            <w:tcW w:w="788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Effective income tax rate</w:t>
            </w:r>
          </w:p>
        </w:tc>
        <w:tc>
          <w:tcPr>
            <w:tcW w:w="10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5 %</w:t>
            </w:r>
          </w:p>
        </w:tc>
        <w:tc>
          <w:tcPr>
            <w:tcW w:w="112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8 %</w:t>
            </w:r>
          </w:p>
        </w:tc>
      </w:tr>
    </w:tbl>
    <w:p>
      <w:pPr>
        <w:spacing w:after="0" w:line="238"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In the three months ended March 31, 2026 compared to the same period in 2025, SoCalGas’ income tax expense decreased by $18 million (47%) primarily due to higher income tax benefits from flow-through items.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302895</wp:posOffset>
            </wp:positionV>
            <wp:extent cx="7132320"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20"/>
          <w:szCs w:val="20"/>
          <w:color w:val="auto"/>
        </w:rPr>
        <w:t>CAPITAL RESOURCES AND LIQUIDITY</w:t>
      </w:r>
    </w:p>
    <w:p>
      <w:pPr>
        <w:spacing w:after="0" w:line="3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Sempra</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Capital Recycling Program</w:t>
      </w:r>
    </w:p>
    <w:p>
      <w:pPr>
        <w:spacing w:after="0" w:line="35" w:lineRule="exact"/>
        <w:rPr>
          <w:sz w:val="20"/>
          <w:szCs w:val="20"/>
          <w:color w:val="auto"/>
        </w:rPr>
      </w:pPr>
    </w:p>
    <w:p>
      <w:pPr>
        <w:ind w:right="120"/>
        <w:spacing w:after="0" w:line="270" w:lineRule="auto"/>
        <w:rPr>
          <w:sz w:val="20"/>
          <w:szCs w:val="20"/>
          <w:color w:val="auto"/>
        </w:rPr>
      </w:pPr>
      <w:r>
        <w:rPr>
          <w:rFonts w:ascii="Times New Roman" w:cs="Times New Roman" w:eastAsia="Times New Roman" w:hAnsi="Times New Roman"/>
          <w:sz w:val="18"/>
          <w:szCs w:val="18"/>
          <w:color w:val="auto"/>
        </w:rPr>
        <w:t>We regularly review our portfolio of assets with a view toward allocating capital to the businesses we believe can further enhance shareholder value. In September 2025, we entered into an agreement to sell a 45% equity interest in SI Partners to the KKR Partners for $9.99 billion, subject to adjustments. In December 2025, we entered into an agreement to sell Ecogas for 9.0 billion Mexican pesos (approximately $500 million U.S. dollar-equivalent at March 31, 2026), subject to adjustments. We expect to complete the sales in the second or third quarter of 2026, subject to closing conditions. We discuss these sales further in Note 6 of the Notes to Condensed Consolidated Financial Statements and below in “Sempra Infrastructure.”</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Liquidity</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expect to meet our cash requirements primarily through:</w:t>
      </w:r>
    </w:p>
    <w:p>
      <w:pPr>
        <w:spacing w:after="0" w:line="63" w:lineRule="exact"/>
        <w:rPr>
          <w:sz w:val="20"/>
          <w:szCs w:val="20"/>
          <w:color w:val="auto"/>
        </w:rPr>
      </w:pPr>
    </w:p>
    <w:p>
      <w:pPr>
        <w:ind w:left="160" w:hanging="152"/>
        <w:spacing w:after="0"/>
        <w:tabs>
          <w:tab w:leader="none" w:pos="16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flows from operations</w:t>
      </w:r>
    </w:p>
    <w:p>
      <w:pPr>
        <w:spacing w:after="0" w:line="63" w:lineRule="exact"/>
        <w:rPr>
          <w:rFonts w:ascii="Times New Roman" w:cs="Times New Roman" w:eastAsia="Times New Roman" w:hAnsi="Times New Roman"/>
          <w:sz w:val="18"/>
          <w:szCs w:val="18"/>
          <w:color w:val="auto"/>
        </w:rPr>
      </w:pPr>
    </w:p>
    <w:p>
      <w:pPr>
        <w:ind w:left="160" w:hanging="152"/>
        <w:spacing w:after="0"/>
        <w:tabs>
          <w:tab w:leader="none" w:pos="16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unrestricted cash and cash equivalents</w:t>
      </w:r>
    </w:p>
    <w:p>
      <w:pPr>
        <w:spacing w:after="0" w:line="49" w:lineRule="exact"/>
        <w:rPr>
          <w:rFonts w:ascii="Times New Roman" w:cs="Times New Roman" w:eastAsia="Times New Roman" w:hAnsi="Times New Roman"/>
          <w:sz w:val="18"/>
          <w:szCs w:val="18"/>
          <w:color w:val="auto"/>
        </w:rPr>
      </w:pPr>
    </w:p>
    <w:p>
      <w:pPr>
        <w:ind w:left="160" w:hanging="152"/>
        <w:spacing w:after="0"/>
        <w:tabs>
          <w:tab w:leader="none" w:pos="16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borrowings under or supported by our credit facilities</w:t>
      </w:r>
    </w:p>
    <w:p>
      <w:pPr>
        <w:spacing w:after="0" w:line="49" w:lineRule="exact"/>
        <w:rPr>
          <w:rFonts w:ascii="Times New Roman" w:cs="Times New Roman" w:eastAsia="Times New Roman" w:hAnsi="Times New Roman"/>
          <w:sz w:val="18"/>
          <w:szCs w:val="18"/>
          <w:color w:val="auto"/>
        </w:rPr>
      </w:pPr>
    </w:p>
    <w:p>
      <w:pPr>
        <w:ind w:left="160" w:hanging="152"/>
        <w:spacing w:after="0"/>
        <w:tabs>
          <w:tab w:leader="none" w:pos="16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incurrences of debt which may include issuing debt securities and obtaining term loans</w:t>
      </w:r>
    </w:p>
    <w:p>
      <w:pPr>
        <w:spacing w:after="0" w:line="63" w:lineRule="exact"/>
        <w:rPr>
          <w:rFonts w:ascii="Times New Roman" w:cs="Times New Roman" w:eastAsia="Times New Roman" w:hAnsi="Times New Roman"/>
          <w:sz w:val="18"/>
          <w:szCs w:val="18"/>
          <w:color w:val="auto"/>
        </w:rPr>
      </w:pPr>
    </w:p>
    <w:p>
      <w:pPr>
        <w:ind w:left="160" w:hanging="152"/>
        <w:spacing w:after="0"/>
        <w:tabs>
          <w:tab w:leader="none" w:pos="16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selling assets or equity interests in our subsidiaries or development projects, including the planned sale of a portion of our equity interest in SI Partners</w:t>
      </w:r>
    </w:p>
    <w:p>
      <w:pPr>
        <w:spacing w:after="0" w:line="49" w:lineRule="exact"/>
        <w:rPr>
          <w:rFonts w:ascii="Times New Roman" w:cs="Times New Roman" w:eastAsia="Times New Roman" w:hAnsi="Times New Roman"/>
          <w:sz w:val="18"/>
          <w:szCs w:val="18"/>
          <w:color w:val="auto"/>
        </w:rPr>
      </w:pPr>
    </w:p>
    <w:p>
      <w:pPr>
        <w:ind w:left="160" w:hanging="152"/>
        <w:spacing w:after="0"/>
        <w:tabs>
          <w:tab w:leader="none" w:pos="16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issuing equity securities under our ATM program or other offerings</w:t>
      </w:r>
    </w:p>
    <w:p>
      <w:pPr>
        <w:spacing w:after="0" w:line="49" w:lineRule="exact"/>
        <w:rPr>
          <w:rFonts w:ascii="Times New Roman" w:cs="Times New Roman" w:eastAsia="Times New Roman" w:hAnsi="Times New Roman"/>
          <w:sz w:val="18"/>
          <w:szCs w:val="18"/>
          <w:color w:val="auto"/>
        </w:rPr>
      </w:pPr>
    </w:p>
    <w:p>
      <w:pPr>
        <w:ind w:left="160" w:hanging="152"/>
        <w:spacing w:after="0"/>
        <w:tabs>
          <w:tab w:leader="none" w:pos="16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funding from NCI owners or CRNCI owners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150495</wp:posOffset>
            </wp:positionV>
            <wp:extent cx="7157720" cy="425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8" w:name="page99"/>
    <w:bookmarkEnd w:id="9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right="460"/>
        <w:spacing w:after="0" w:line="289" w:lineRule="auto"/>
        <w:rPr>
          <w:sz w:val="20"/>
          <w:szCs w:val="20"/>
          <w:color w:val="auto"/>
        </w:rPr>
      </w:pPr>
      <w:r>
        <w:rPr>
          <w:rFonts w:ascii="Times New Roman" w:cs="Times New Roman" w:eastAsia="Times New Roman" w:hAnsi="Times New Roman"/>
          <w:sz w:val="18"/>
          <w:szCs w:val="18"/>
          <w:color w:val="auto"/>
        </w:rPr>
        <w:t>We believe that these cash flow sources, combined with available funds, will be adequate to fund our operations in both the short-term and long-term, including to:</w:t>
      </w:r>
    </w:p>
    <w:p>
      <w:pPr>
        <w:spacing w:after="0" w:line="1" w:lineRule="exact"/>
        <w:rPr>
          <w:sz w:val="20"/>
          <w:szCs w:val="20"/>
          <w:color w:val="auto"/>
        </w:rPr>
      </w:pPr>
    </w:p>
    <w:p>
      <w:pPr>
        <w:ind w:left="160" w:hanging="152"/>
        <w:spacing w:after="0"/>
        <w:tabs>
          <w:tab w:leader="none" w:pos="16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finance capital expenditures</w:t>
      </w:r>
    </w:p>
    <w:p>
      <w:pPr>
        <w:spacing w:after="0" w:line="63" w:lineRule="exact"/>
        <w:rPr>
          <w:rFonts w:ascii="Times New Roman" w:cs="Times New Roman" w:eastAsia="Times New Roman" w:hAnsi="Times New Roman"/>
          <w:sz w:val="18"/>
          <w:szCs w:val="18"/>
          <w:color w:val="auto"/>
        </w:rPr>
      </w:pPr>
    </w:p>
    <w:p>
      <w:pPr>
        <w:ind w:left="160" w:hanging="152"/>
        <w:spacing w:after="0"/>
        <w:tabs>
          <w:tab w:leader="none" w:pos="16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repay debt</w:t>
      </w:r>
    </w:p>
    <w:p>
      <w:pPr>
        <w:spacing w:after="0" w:line="49" w:lineRule="exact"/>
        <w:rPr>
          <w:rFonts w:ascii="Times New Roman" w:cs="Times New Roman" w:eastAsia="Times New Roman" w:hAnsi="Times New Roman"/>
          <w:sz w:val="18"/>
          <w:szCs w:val="18"/>
          <w:color w:val="auto"/>
        </w:rPr>
      </w:pPr>
    </w:p>
    <w:p>
      <w:pPr>
        <w:ind w:left="160" w:hanging="152"/>
        <w:spacing w:after="0"/>
        <w:tabs>
          <w:tab w:leader="none" w:pos="16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fund dividends</w:t>
      </w:r>
    </w:p>
    <w:p>
      <w:pPr>
        <w:spacing w:after="0" w:line="49" w:lineRule="exact"/>
        <w:rPr>
          <w:rFonts w:ascii="Times New Roman" w:cs="Times New Roman" w:eastAsia="Times New Roman" w:hAnsi="Times New Roman"/>
          <w:sz w:val="18"/>
          <w:szCs w:val="18"/>
          <w:color w:val="auto"/>
        </w:rPr>
      </w:pPr>
    </w:p>
    <w:p>
      <w:pPr>
        <w:ind w:left="160" w:hanging="152"/>
        <w:spacing w:after="0"/>
        <w:tabs>
          <w:tab w:leader="none" w:pos="16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fund contractual and other obligations and otherwise meet liquidity requirements</w:t>
      </w:r>
    </w:p>
    <w:p>
      <w:pPr>
        <w:spacing w:after="0" w:line="63" w:lineRule="exact"/>
        <w:rPr>
          <w:rFonts w:ascii="Times New Roman" w:cs="Times New Roman" w:eastAsia="Times New Roman" w:hAnsi="Times New Roman"/>
          <w:sz w:val="18"/>
          <w:szCs w:val="18"/>
          <w:color w:val="auto"/>
        </w:rPr>
      </w:pPr>
    </w:p>
    <w:p>
      <w:pPr>
        <w:ind w:left="160" w:hanging="152"/>
        <w:spacing w:after="0"/>
        <w:tabs>
          <w:tab w:leader="none" w:pos="16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fund capital contributions</w:t>
      </w:r>
    </w:p>
    <w:p>
      <w:pPr>
        <w:spacing w:after="0" w:line="49" w:lineRule="exact"/>
        <w:rPr>
          <w:rFonts w:ascii="Times New Roman" w:cs="Times New Roman" w:eastAsia="Times New Roman" w:hAnsi="Times New Roman"/>
          <w:sz w:val="18"/>
          <w:szCs w:val="18"/>
          <w:color w:val="auto"/>
        </w:rPr>
      </w:pPr>
    </w:p>
    <w:p>
      <w:pPr>
        <w:ind w:left="160" w:hanging="152"/>
        <w:spacing w:after="0"/>
        <w:tabs>
          <w:tab w:leader="none" w:pos="16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fund new business or asset acquisitions</w:t>
      </w:r>
    </w:p>
    <w:p>
      <w:pPr>
        <w:spacing w:after="0" w:line="158" w:lineRule="exact"/>
        <w:rPr>
          <w:sz w:val="20"/>
          <w:szCs w:val="20"/>
          <w:color w:val="auto"/>
        </w:rPr>
      </w:pPr>
    </w:p>
    <w:p>
      <w:pPr>
        <w:ind w:right="60"/>
        <w:spacing w:after="0" w:line="281" w:lineRule="auto"/>
        <w:rPr>
          <w:sz w:val="20"/>
          <w:szCs w:val="20"/>
          <w:color w:val="auto"/>
        </w:rPr>
      </w:pPr>
      <w:r>
        <w:rPr>
          <w:rFonts w:ascii="Times New Roman" w:cs="Times New Roman" w:eastAsia="Times New Roman" w:hAnsi="Times New Roman"/>
          <w:sz w:val="17"/>
          <w:szCs w:val="17"/>
          <w:color w:val="auto"/>
        </w:rPr>
        <w:t>Sempra, SDG&amp;E and SoCalGas currently have reasonable access to the money markets and capital markets and are not currently constrained in their ability to borrow or otherwise raise money at market rates from commercial banks, under existing revolving credit facilities, through public offerings of debt or equity securities (including under our ATM program or other offerings), or through private placements of debt supported by our revolving credit facilities in the case of commercial paper. However, our ability to access these markets or obtain credit from commercial banks outside of our committed revolving credit facilities could become materially constrained if economic conditions worsen or disruptions to or volatility in these markets increase. In addition, our financing activities, actions by credit rating agencies and prevailing interest rates, as well as many other factors, could negatively affect the availability and cost of both short-term and long-term debt and equity financing. Also, cash flows from operations may be impacted by the timing and outcomes of regulatory proceedings, commencement and completion of, and potential cost overruns for, large projects and other material events. If cash flows from operations were to be significantly reduced or we were unable to borrow or obtain other financing under acceptable terms, we would likely first reduce or postpone discretionary capital expenditures (not related to safety or reliability) and investments in new businesses. We monitor our ability to finance the needs of our operating, investing and financing activities in a manner consistent with our goal to maintain our investment-grade credit ratings.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ATM Program and Forward Sales Agreements</w:t>
      </w:r>
    </w:p>
    <w:p>
      <w:pPr>
        <w:spacing w:after="0" w:line="35" w:lineRule="exact"/>
        <w:rPr>
          <w:sz w:val="20"/>
          <w:szCs w:val="20"/>
          <w:color w:val="auto"/>
        </w:rPr>
      </w:pPr>
    </w:p>
    <w:p>
      <w:pPr>
        <w:jc w:val="both"/>
        <w:ind w:right="220"/>
        <w:spacing w:after="0" w:line="281" w:lineRule="auto"/>
        <w:rPr>
          <w:sz w:val="20"/>
          <w:szCs w:val="20"/>
          <w:color w:val="auto"/>
        </w:rPr>
      </w:pPr>
      <w:r>
        <w:rPr>
          <w:rFonts w:ascii="Times New Roman" w:cs="Times New Roman" w:eastAsia="Times New Roman" w:hAnsi="Times New Roman"/>
          <w:sz w:val="18"/>
          <w:szCs w:val="18"/>
          <w:color w:val="auto"/>
        </w:rPr>
        <w:t>In November 2024, we established an ATM program providing for the offer and sale of shares of Sempra common stock having an aggregate gross sales price of up to $3.0 billion through agents acting as our sales agents or as forward sellers or directly to the agents as principals. The shares may be offered and sold in amounts and at times to be determined by us from time to time.</w:t>
      </w:r>
    </w:p>
    <w:p>
      <w:pPr>
        <w:spacing w:after="0" w:line="56"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We have entered into two forward sale agreements for the sale of shares of Sempra common stock under the ATM program that remain subject to future settlement. The shares offered pursuant to the forward sale agreements were borrowed by the applicable forward purchaser and therefore were not newly issued shares. We did not initially receive any proceeds from the sale of shares pursuant to the forward sale agreements. These forward sale agreements may be settled on one or more dates specified by us occurring no later than the final settlement date under the applicable agreement. Although we may settle the forward sale agreements entirely by the physical delivery of shares of our common stock in exchange for cash proceeds, we may, subject to certain conditions, elect cash settlement or net share settlement for all or a portion of our obligations under the forward sale agreements. The forward sale agreements are also subject to acceleration by the applicable forward purchaser upon the occurrence of certain events. The principal terms of these forward sale agreements at March 31, 2026 are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80645</wp:posOffset>
            </wp:positionV>
            <wp:extent cx="7132320" cy="3003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32320" cy="300355"/>
                    </a:xfrm>
                    <a:prstGeom prst="rect">
                      <a:avLst/>
                    </a:prstGeom>
                    <a:noFill/>
                  </pic:spPr>
                </pic:pic>
              </a:graphicData>
            </a:graphic>
          </wp:anchor>
        </w:drawing>
      </w:r>
    </w:p>
    <w:p>
      <w:pPr>
        <w:spacing w:after="0" w:line="120"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FFFFFF"/>
        </w:rPr>
        <w:t>FORWARD SALE AGREEMENTS UNDER THE ATM PROGRAM THAT REMAIN SUBJECT TO FUTURE SETTLEMENT</w:t>
      </w:r>
    </w:p>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3020" w:type="dxa"/>
            <w:vAlign w:val="bottom"/>
            <w:gridSpan w:val="2"/>
          </w:tcPr>
          <w:p>
            <w:pPr>
              <w:ind w:left="20"/>
              <w:spacing w:after="0"/>
              <w:rPr>
                <w:sz w:val="20"/>
                <w:szCs w:val="20"/>
                <w:color w:val="auto"/>
              </w:rPr>
            </w:pPr>
            <w:r>
              <w:rPr>
                <w:rFonts w:ascii="Arial" w:cs="Arial" w:eastAsia="Arial" w:hAnsi="Arial"/>
                <w:sz w:val="14"/>
                <w:szCs w:val="14"/>
                <w:i w:val="1"/>
                <w:iCs w:val="1"/>
                <w:color w:val="FFFFFF"/>
              </w:rPr>
              <w:t>(Dollars in millions, except per share amounts)</w:t>
            </w:r>
          </w:p>
        </w:tc>
        <w:tc>
          <w:tcPr>
            <w:tcW w:w="126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0"/>
        </w:trPr>
        <w:tc>
          <w:tcPr>
            <w:tcW w:w="1620" w:type="dxa"/>
            <w:vAlign w:val="bottom"/>
          </w:tcPr>
          <w:p>
            <w:pPr>
              <w:spacing w:after="0"/>
              <w:rPr>
                <w:sz w:val="14"/>
                <w:szCs w:val="14"/>
                <w:color w:val="auto"/>
              </w:rPr>
            </w:pPr>
          </w:p>
        </w:tc>
        <w:tc>
          <w:tcPr>
            <w:tcW w:w="1400" w:type="dxa"/>
            <w:vAlign w:val="bottom"/>
          </w:tcPr>
          <w:p>
            <w:pPr>
              <w:jc w:val="center"/>
              <w:spacing w:after="0"/>
              <w:rPr>
                <w:sz w:val="20"/>
                <w:szCs w:val="20"/>
                <w:color w:val="auto"/>
              </w:rPr>
            </w:pPr>
            <w:r>
              <w:rPr>
                <w:rFonts w:ascii="Arial" w:cs="Arial" w:eastAsia="Arial" w:hAnsi="Arial"/>
                <w:sz w:val="14"/>
                <w:szCs w:val="14"/>
                <w:color w:val="auto"/>
              </w:rPr>
              <w:t>Number of shares</w:t>
            </w:r>
          </w:p>
        </w:tc>
        <w:tc>
          <w:tcPr>
            <w:tcW w:w="1260" w:type="dxa"/>
            <w:vAlign w:val="bottom"/>
          </w:tcPr>
          <w:p>
            <w:pPr>
              <w:jc w:val="center"/>
              <w:spacing w:after="0"/>
              <w:rPr>
                <w:sz w:val="20"/>
                <w:szCs w:val="20"/>
                <w:color w:val="auto"/>
              </w:rPr>
            </w:pPr>
            <w:r>
              <w:rPr>
                <w:rFonts w:ascii="Arial" w:cs="Arial" w:eastAsia="Arial" w:hAnsi="Arial"/>
                <w:sz w:val="14"/>
                <w:szCs w:val="14"/>
                <w:color w:val="auto"/>
              </w:rPr>
              <w:t>Number of shares</w:t>
            </w:r>
          </w:p>
        </w:tc>
        <w:tc>
          <w:tcPr>
            <w:tcW w:w="1400" w:type="dxa"/>
            <w:vAlign w:val="bottom"/>
            <w:vMerge w:val="restart"/>
          </w:tcPr>
          <w:p>
            <w:pPr>
              <w:jc w:val="center"/>
              <w:ind w:right="8"/>
              <w:spacing w:after="0"/>
              <w:rPr>
                <w:sz w:val="20"/>
                <w:szCs w:val="20"/>
                <w:color w:val="auto"/>
              </w:rPr>
            </w:pPr>
            <w:r>
              <w:rPr>
                <w:rFonts w:ascii="Arial" w:cs="Arial" w:eastAsia="Arial" w:hAnsi="Arial"/>
                <w:sz w:val="14"/>
                <w:szCs w:val="14"/>
                <w:color w:val="auto"/>
              </w:rPr>
              <w:t>Initial forward price</w:t>
            </w:r>
          </w:p>
        </w:tc>
        <w:tc>
          <w:tcPr>
            <w:tcW w:w="1100" w:type="dxa"/>
            <w:vAlign w:val="bottom"/>
            <w:vMerge w:val="restart"/>
          </w:tcPr>
          <w:p>
            <w:pPr>
              <w:jc w:val="center"/>
              <w:spacing w:after="0"/>
              <w:rPr>
                <w:sz w:val="20"/>
                <w:szCs w:val="20"/>
                <w:color w:val="auto"/>
              </w:rPr>
            </w:pPr>
            <w:r>
              <w:rPr>
                <w:rFonts w:ascii="Arial" w:cs="Arial" w:eastAsia="Arial" w:hAnsi="Arial"/>
                <w:sz w:val="14"/>
                <w:szCs w:val="14"/>
                <w:color w:val="auto"/>
              </w:rPr>
              <w:t>Expected net</w:t>
            </w:r>
          </w:p>
        </w:tc>
        <w:tc>
          <w:tcPr>
            <w:tcW w:w="16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620" w:type="dxa"/>
            <w:vAlign w:val="bottom"/>
            <w:vMerge w:val="restart"/>
          </w:tcPr>
          <w:p>
            <w:pPr>
              <w:jc w:val="center"/>
              <w:ind w:left="8"/>
              <w:spacing w:after="0"/>
              <w:rPr>
                <w:sz w:val="20"/>
                <w:szCs w:val="20"/>
                <w:color w:val="auto"/>
              </w:rPr>
            </w:pPr>
            <w:r>
              <w:rPr>
                <w:rFonts w:ascii="Arial" w:cs="Arial" w:eastAsia="Arial" w:hAnsi="Arial"/>
                <w:sz w:val="14"/>
                <w:szCs w:val="14"/>
                <w:color w:val="auto"/>
              </w:rPr>
              <w:t>Date of agreement</w:t>
            </w:r>
          </w:p>
        </w:tc>
        <w:tc>
          <w:tcPr>
            <w:tcW w:w="1400" w:type="dxa"/>
            <w:vAlign w:val="bottom"/>
          </w:tcPr>
          <w:p>
            <w:pPr>
              <w:jc w:val="center"/>
              <w:spacing w:after="0" w:line="149" w:lineRule="exact"/>
              <w:rPr>
                <w:sz w:val="20"/>
                <w:szCs w:val="20"/>
                <w:color w:val="auto"/>
              </w:rPr>
            </w:pPr>
            <w:r>
              <w:rPr>
                <w:rFonts w:ascii="Arial" w:cs="Arial" w:eastAsia="Arial" w:hAnsi="Arial"/>
                <w:sz w:val="14"/>
                <w:szCs w:val="14"/>
                <w:color w:val="auto"/>
              </w:rPr>
              <w:t>subject to</w:t>
            </w:r>
          </w:p>
        </w:tc>
        <w:tc>
          <w:tcPr>
            <w:tcW w:w="1260" w:type="dxa"/>
            <w:vAlign w:val="bottom"/>
          </w:tcPr>
          <w:p>
            <w:pPr>
              <w:jc w:val="center"/>
              <w:spacing w:after="0" w:line="149" w:lineRule="exact"/>
              <w:rPr>
                <w:sz w:val="20"/>
                <w:szCs w:val="20"/>
                <w:color w:val="auto"/>
              </w:rPr>
            </w:pPr>
            <w:r>
              <w:rPr>
                <w:rFonts w:ascii="Arial" w:cs="Arial" w:eastAsia="Arial" w:hAnsi="Arial"/>
                <w:sz w:val="14"/>
                <w:szCs w:val="14"/>
                <w:color w:val="auto"/>
              </w:rPr>
              <w:t>that remain to be</w:t>
            </w:r>
          </w:p>
        </w:tc>
        <w:tc>
          <w:tcPr>
            <w:tcW w:w="1400" w:type="dxa"/>
            <w:vAlign w:val="bottom"/>
            <w:vMerge w:val="continue"/>
          </w:tcPr>
          <w:p>
            <w:pPr>
              <w:spacing w:after="0"/>
              <w:rPr>
                <w:sz w:val="12"/>
                <w:szCs w:val="12"/>
                <w:color w:val="auto"/>
              </w:rPr>
            </w:pPr>
          </w:p>
        </w:tc>
        <w:tc>
          <w:tcPr>
            <w:tcW w:w="1100" w:type="dxa"/>
            <w:vAlign w:val="bottom"/>
            <w:vMerge w:val="continue"/>
          </w:tcPr>
          <w:p>
            <w:pPr>
              <w:spacing w:after="0"/>
              <w:rPr>
                <w:sz w:val="12"/>
                <w:szCs w:val="12"/>
                <w:color w:val="auto"/>
              </w:rPr>
            </w:pPr>
          </w:p>
        </w:tc>
        <w:tc>
          <w:tcPr>
            <w:tcW w:w="2780" w:type="dxa"/>
            <w:vAlign w:val="bottom"/>
            <w:gridSpan w:val="2"/>
            <w:vMerge w:val="restart"/>
          </w:tcPr>
          <w:p>
            <w:pPr>
              <w:jc w:val="right"/>
              <w:ind w:right="48"/>
              <w:spacing w:after="0"/>
              <w:rPr>
                <w:sz w:val="20"/>
                <w:szCs w:val="20"/>
                <w:color w:val="auto"/>
              </w:rPr>
            </w:pPr>
            <w:r>
              <w:rPr>
                <w:rFonts w:ascii="Arial" w:cs="Arial" w:eastAsia="Arial" w:hAnsi="Arial"/>
                <w:sz w:val="14"/>
                <w:szCs w:val="14"/>
                <w:color w:val="auto"/>
              </w:rPr>
              <w:t>Forward purchaser Sales commissions</w:t>
            </w:r>
          </w:p>
        </w:tc>
        <w:tc>
          <w:tcPr>
            <w:tcW w:w="1680" w:type="dxa"/>
            <w:vAlign w:val="bottom"/>
            <w:vMerge w:val="restart"/>
          </w:tcPr>
          <w:p>
            <w:pPr>
              <w:jc w:val="center"/>
              <w:ind w:right="28"/>
              <w:spacing w:after="0"/>
              <w:rPr>
                <w:sz w:val="20"/>
                <w:szCs w:val="20"/>
                <w:color w:val="auto"/>
              </w:rPr>
            </w:pPr>
            <w:r>
              <w:rPr>
                <w:rFonts w:ascii="Arial" w:cs="Arial" w:eastAsia="Arial" w:hAnsi="Arial"/>
                <w:sz w:val="14"/>
                <w:szCs w:val="14"/>
                <w:color w:val="auto"/>
              </w:rPr>
              <w:t>Final settlement date</w:t>
            </w:r>
          </w:p>
        </w:tc>
        <w:tc>
          <w:tcPr>
            <w:tcW w:w="0" w:type="dxa"/>
            <w:vAlign w:val="bottom"/>
          </w:tcPr>
          <w:p>
            <w:pPr>
              <w:spacing w:after="0"/>
              <w:rPr>
                <w:sz w:val="1"/>
                <w:szCs w:val="1"/>
                <w:color w:val="auto"/>
              </w:rPr>
            </w:pPr>
          </w:p>
        </w:tc>
      </w:tr>
      <w:tr>
        <w:trPr>
          <w:trHeight w:val="189"/>
        </w:trPr>
        <w:tc>
          <w:tcPr>
            <w:tcW w:w="1620" w:type="dxa"/>
            <w:vAlign w:val="bottom"/>
            <w:tcBorders>
              <w:bottom w:val="single" w:sz="8" w:color="auto"/>
            </w:tcBorders>
            <w:vMerge w:val="continue"/>
          </w:tcPr>
          <w:p>
            <w:pPr>
              <w:spacing w:after="0"/>
              <w:rPr>
                <w:sz w:val="16"/>
                <w:szCs w:val="16"/>
                <w:color w:val="auto"/>
              </w:rPr>
            </w:pPr>
          </w:p>
        </w:tc>
        <w:tc>
          <w:tcPr>
            <w:tcW w:w="14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agreement</w:t>
            </w: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settled</w:t>
            </w:r>
          </w:p>
        </w:tc>
        <w:tc>
          <w:tcPr>
            <w:tcW w:w="1400" w:type="dxa"/>
            <w:vAlign w:val="bottom"/>
            <w:tcBorders>
              <w:bottom w:val="single" w:sz="8" w:color="auto"/>
            </w:tcBorders>
          </w:tcPr>
          <w:p>
            <w:pPr>
              <w:jc w:val="center"/>
              <w:ind w:right="8"/>
              <w:spacing w:after="0"/>
              <w:rPr>
                <w:sz w:val="20"/>
                <w:szCs w:val="20"/>
                <w:color w:val="auto"/>
              </w:rPr>
            </w:pPr>
            <w:r>
              <w:rPr>
                <w:rFonts w:ascii="Arial" w:cs="Arial" w:eastAsia="Arial" w:hAnsi="Arial"/>
                <w:sz w:val="14"/>
                <w:szCs w:val="14"/>
                <w:color w:val="auto"/>
              </w:rPr>
              <w:t>per share</w:t>
            </w: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proceeds</w:t>
            </w:r>
            <w:r>
              <w:rPr>
                <w:rFonts w:ascii="Arial" w:cs="Arial" w:eastAsia="Arial" w:hAnsi="Arial"/>
                <w:sz w:val="9"/>
                <w:szCs w:val="9"/>
                <w:color w:val="auto"/>
              </w:rPr>
              <w:t>(1)</w:t>
            </w:r>
          </w:p>
        </w:tc>
        <w:tc>
          <w:tcPr>
            <w:tcW w:w="2780" w:type="dxa"/>
            <w:vAlign w:val="bottom"/>
            <w:tcBorders>
              <w:bottom w:val="single" w:sz="8" w:color="auto"/>
            </w:tcBorders>
            <w:gridSpan w:val="2"/>
            <w:vMerge w:val="continue"/>
          </w:tcPr>
          <w:p>
            <w:pPr>
              <w:spacing w:after="0"/>
              <w:rPr>
                <w:sz w:val="16"/>
                <w:szCs w:val="16"/>
                <w:color w:val="auto"/>
              </w:rPr>
            </w:pPr>
          </w:p>
        </w:tc>
        <w:tc>
          <w:tcPr>
            <w:tcW w:w="16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1620" w:type="dxa"/>
            <w:vAlign w:val="bottom"/>
            <w:vMerge w:val="restart"/>
            <w:shd w:val="clear" w:color="auto" w:fill="D4F1F5"/>
          </w:tcPr>
          <w:p>
            <w:pPr>
              <w:jc w:val="center"/>
              <w:ind w:left="8"/>
              <w:spacing w:after="0"/>
              <w:rPr>
                <w:sz w:val="20"/>
                <w:szCs w:val="20"/>
                <w:color w:val="auto"/>
              </w:rPr>
            </w:pPr>
            <w:r>
              <w:rPr>
                <w:rFonts w:ascii="Arial" w:cs="Arial" w:eastAsia="Arial" w:hAnsi="Arial"/>
                <w:sz w:val="14"/>
                <w:szCs w:val="14"/>
                <w:color w:val="auto"/>
              </w:rPr>
              <w:t>November 18, 2024</w:t>
            </w:r>
          </w:p>
        </w:tc>
        <w:tc>
          <w:tcPr>
            <w:tcW w:w="1400" w:type="dxa"/>
            <w:vAlign w:val="bottom"/>
            <w:vMerge w:val="restart"/>
            <w:shd w:val="clear" w:color="auto" w:fill="D4F1F5"/>
          </w:tcPr>
          <w:p>
            <w:pPr>
              <w:jc w:val="center"/>
              <w:spacing w:after="0"/>
              <w:rPr>
                <w:sz w:val="20"/>
                <w:szCs w:val="20"/>
                <w:color w:val="auto"/>
              </w:rPr>
            </w:pPr>
            <w:r>
              <w:rPr>
                <w:rFonts w:ascii="Arial" w:cs="Arial" w:eastAsia="Arial" w:hAnsi="Arial"/>
                <w:sz w:val="14"/>
                <w:szCs w:val="14"/>
                <w:color w:val="auto"/>
              </w:rPr>
              <w:t>2,909,274</w:t>
            </w:r>
          </w:p>
        </w:tc>
        <w:tc>
          <w:tcPr>
            <w:tcW w:w="1260" w:type="dxa"/>
            <w:vAlign w:val="bottom"/>
            <w:vMerge w:val="restart"/>
            <w:shd w:val="clear" w:color="auto" w:fill="D4F1F5"/>
          </w:tcPr>
          <w:p>
            <w:pPr>
              <w:jc w:val="center"/>
              <w:spacing w:after="0"/>
              <w:rPr>
                <w:sz w:val="20"/>
                <w:szCs w:val="20"/>
                <w:color w:val="auto"/>
              </w:rPr>
            </w:pPr>
            <w:r>
              <w:rPr>
                <w:rFonts w:ascii="Arial" w:cs="Arial" w:eastAsia="Arial" w:hAnsi="Arial"/>
                <w:sz w:val="14"/>
                <w:szCs w:val="14"/>
                <w:color w:val="auto"/>
              </w:rPr>
              <w:t>2,909,274</w:t>
            </w:r>
          </w:p>
        </w:tc>
        <w:tc>
          <w:tcPr>
            <w:tcW w:w="1400" w:type="dxa"/>
            <w:vAlign w:val="bottom"/>
            <w:vMerge w:val="restart"/>
            <w:shd w:val="clear" w:color="auto" w:fill="D4F1F5"/>
          </w:tcPr>
          <w:p>
            <w:pPr>
              <w:jc w:val="center"/>
              <w:ind w:right="8"/>
              <w:spacing w:after="0"/>
              <w:rPr>
                <w:sz w:val="20"/>
                <w:szCs w:val="20"/>
                <w:color w:val="auto"/>
              </w:rPr>
            </w:pPr>
            <w:r>
              <w:rPr>
                <w:rFonts w:ascii="Arial" w:cs="Arial" w:eastAsia="Arial" w:hAnsi="Arial"/>
                <w:sz w:val="14"/>
                <w:szCs w:val="14"/>
                <w:color w:val="auto"/>
              </w:rPr>
              <w:t>$92.1546</w:t>
            </w:r>
          </w:p>
        </w:tc>
        <w:tc>
          <w:tcPr>
            <w:tcW w:w="1100" w:type="dxa"/>
            <w:vAlign w:val="bottom"/>
            <w:vMerge w:val="restart"/>
            <w:shd w:val="clear" w:color="auto" w:fill="D4F1F5"/>
          </w:tcPr>
          <w:p>
            <w:pPr>
              <w:jc w:val="center"/>
              <w:spacing w:after="0"/>
              <w:rPr>
                <w:sz w:val="20"/>
                <w:szCs w:val="20"/>
                <w:color w:val="auto"/>
              </w:rPr>
            </w:pPr>
            <w:r>
              <w:rPr>
                <w:rFonts w:ascii="Arial" w:cs="Arial" w:eastAsia="Arial" w:hAnsi="Arial"/>
                <w:sz w:val="14"/>
                <w:szCs w:val="14"/>
                <w:color w:val="auto"/>
              </w:rPr>
              <w:t>$268</w:t>
            </w:r>
          </w:p>
        </w:tc>
        <w:tc>
          <w:tcPr>
            <w:tcW w:w="1620" w:type="dxa"/>
            <w:vAlign w:val="bottom"/>
            <w:shd w:val="clear" w:color="auto" w:fill="D4F1F5"/>
          </w:tcPr>
          <w:p>
            <w:pPr>
              <w:jc w:val="center"/>
              <w:ind w:right="48"/>
              <w:spacing w:after="0" w:line="142" w:lineRule="exact"/>
              <w:rPr>
                <w:sz w:val="20"/>
                <w:szCs w:val="20"/>
                <w:color w:val="auto"/>
              </w:rPr>
            </w:pPr>
            <w:r>
              <w:rPr>
                <w:rFonts w:ascii="Arial" w:cs="Arial" w:eastAsia="Arial" w:hAnsi="Arial"/>
                <w:sz w:val="14"/>
                <w:szCs w:val="14"/>
                <w:color w:val="auto"/>
              </w:rPr>
              <w:t>Bank of America,</w:t>
            </w:r>
          </w:p>
        </w:tc>
        <w:tc>
          <w:tcPr>
            <w:tcW w:w="1160" w:type="dxa"/>
            <w:vAlign w:val="bottom"/>
            <w:vMerge w:val="restart"/>
            <w:shd w:val="clear" w:color="auto" w:fill="D4F1F5"/>
          </w:tcPr>
          <w:p>
            <w:pPr>
              <w:jc w:val="right"/>
              <w:ind w:right="528"/>
              <w:spacing w:after="0"/>
              <w:rPr>
                <w:sz w:val="20"/>
                <w:szCs w:val="20"/>
                <w:color w:val="auto"/>
              </w:rPr>
            </w:pPr>
            <w:r>
              <w:rPr>
                <w:rFonts w:ascii="Arial" w:cs="Arial" w:eastAsia="Arial" w:hAnsi="Arial"/>
                <w:sz w:val="14"/>
                <w:szCs w:val="14"/>
                <w:color w:val="auto"/>
              </w:rPr>
              <w:t>$2.4</w:t>
            </w:r>
          </w:p>
        </w:tc>
        <w:tc>
          <w:tcPr>
            <w:tcW w:w="1680" w:type="dxa"/>
            <w:vAlign w:val="bottom"/>
            <w:vMerge w:val="restart"/>
            <w:shd w:val="clear" w:color="auto" w:fill="D4F1F5"/>
          </w:tcPr>
          <w:p>
            <w:pPr>
              <w:jc w:val="center"/>
              <w:ind w:right="28"/>
              <w:spacing w:after="0"/>
              <w:rPr>
                <w:sz w:val="20"/>
                <w:szCs w:val="20"/>
                <w:color w:val="auto"/>
              </w:rPr>
            </w:pPr>
            <w:r>
              <w:rPr>
                <w:rFonts w:ascii="Arial" w:cs="Arial" w:eastAsia="Arial" w:hAnsi="Arial"/>
                <w:sz w:val="14"/>
                <w:szCs w:val="14"/>
                <w:color w:val="auto"/>
                <w:w w:val="98"/>
              </w:rPr>
              <w:t>June 30, 2026</w:t>
            </w:r>
            <w:r>
              <w:rPr>
                <w:rFonts w:ascii="Arial" w:cs="Arial" w:eastAsia="Arial" w:hAnsi="Arial"/>
                <w:sz w:val="18"/>
                <w:szCs w:val="18"/>
                <w:color w:val="auto"/>
                <w:w w:val="98"/>
                <w:vertAlign w:val="superscript"/>
              </w:rPr>
              <w:t>(2)</w:t>
            </w:r>
          </w:p>
        </w:tc>
        <w:tc>
          <w:tcPr>
            <w:tcW w:w="0" w:type="dxa"/>
            <w:vAlign w:val="bottom"/>
          </w:tcPr>
          <w:p>
            <w:pPr>
              <w:spacing w:after="0"/>
              <w:rPr>
                <w:sz w:val="1"/>
                <w:szCs w:val="1"/>
                <w:color w:val="auto"/>
              </w:rPr>
            </w:pPr>
          </w:p>
        </w:tc>
      </w:tr>
      <w:tr>
        <w:trPr>
          <w:trHeight w:val="189"/>
        </w:trPr>
        <w:tc>
          <w:tcPr>
            <w:tcW w:w="1620" w:type="dxa"/>
            <w:vAlign w:val="bottom"/>
            <w:vMerge w:val="continue"/>
            <w:shd w:val="clear" w:color="auto" w:fill="D4F1F5"/>
          </w:tcPr>
          <w:p>
            <w:pPr>
              <w:spacing w:after="0"/>
              <w:rPr>
                <w:sz w:val="16"/>
                <w:szCs w:val="16"/>
                <w:color w:val="auto"/>
              </w:rPr>
            </w:pPr>
          </w:p>
        </w:tc>
        <w:tc>
          <w:tcPr>
            <w:tcW w:w="1400" w:type="dxa"/>
            <w:vAlign w:val="bottom"/>
            <w:vMerge w:val="continue"/>
            <w:shd w:val="clear" w:color="auto" w:fill="D4F1F5"/>
          </w:tcPr>
          <w:p>
            <w:pPr>
              <w:spacing w:after="0"/>
              <w:rPr>
                <w:sz w:val="16"/>
                <w:szCs w:val="16"/>
                <w:color w:val="auto"/>
              </w:rPr>
            </w:pPr>
          </w:p>
        </w:tc>
        <w:tc>
          <w:tcPr>
            <w:tcW w:w="1260" w:type="dxa"/>
            <w:vAlign w:val="bottom"/>
            <w:vMerge w:val="continue"/>
            <w:shd w:val="clear" w:color="auto" w:fill="D4F1F5"/>
          </w:tcPr>
          <w:p>
            <w:pPr>
              <w:spacing w:after="0"/>
              <w:rPr>
                <w:sz w:val="16"/>
                <w:szCs w:val="16"/>
                <w:color w:val="auto"/>
              </w:rPr>
            </w:pPr>
          </w:p>
        </w:tc>
        <w:tc>
          <w:tcPr>
            <w:tcW w:w="1400" w:type="dxa"/>
            <w:vAlign w:val="bottom"/>
            <w:vMerge w:val="continue"/>
            <w:shd w:val="clear" w:color="auto" w:fill="D4F1F5"/>
          </w:tcPr>
          <w:p>
            <w:pPr>
              <w:spacing w:after="0"/>
              <w:rPr>
                <w:sz w:val="16"/>
                <w:szCs w:val="16"/>
                <w:color w:val="auto"/>
              </w:rPr>
            </w:pPr>
          </w:p>
        </w:tc>
        <w:tc>
          <w:tcPr>
            <w:tcW w:w="1100" w:type="dxa"/>
            <w:vAlign w:val="bottom"/>
            <w:vMerge w:val="continue"/>
            <w:shd w:val="clear" w:color="auto" w:fill="D4F1F5"/>
          </w:tcPr>
          <w:p>
            <w:pPr>
              <w:spacing w:after="0"/>
              <w:rPr>
                <w:sz w:val="16"/>
                <w:szCs w:val="16"/>
                <w:color w:val="auto"/>
              </w:rPr>
            </w:pPr>
          </w:p>
        </w:tc>
        <w:tc>
          <w:tcPr>
            <w:tcW w:w="1620" w:type="dxa"/>
            <w:vAlign w:val="bottom"/>
            <w:shd w:val="clear" w:color="auto" w:fill="D4F1F5"/>
          </w:tcPr>
          <w:p>
            <w:pPr>
              <w:jc w:val="center"/>
              <w:ind w:right="68"/>
              <w:spacing w:after="0"/>
              <w:rPr>
                <w:sz w:val="20"/>
                <w:szCs w:val="20"/>
                <w:color w:val="auto"/>
              </w:rPr>
            </w:pPr>
            <w:r>
              <w:rPr>
                <w:rFonts w:ascii="Arial" w:cs="Arial" w:eastAsia="Arial" w:hAnsi="Arial"/>
                <w:sz w:val="14"/>
                <w:szCs w:val="14"/>
                <w:color w:val="auto"/>
              </w:rPr>
              <w:t>N.A.</w:t>
            </w:r>
          </w:p>
        </w:tc>
        <w:tc>
          <w:tcPr>
            <w:tcW w:w="1160" w:type="dxa"/>
            <w:vAlign w:val="bottom"/>
            <w:vMerge w:val="continue"/>
            <w:shd w:val="clear" w:color="auto" w:fill="D4F1F5"/>
          </w:tcPr>
          <w:p>
            <w:pPr>
              <w:spacing w:after="0"/>
              <w:rPr>
                <w:sz w:val="16"/>
                <w:szCs w:val="16"/>
                <w:color w:val="auto"/>
              </w:rPr>
            </w:pPr>
          </w:p>
        </w:tc>
        <w:tc>
          <w:tcPr>
            <w:tcW w:w="1680" w:type="dxa"/>
            <w:vAlign w:val="bottom"/>
            <w:vMerge w:val="continue"/>
            <w:shd w:val="clear" w:color="auto" w:fill="D4F1F5"/>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1620" w:type="dxa"/>
            <w:vAlign w:val="bottom"/>
            <w:vMerge w:val="restart"/>
          </w:tcPr>
          <w:p>
            <w:pPr>
              <w:jc w:val="center"/>
              <w:ind w:left="8"/>
              <w:spacing w:after="0"/>
              <w:rPr>
                <w:sz w:val="20"/>
                <w:szCs w:val="20"/>
                <w:color w:val="auto"/>
              </w:rPr>
            </w:pPr>
            <w:r>
              <w:rPr>
                <w:rFonts w:ascii="Arial" w:cs="Arial" w:eastAsia="Arial" w:hAnsi="Arial"/>
                <w:sz w:val="14"/>
                <w:szCs w:val="14"/>
                <w:color w:val="auto"/>
              </w:rPr>
              <w:t>February 26, 2025</w:t>
            </w:r>
          </w:p>
        </w:tc>
        <w:tc>
          <w:tcPr>
            <w:tcW w:w="1400" w:type="dxa"/>
            <w:vAlign w:val="bottom"/>
            <w:vMerge w:val="restart"/>
          </w:tcPr>
          <w:p>
            <w:pPr>
              <w:jc w:val="center"/>
              <w:spacing w:after="0"/>
              <w:rPr>
                <w:sz w:val="20"/>
                <w:szCs w:val="20"/>
                <w:color w:val="auto"/>
              </w:rPr>
            </w:pPr>
            <w:r>
              <w:rPr>
                <w:rFonts w:ascii="Arial" w:cs="Arial" w:eastAsia="Arial" w:hAnsi="Arial"/>
                <w:sz w:val="14"/>
                <w:szCs w:val="14"/>
                <w:color w:val="auto"/>
              </w:rPr>
              <w:t>2,087,317</w:t>
            </w:r>
          </w:p>
        </w:tc>
        <w:tc>
          <w:tcPr>
            <w:tcW w:w="1260" w:type="dxa"/>
            <w:vAlign w:val="bottom"/>
            <w:vMerge w:val="restart"/>
          </w:tcPr>
          <w:p>
            <w:pPr>
              <w:jc w:val="center"/>
              <w:spacing w:after="0"/>
              <w:rPr>
                <w:sz w:val="20"/>
                <w:szCs w:val="20"/>
                <w:color w:val="auto"/>
              </w:rPr>
            </w:pPr>
            <w:r>
              <w:rPr>
                <w:rFonts w:ascii="Arial" w:cs="Arial" w:eastAsia="Arial" w:hAnsi="Arial"/>
                <w:sz w:val="14"/>
                <w:szCs w:val="14"/>
                <w:color w:val="auto"/>
              </w:rPr>
              <w:t>2,087,317</w:t>
            </w:r>
          </w:p>
        </w:tc>
        <w:tc>
          <w:tcPr>
            <w:tcW w:w="1400" w:type="dxa"/>
            <w:vAlign w:val="bottom"/>
            <w:vMerge w:val="restart"/>
          </w:tcPr>
          <w:p>
            <w:pPr>
              <w:jc w:val="center"/>
              <w:ind w:right="8"/>
              <w:spacing w:after="0"/>
              <w:rPr>
                <w:sz w:val="20"/>
                <w:szCs w:val="20"/>
                <w:color w:val="auto"/>
              </w:rPr>
            </w:pPr>
            <w:r>
              <w:rPr>
                <w:rFonts w:ascii="Arial" w:cs="Arial" w:eastAsia="Arial" w:hAnsi="Arial"/>
                <w:sz w:val="14"/>
                <w:szCs w:val="14"/>
                <w:color w:val="auto"/>
              </w:rPr>
              <w:t>$70.6593</w:t>
            </w:r>
          </w:p>
        </w:tc>
        <w:tc>
          <w:tcPr>
            <w:tcW w:w="1100" w:type="dxa"/>
            <w:vAlign w:val="bottom"/>
            <w:vMerge w:val="restart"/>
          </w:tcPr>
          <w:p>
            <w:pPr>
              <w:jc w:val="center"/>
              <w:spacing w:after="0"/>
              <w:rPr>
                <w:sz w:val="20"/>
                <w:szCs w:val="20"/>
                <w:color w:val="auto"/>
              </w:rPr>
            </w:pPr>
            <w:r>
              <w:rPr>
                <w:rFonts w:ascii="Arial" w:cs="Arial" w:eastAsia="Arial" w:hAnsi="Arial"/>
                <w:sz w:val="14"/>
                <w:szCs w:val="14"/>
                <w:color w:val="auto"/>
              </w:rPr>
              <w:t>$147</w:t>
            </w:r>
          </w:p>
        </w:tc>
        <w:tc>
          <w:tcPr>
            <w:tcW w:w="1620" w:type="dxa"/>
            <w:vAlign w:val="bottom"/>
          </w:tcPr>
          <w:p>
            <w:pPr>
              <w:jc w:val="center"/>
              <w:ind w:right="48"/>
              <w:spacing w:after="0" w:line="149" w:lineRule="exact"/>
              <w:rPr>
                <w:sz w:val="20"/>
                <w:szCs w:val="20"/>
                <w:color w:val="auto"/>
              </w:rPr>
            </w:pPr>
            <w:r>
              <w:rPr>
                <w:rFonts w:ascii="Arial" w:cs="Arial" w:eastAsia="Arial" w:hAnsi="Arial"/>
                <w:sz w:val="14"/>
                <w:szCs w:val="14"/>
                <w:color w:val="auto"/>
              </w:rPr>
              <w:t>Wells Fargo Bank,</w:t>
            </w:r>
          </w:p>
        </w:tc>
        <w:tc>
          <w:tcPr>
            <w:tcW w:w="1160" w:type="dxa"/>
            <w:vAlign w:val="bottom"/>
            <w:vMerge w:val="restart"/>
          </w:tcPr>
          <w:p>
            <w:pPr>
              <w:jc w:val="right"/>
              <w:ind w:right="528"/>
              <w:spacing w:after="0"/>
              <w:rPr>
                <w:sz w:val="20"/>
                <w:szCs w:val="20"/>
                <w:color w:val="auto"/>
              </w:rPr>
            </w:pPr>
            <w:r>
              <w:rPr>
                <w:rFonts w:ascii="Arial" w:cs="Arial" w:eastAsia="Arial" w:hAnsi="Arial"/>
                <w:sz w:val="14"/>
                <w:szCs w:val="14"/>
                <w:color w:val="auto"/>
              </w:rPr>
              <w:t>$1.3</w:t>
            </w:r>
          </w:p>
        </w:tc>
        <w:tc>
          <w:tcPr>
            <w:tcW w:w="1680" w:type="dxa"/>
            <w:vAlign w:val="bottom"/>
            <w:vMerge w:val="restart"/>
          </w:tcPr>
          <w:p>
            <w:pPr>
              <w:jc w:val="center"/>
              <w:ind w:right="8"/>
              <w:spacing w:after="0"/>
              <w:rPr>
                <w:sz w:val="20"/>
                <w:szCs w:val="20"/>
                <w:color w:val="auto"/>
              </w:rPr>
            </w:pPr>
            <w:r>
              <w:rPr>
                <w:rFonts w:ascii="Arial" w:cs="Arial" w:eastAsia="Arial" w:hAnsi="Arial"/>
                <w:sz w:val="14"/>
                <w:szCs w:val="14"/>
                <w:color w:val="auto"/>
              </w:rPr>
              <w:t>March 31, 2027</w:t>
            </w:r>
          </w:p>
        </w:tc>
        <w:tc>
          <w:tcPr>
            <w:tcW w:w="0" w:type="dxa"/>
            <w:vAlign w:val="bottom"/>
          </w:tcPr>
          <w:p>
            <w:pPr>
              <w:spacing w:after="0"/>
              <w:rPr>
                <w:sz w:val="1"/>
                <w:szCs w:val="1"/>
                <w:color w:val="auto"/>
              </w:rPr>
            </w:pPr>
          </w:p>
        </w:tc>
      </w:tr>
      <w:tr>
        <w:trPr>
          <w:trHeight w:val="196"/>
        </w:trPr>
        <w:tc>
          <w:tcPr>
            <w:tcW w:w="1620" w:type="dxa"/>
            <w:vAlign w:val="bottom"/>
            <w:tcBorders>
              <w:bottom w:val="single" w:sz="8" w:color="ACACAC"/>
            </w:tcBorders>
            <w:vMerge w:val="continue"/>
          </w:tcPr>
          <w:p>
            <w:pPr>
              <w:spacing w:after="0"/>
              <w:rPr>
                <w:sz w:val="17"/>
                <w:szCs w:val="17"/>
                <w:color w:val="auto"/>
              </w:rPr>
            </w:pPr>
          </w:p>
        </w:tc>
        <w:tc>
          <w:tcPr>
            <w:tcW w:w="1400" w:type="dxa"/>
            <w:vAlign w:val="bottom"/>
            <w:tcBorders>
              <w:bottom w:val="single" w:sz="8" w:color="ACACAC"/>
            </w:tcBorders>
            <w:vMerge w:val="continue"/>
          </w:tcPr>
          <w:p>
            <w:pPr>
              <w:spacing w:after="0"/>
              <w:rPr>
                <w:sz w:val="17"/>
                <w:szCs w:val="17"/>
                <w:color w:val="auto"/>
              </w:rPr>
            </w:pPr>
          </w:p>
        </w:tc>
        <w:tc>
          <w:tcPr>
            <w:tcW w:w="1260" w:type="dxa"/>
            <w:vAlign w:val="bottom"/>
            <w:tcBorders>
              <w:bottom w:val="single" w:sz="8" w:color="ACACAC"/>
            </w:tcBorders>
            <w:vMerge w:val="continue"/>
          </w:tcPr>
          <w:p>
            <w:pPr>
              <w:spacing w:after="0"/>
              <w:rPr>
                <w:sz w:val="17"/>
                <w:szCs w:val="17"/>
                <w:color w:val="auto"/>
              </w:rPr>
            </w:pPr>
          </w:p>
        </w:tc>
        <w:tc>
          <w:tcPr>
            <w:tcW w:w="1400" w:type="dxa"/>
            <w:vAlign w:val="bottom"/>
            <w:tcBorders>
              <w:bottom w:val="single" w:sz="8" w:color="ACACAC"/>
            </w:tcBorders>
            <w:vMerge w:val="continue"/>
          </w:tcPr>
          <w:p>
            <w:pPr>
              <w:spacing w:after="0"/>
              <w:rPr>
                <w:sz w:val="17"/>
                <w:szCs w:val="17"/>
                <w:color w:val="auto"/>
              </w:rPr>
            </w:pPr>
          </w:p>
        </w:tc>
        <w:tc>
          <w:tcPr>
            <w:tcW w:w="1100" w:type="dxa"/>
            <w:vAlign w:val="bottom"/>
            <w:tcBorders>
              <w:bottom w:val="single" w:sz="8" w:color="ACACAC"/>
            </w:tcBorders>
            <w:vMerge w:val="continue"/>
          </w:tcPr>
          <w:p>
            <w:pPr>
              <w:spacing w:after="0"/>
              <w:rPr>
                <w:sz w:val="17"/>
                <w:szCs w:val="17"/>
                <w:color w:val="auto"/>
              </w:rPr>
            </w:pPr>
          </w:p>
        </w:tc>
        <w:tc>
          <w:tcPr>
            <w:tcW w:w="1620" w:type="dxa"/>
            <w:vAlign w:val="bottom"/>
            <w:tcBorders>
              <w:bottom w:val="single" w:sz="8" w:color="ACACAC"/>
            </w:tcBorders>
          </w:tcPr>
          <w:p>
            <w:pPr>
              <w:jc w:val="center"/>
              <w:ind w:right="68"/>
              <w:spacing w:after="0"/>
              <w:rPr>
                <w:sz w:val="20"/>
                <w:szCs w:val="20"/>
                <w:color w:val="auto"/>
              </w:rPr>
            </w:pPr>
            <w:r>
              <w:rPr>
                <w:rFonts w:ascii="Arial" w:cs="Arial" w:eastAsia="Arial" w:hAnsi="Arial"/>
                <w:sz w:val="14"/>
                <w:szCs w:val="14"/>
                <w:color w:val="auto"/>
              </w:rPr>
              <w:t>N.A.</w:t>
            </w:r>
          </w:p>
        </w:tc>
        <w:tc>
          <w:tcPr>
            <w:tcW w:w="1160" w:type="dxa"/>
            <w:vAlign w:val="bottom"/>
            <w:tcBorders>
              <w:bottom w:val="single" w:sz="8" w:color="ACACAC"/>
            </w:tcBorders>
            <w:vMerge w:val="continue"/>
          </w:tcPr>
          <w:p>
            <w:pPr>
              <w:spacing w:after="0"/>
              <w:rPr>
                <w:sz w:val="17"/>
                <w:szCs w:val="17"/>
                <w:color w:val="auto"/>
              </w:rPr>
            </w:pPr>
          </w:p>
        </w:tc>
        <w:tc>
          <w:tcPr>
            <w:tcW w:w="1680" w:type="dxa"/>
            <w:vAlign w:val="bottom"/>
            <w:tcBorders>
              <w:bottom w:val="single" w:sz="8" w:color="ACACAC"/>
            </w:tcBorders>
            <w:vMerge w:val="continue"/>
          </w:tcPr>
          <w:p>
            <w:pPr>
              <w:spacing w:after="0"/>
              <w:rPr>
                <w:sz w:val="17"/>
                <w:szCs w:val="17"/>
                <w:color w:val="auto"/>
              </w:rPr>
            </w:pPr>
          </w:p>
        </w:tc>
        <w:tc>
          <w:tcPr>
            <w:tcW w:w="0" w:type="dxa"/>
            <w:vAlign w:val="bottom"/>
          </w:tcPr>
          <w:p>
            <w:pPr>
              <w:spacing w:after="0"/>
              <w:rPr>
                <w:sz w:val="1"/>
                <w:szCs w:val="1"/>
                <w:color w:val="auto"/>
              </w:rPr>
            </w:pPr>
          </w:p>
        </w:tc>
      </w:tr>
    </w:tbl>
    <w:p>
      <w:pPr>
        <w:spacing w:after="0" w:line="182" w:lineRule="exact"/>
        <w:rPr>
          <w:sz w:val="20"/>
          <w:szCs w:val="20"/>
          <w:color w:val="auto"/>
        </w:rPr>
      </w:pPr>
    </w:p>
    <w:p>
      <w:pPr>
        <w:ind w:left="340" w:right="140" w:hanging="332"/>
        <w:spacing w:after="0" w:line="288" w:lineRule="auto"/>
        <w:tabs>
          <w:tab w:leader="none" w:pos="290" w:val="left"/>
        </w:tabs>
        <w:numPr>
          <w:ilvl w:val="0"/>
          <w:numId w:val="95"/>
        </w:numPr>
        <w:rPr>
          <w:rFonts w:ascii="Arial" w:cs="Arial" w:eastAsia="Arial" w:hAnsi="Arial"/>
          <w:sz w:val="9"/>
          <w:szCs w:val="9"/>
          <w:i w:val="1"/>
          <w:iCs w:val="1"/>
          <w:color w:val="auto"/>
        </w:rPr>
      </w:pPr>
      <w:r>
        <w:rPr>
          <w:rFonts w:ascii="Arial" w:cs="Arial" w:eastAsia="Arial" w:hAnsi="Arial"/>
          <w:sz w:val="14"/>
          <w:szCs w:val="14"/>
          <w:i w:val="1"/>
          <w:iCs w:val="1"/>
          <w:color w:val="auto"/>
        </w:rPr>
        <w:t>Expected net proceeds assumes full physical settlement, is net of sales commission but does not deduct other equity issuance costs, and is subject to certain adjustments pursuant to the applicable forward sale agreement.</w:t>
      </w:r>
    </w:p>
    <w:p>
      <w:pPr>
        <w:ind w:left="280" w:hanging="272"/>
        <w:spacing w:after="0" w:line="237" w:lineRule="auto"/>
        <w:tabs>
          <w:tab w:leader="none" w:pos="280" w:val="left"/>
        </w:tabs>
        <w:numPr>
          <w:ilvl w:val="0"/>
          <w:numId w:val="95"/>
        </w:numPr>
        <w:rPr>
          <w:rFonts w:ascii="Arial" w:cs="Arial" w:eastAsia="Arial" w:hAnsi="Arial"/>
          <w:sz w:val="19"/>
          <w:szCs w:val="19"/>
          <w:i w:val="1"/>
          <w:iCs w:val="1"/>
          <w:color w:val="auto"/>
          <w:vertAlign w:val="superscript"/>
        </w:rPr>
      </w:pPr>
      <w:r>
        <w:rPr>
          <w:rFonts w:ascii="Arial" w:cs="Arial" w:eastAsia="Arial" w:hAnsi="Arial"/>
          <w:sz w:val="14"/>
          <w:szCs w:val="14"/>
          <w:i w:val="1"/>
          <w:iCs w:val="1"/>
          <w:color w:val="auto"/>
        </w:rPr>
        <w:t>On April 7, 2026, the forward sale agreement was amended to extend the final settlement date to December 31, 2027.</w:t>
      </w: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9" w:name="page100"/>
    <w:bookmarkEnd w:id="9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right="300"/>
        <w:spacing w:after="0" w:line="297" w:lineRule="auto"/>
        <w:rPr>
          <w:sz w:val="20"/>
          <w:szCs w:val="20"/>
          <w:color w:val="auto"/>
        </w:rPr>
      </w:pPr>
      <w:r>
        <w:rPr>
          <w:rFonts w:ascii="Times New Roman" w:cs="Times New Roman" w:eastAsia="Times New Roman" w:hAnsi="Times New Roman"/>
          <w:sz w:val="18"/>
          <w:szCs w:val="18"/>
          <w:color w:val="auto"/>
        </w:rPr>
        <w:t>At March 31, 2026, approximately $2.6 billion of common stock remains available for sale under the ATM program. We provide additional information about these forward sale agreements in Note 13 of the Notes to Consolidated Financial Statements in the Annual Report.</w:t>
      </w:r>
    </w:p>
    <w:p>
      <w:pPr>
        <w:spacing w:after="0" w:line="41" w:lineRule="exact"/>
        <w:rPr>
          <w:sz w:val="20"/>
          <w:szCs w:val="20"/>
          <w:color w:val="auto"/>
        </w:rPr>
      </w:pPr>
    </w:p>
    <w:p>
      <w:pPr>
        <w:ind w:right="260"/>
        <w:spacing w:after="0" w:line="297" w:lineRule="auto"/>
        <w:rPr>
          <w:sz w:val="20"/>
          <w:szCs w:val="20"/>
          <w:color w:val="auto"/>
        </w:rPr>
      </w:pPr>
      <w:r>
        <w:rPr>
          <w:rFonts w:ascii="Times New Roman" w:cs="Times New Roman" w:eastAsia="Times New Roman" w:hAnsi="Times New Roman"/>
          <w:sz w:val="18"/>
          <w:szCs w:val="18"/>
          <w:color w:val="auto"/>
        </w:rPr>
        <w:t>We further discuss these activities, including the intended use of proceeds and effect on diluted EPS, in Note 11 of the Notes to Condensed Consolidated Financial Statements.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Available Funds</w:t>
      </w:r>
    </w:p>
    <w:p>
      <w:pPr>
        <w:spacing w:after="0" w:line="49" w:lineRule="exact"/>
        <w:rPr>
          <w:sz w:val="20"/>
          <w:szCs w:val="20"/>
          <w:color w:val="auto"/>
        </w:rPr>
      </w:pPr>
    </w:p>
    <w:p>
      <w:pPr>
        <w:ind w:right="220"/>
        <w:spacing w:after="0" w:line="271" w:lineRule="auto"/>
        <w:rPr>
          <w:sz w:val="20"/>
          <w:szCs w:val="20"/>
          <w:color w:val="auto"/>
        </w:rPr>
      </w:pPr>
      <w:r>
        <w:rPr>
          <w:rFonts w:ascii="Times New Roman" w:cs="Times New Roman" w:eastAsia="Times New Roman" w:hAnsi="Times New Roman"/>
          <w:sz w:val="18"/>
          <w:szCs w:val="18"/>
          <w:color w:val="auto"/>
        </w:rPr>
        <w:t>Our committed lines of credit provide liquidity and support commercial paper. Sempra, SDG&amp;E and SoCalGas each have a committed line of credit expiring in 2030. Sempra Infrastructure has five committed lines of credit expiring on various dates from 2026 through 2030 and an uncommitted line of credit expiring in 2026, which are included in the held for sale disposal group but remain legally accessible and are sources of available credit to Sempra Infrastructure until the planned sale of a portion of our equity interest in SI Partners closes.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69215</wp:posOffset>
            </wp:positionV>
            <wp:extent cx="7132320" cy="3003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32320" cy="300355"/>
                    </a:xfrm>
                    <a:prstGeom prst="rect">
                      <a:avLst/>
                    </a:prstGeom>
                    <a:noFill/>
                  </pic:spPr>
                </pic:pic>
              </a:graphicData>
            </a:graphic>
          </wp:anchor>
        </w:drawing>
      </w:r>
    </w:p>
    <w:p>
      <w:pPr>
        <w:spacing w:after="0" w:line="102"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FFFFFF"/>
        </w:rPr>
        <w:t>AVAILABLE FUNDS AT MARCH 31, 2026</w:t>
      </w:r>
    </w:p>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4660" w:type="dxa"/>
            <w:vAlign w:val="bottom"/>
          </w:tcPr>
          <w:p>
            <w:pPr>
              <w:ind w:left="20"/>
              <w:spacing w:after="0"/>
              <w:rPr>
                <w:sz w:val="20"/>
                <w:szCs w:val="20"/>
                <w:color w:val="auto"/>
              </w:rPr>
            </w:pPr>
            <w:r>
              <w:rPr>
                <w:rFonts w:ascii="Arial" w:cs="Arial" w:eastAsia="Arial" w:hAnsi="Arial"/>
                <w:sz w:val="14"/>
                <w:szCs w:val="14"/>
                <w:i w:val="1"/>
                <w:iCs w:val="1"/>
                <w:color w:val="FFFFFF"/>
              </w:rPr>
              <w:t>(Dollars in millions)</w:t>
            </w:r>
          </w:p>
        </w:tc>
        <w:tc>
          <w:tcPr>
            <w:tcW w:w="27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300" w:type="dxa"/>
            <w:vAlign w:val="bottom"/>
          </w:tcPr>
          <w:p>
            <w:pPr>
              <w:spacing w:after="0"/>
              <w:rPr>
                <w:sz w:val="16"/>
                <w:szCs w:val="16"/>
                <w:color w:val="auto"/>
              </w:rPr>
            </w:pPr>
          </w:p>
        </w:tc>
      </w:tr>
      <w:tr>
        <w:trPr>
          <w:trHeight w:val="233"/>
        </w:trPr>
        <w:tc>
          <w:tcPr>
            <w:tcW w:w="4660" w:type="dxa"/>
            <w:vAlign w:val="bottom"/>
            <w:tcBorders>
              <w:bottom w:val="single" w:sz="8" w:color="auto"/>
            </w:tcBorders>
          </w:tcPr>
          <w:p>
            <w:pPr>
              <w:spacing w:after="0"/>
              <w:rPr>
                <w:sz w:val="20"/>
                <w:szCs w:val="20"/>
                <w:color w:val="auto"/>
              </w:rPr>
            </w:pPr>
          </w:p>
        </w:tc>
        <w:tc>
          <w:tcPr>
            <w:tcW w:w="2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Sempra</w:t>
            </w:r>
          </w:p>
        </w:tc>
        <w:tc>
          <w:tcPr>
            <w:tcW w:w="52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482"/>
              <w:spacing w:after="0"/>
              <w:rPr>
                <w:sz w:val="20"/>
                <w:szCs w:val="20"/>
                <w:color w:val="auto"/>
              </w:rPr>
            </w:pPr>
            <w:r>
              <w:rPr>
                <w:rFonts w:ascii="Arial" w:cs="Arial" w:eastAsia="Arial" w:hAnsi="Arial"/>
                <w:sz w:val="14"/>
                <w:szCs w:val="14"/>
                <w:color w:val="auto"/>
              </w:rPr>
              <w:t>SDG&amp;E</w:t>
            </w:r>
          </w:p>
        </w:tc>
        <w:tc>
          <w:tcPr>
            <w:tcW w:w="3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382"/>
              <w:spacing w:after="0"/>
              <w:rPr>
                <w:sz w:val="20"/>
                <w:szCs w:val="20"/>
                <w:color w:val="auto"/>
              </w:rPr>
            </w:pPr>
            <w:r>
              <w:rPr>
                <w:rFonts w:ascii="Arial" w:cs="Arial" w:eastAsia="Arial" w:hAnsi="Arial"/>
                <w:sz w:val="14"/>
                <w:szCs w:val="14"/>
                <w:color w:val="auto"/>
              </w:rPr>
              <w:t>SoCalGas</w:t>
            </w:r>
          </w:p>
        </w:tc>
      </w:tr>
      <w:tr>
        <w:trPr>
          <w:trHeight w:val="213"/>
        </w:trPr>
        <w:tc>
          <w:tcPr>
            <w:tcW w:w="4660" w:type="dxa"/>
            <w:vAlign w:val="bottom"/>
            <w:shd w:val="clear" w:color="auto" w:fill="D4F1F5"/>
          </w:tcPr>
          <w:p>
            <w:pPr>
              <w:ind w:left="20"/>
              <w:spacing w:after="0" w:line="214" w:lineRule="exact"/>
              <w:rPr>
                <w:sz w:val="20"/>
                <w:szCs w:val="20"/>
                <w:color w:val="auto"/>
              </w:rPr>
            </w:pPr>
            <w:r>
              <w:rPr>
                <w:rFonts w:ascii="Arial" w:cs="Arial" w:eastAsia="Arial" w:hAnsi="Arial"/>
                <w:sz w:val="16"/>
                <w:szCs w:val="16"/>
                <w:color w:val="auto"/>
              </w:rPr>
              <w:t>Unrestricted cash and cash equivalents</w:t>
            </w:r>
            <w:r>
              <w:rPr>
                <w:rFonts w:ascii="Arial" w:cs="Arial" w:eastAsia="Arial" w:hAnsi="Arial"/>
                <w:sz w:val="21"/>
                <w:szCs w:val="21"/>
                <w:color w:val="auto"/>
                <w:vertAlign w:val="superscript"/>
              </w:rPr>
              <w:t>(1)</w:t>
            </w:r>
          </w:p>
        </w:tc>
        <w:tc>
          <w:tcPr>
            <w:tcW w:w="2720" w:type="dxa"/>
            <w:vAlign w:val="bottom"/>
            <w:shd w:val="clear" w:color="auto" w:fill="D4F1F5"/>
          </w:tcPr>
          <w:p>
            <w:pPr>
              <w:jc w:val="right"/>
              <w:ind w:right="864"/>
              <w:spacing w:after="0"/>
              <w:rPr>
                <w:sz w:val="20"/>
                <w:szCs w:val="20"/>
                <w:color w:val="auto"/>
              </w:rPr>
            </w:pPr>
            <w:r>
              <w:rPr>
                <w:rFonts w:ascii="Arial" w:cs="Arial" w:eastAsia="Arial" w:hAnsi="Arial"/>
                <w:sz w:val="16"/>
                <w:szCs w:val="16"/>
                <w:color w:val="auto"/>
              </w:rPr>
              <w:t>$</w:t>
            </w:r>
          </w:p>
        </w:tc>
        <w:tc>
          <w:tcPr>
            <w:tcW w:w="520" w:type="dxa"/>
            <w:vAlign w:val="bottom"/>
            <w:shd w:val="clear" w:color="auto" w:fill="D4F1F5"/>
          </w:tcPr>
          <w:p>
            <w:pPr>
              <w:jc w:val="right"/>
              <w:ind w:right="19"/>
              <w:spacing w:after="0"/>
              <w:rPr>
                <w:sz w:val="20"/>
                <w:szCs w:val="20"/>
                <w:color w:val="auto"/>
              </w:rPr>
            </w:pPr>
            <w:r>
              <w:rPr>
                <w:rFonts w:ascii="Arial" w:cs="Arial" w:eastAsia="Arial" w:hAnsi="Arial"/>
                <w:sz w:val="16"/>
                <w:szCs w:val="16"/>
                <w:color w:val="auto"/>
              </w:rPr>
              <w:t>970</w:t>
            </w:r>
          </w:p>
        </w:tc>
        <w:tc>
          <w:tcPr>
            <w:tcW w:w="400" w:type="dxa"/>
            <w:vAlign w:val="bottom"/>
            <w:shd w:val="clear" w:color="auto" w:fill="D4F1F5"/>
          </w:tcPr>
          <w:p>
            <w:pPr>
              <w:jc w:val="right"/>
              <w:ind w:right="119"/>
              <w:spacing w:after="0"/>
              <w:rPr>
                <w:sz w:val="20"/>
                <w:szCs w:val="20"/>
                <w:color w:val="auto"/>
              </w:rPr>
            </w:pPr>
            <w:r>
              <w:rPr>
                <w:rFonts w:ascii="Arial" w:cs="Arial" w:eastAsia="Arial" w:hAnsi="Arial"/>
                <w:sz w:val="16"/>
                <w:szCs w:val="16"/>
                <w:color w:val="auto"/>
              </w:rPr>
              <w:t>$</w:t>
            </w:r>
          </w:p>
        </w:tc>
        <w:tc>
          <w:tcPr>
            <w:tcW w:w="1280" w:type="dxa"/>
            <w:vAlign w:val="bottom"/>
            <w:shd w:val="clear" w:color="auto" w:fill="D4F1F5"/>
          </w:tcPr>
          <w:p>
            <w:pPr>
              <w:jc w:val="right"/>
              <w:ind w:right="22"/>
              <w:spacing w:after="0"/>
              <w:rPr>
                <w:sz w:val="20"/>
                <w:szCs w:val="20"/>
                <w:color w:val="auto"/>
              </w:rPr>
            </w:pPr>
            <w:r>
              <w:rPr>
                <w:rFonts w:ascii="Arial" w:cs="Arial" w:eastAsia="Arial" w:hAnsi="Arial"/>
                <w:sz w:val="16"/>
                <w:szCs w:val="16"/>
                <w:color w:val="auto"/>
              </w:rPr>
              <w:t>747</w:t>
            </w:r>
          </w:p>
        </w:tc>
        <w:tc>
          <w:tcPr>
            <w:tcW w:w="360" w:type="dxa"/>
            <w:vAlign w:val="bottom"/>
            <w:shd w:val="clear" w:color="auto" w:fill="D4F1F5"/>
          </w:tcPr>
          <w:p>
            <w:pPr>
              <w:jc w:val="right"/>
              <w:ind w:right="99"/>
              <w:spacing w:after="0"/>
              <w:rPr>
                <w:sz w:val="20"/>
                <w:szCs w:val="20"/>
                <w:color w:val="auto"/>
              </w:rPr>
            </w:pPr>
            <w:r>
              <w:rPr>
                <w:rFonts w:ascii="Arial" w:cs="Arial" w:eastAsia="Arial" w:hAnsi="Arial"/>
                <w:sz w:val="16"/>
                <w:szCs w:val="16"/>
                <w:color w:val="auto"/>
              </w:rPr>
              <w:t>$</w:t>
            </w:r>
          </w:p>
        </w:tc>
        <w:tc>
          <w:tcPr>
            <w:tcW w:w="1300" w:type="dxa"/>
            <w:vAlign w:val="bottom"/>
            <w:shd w:val="clear" w:color="auto" w:fill="D4F1F5"/>
          </w:tcPr>
          <w:p>
            <w:pPr>
              <w:jc w:val="right"/>
              <w:ind w:right="2"/>
              <w:spacing w:after="0"/>
              <w:rPr>
                <w:sz w:val="20"/>
                <w:szCs w:val="20"/>
                <w:color w:val="auto"/>
              </w:rPr>
            </w:pPr>
            <w:r>
              <w:rPr>
                <w:rFonts w:ascii="Arial" w:cs="Arial" w:eastAsia="Arial" w:hAnsi="Arial"/>
                <w:sz w:val="16"/>
                <w:szCs w:val="16"/>
                <w:color w:val="auto"/>
              </w:rPr>
              <w:t>1</w:t>
            </w:r>
          </w:p>
        </w:tc>
      </w:tr>
      <w:tr>
        <w:trPr>
          <w:trHeight w:val="223"/>
        </w:trPr>
        <w:tc>
          <w:tcPr>
            <w:tcW w:w="4660" w:type="dxa"/>
            <w:vAlign w:val="bottom"/>
            <w:tcBorders>
              <w:bottom w:val="single" w:sz="8" w:color="ACACAC"/>
            </w:tcBorders>
          </w:tcPr>
          <w:p>
            <w:pPr>
              <w:ind w:left="20"/>
              <w:spacing w:after="0" w:line="216" w:lineRule="exact"/>
              <w:rPr>
                <w:sz w:val="20"/>
                <w:szCs w:val="20"/>
                <w:color w:val="auto"/>
              </w:rPr>
            </w:pPr>
            <w:r>
              <w:rPr>
                <w:rFonts w:ascii="Arial" w:cs="Arial" w:eastAsia="Arial" w:hAnsi="Arial"/>
                <w:sz w:val="16"/>
                <w:szCs w:val="16"/>
                <w:color w:val="auto"/>
              </w:rPr>
              <w:t>Available unused credit</w:t>
            </w:r>
            <w:r>
              <w:rPr>
                <w:rFonts w:ascii="Arial" w:cs="Arial" w:eastAsia="Arial" w:hAnsi="Arial"/>
                <w:sz w:val="21"/>
                <w:szCs w:val="21"/>
                <w:color w:val="auto"/>
                <w:vertAlign w:val="superscript"/>
              </w:rPr>
              <w:t>(2)</w:t>
            </w:r>
          </w:p>
        </w:tc>
        <w:tc>
          <w:tcPr>
            <w:tcW w:w="2720" w:type="dxa"/>
            <w:vAlign w:val="bottom"/>
            <w:tcBorders>
              <w:bottom w:val="single" w:sz="8" w:color="ACACAC"/>
            </w:tcBorders>
          </w:tcPr>
          <w:p>
            <w:pPr>
              <w:spacing w:after="0"/>
              <w:rPr>
                <w:sz w:val="19"/>
                <w:szCs w:val="19"/>
                <w:color w:val="auto"/>
              </w:rPr>
            </w:pPr>
          </w:p>
        </w:tc>
        <w:tc>
          <w:tcPr>
            <w:tcW w:w="520" w:type="dxa"/>
            <w:vAlign w:val="bottom"/>
            <w:tcBorders>
              <w:bottom w:val="single" w:sz="8" w:color="ACACAC"/>
            </w:tcBorders>
          </w:tcPr>
          <w:p>
            <w:pPr>
              <w:jc w:val="right"/>
              <w:ind w:right="19"/>
              <w:spacing w:after="0"/>
              <w:rPr>
                <w:sz w:val="20"/>
                <w:szCs w:val="20"/>
                <w:color w:val="auto"/>
              </w:rPr>
            </w:pPr>
            <w:r>
              <w:rPr>
                <w:rFonts w:ascii="Arial" w:cs="Arial" w:eastAsia="Arial" w:hAnsi="Arial"/>
                <w:sz w:val="16"/>
                <w:szCs w:val="16"/>
                <w:color w:val="auto"/>
                <w:w w:val="99"/>
              </w:rPr>
              <w:t>8,033</w:t>
            </w:r>
          </w:p>
        </w:tc>
        <w:tc>
          <w:tcPr>
            <w:tcW w:w="400" w:type="dxa"/>
            <w:vAlign w:val="bottom"/>
            <w:tcBorders>
              <w:bottom w:val="single" w:sz="8" w:color="ACACAC"/>
            </w:tcBorders>
          </w:tcPr>
          <w:p>
            <w:pPr>
              <w:spacing w:after="0"/>
              <w:rPr>
                <w:sz w:val="19"/>
                <w:szCs w:val="19"/>
                <w:color w:val="auto"/>
              </w:rPr>
            </w:pPr>
          </w:p>
        </w:tc>
        <w:tc>
          <w:tcPr>
            <w:tcW w:w="1280" w:type="dxa"/>
            <w:vAlign w:val="bottom"/>
            <w:tcBorders>
              <w:bottom w:val="single" w:sz="8" w:color="ACACAC"/>
            </w:tcBorders>
          </w:tcPr>
          <w:p>
            <w:pPr>
              <w:jc w:val="right"/>
              <w:ind w:right="22"/>
              <w:spacing w:after="0"/>
              <w:rPr>
                <w:sz w:val="20"/>
                <w:szCs w:val="20"/>
                <w:color w:val="auto"/>
              </w:rPr>
            </w:pPr>
            <w:r>
              <w:rPr>
                <w:rFonts w:ascii="Arial" w:cs="Arial" w:eastAsia="Arial" w:hAnsi="Arial"/>
                <w:sz w:val="16"/>
                <w:szCs w:val="16"/>
                <w:color w:val="auto"/>
              </w:rPr>
              <w:t>1,500</w:t>
            </w:r>
          </w:p>
        </w:tc>
        <w:tc>
          <w:tcPr>
            <w:tcW w:w="360" w:type="dxa"/>
            <w:vAlign w:val="bottom"/>
            <w:tcBorders>
              <w:bottom w:val="single" w:sz="8" w:color="ACACAC"/>
            </w:tcBorders>
          </w:tcPr>
          <w:p>
            <w:pPr>
              <w:spacing w:after="0"/>
              <w:rPr>
                <w:sz w:val="19"/>
                <w:szCs w:val="19"/>
                <w:color w:val="auto"/>
              </w:rPr>
            </w:pPr>
          </w:p>
        </w:tc>
        <w:tc>
          <w:tcPr>
            <w:tcW w:w="1300" w:type="dxa"/>
            <w:vAlign w:val="bottom"/>
            <w:tcBorders>
              <w:bottom w:val="single" w:sz="8" w:color="ACACAC"/>
            </w:tcBorders>
          </w:tcPr>
          <w:p>
            <w:pPr>
              <w:jc w:val="right"/>
              <w:ind w:right="2"/>
              <w:spacing w:after="0"/>
              <w:rPr>
                <w:sz w:val="20"/>
                <w:szCs w:val="20"/>
                <w:color w:val="auto"/>
              </w:rPr>
            </w:pPr>
            <w:r>
              <w:rPr>
                <w:rFonts w:ascii="Arial" w:cs="Arial" w:eastAsia="Arial" w:hAnsi="Arial"/>
                <w:sz w:val="16"/>
                <w:szCs w:val="16"/>
                <w:color w:val="auto"/>
              </w:rPr>
              <w:t>1,101</w:t>
            </w:r>
          </w:p>
        </w:tc>
      </w:tr>
    </w:tbl>
    <w:p>
      <w:pPr>
        <w:spacing w:after="0" w:line="141" w:lineRule="exact"/>
        <w:rPr>
          <w:sz w:val="20"/>
          <w:szCs w:val="20"/>
          <w:color w:val="auto"/>
        </w:rPr>
      </w:pPr>
    </w:p>
    <w:p>
      <w:pPr>
        <w:ind w:left="340" w:right="120" w:hanging="332"/>
        <w:spacing w:after="0" w:line="216" w:lineRule="auto"/>
        <w:tabs>
          <w:tab w:leader="none" w:pos="304" w:val="left"/>
        </w:tabs>
        <w:numPr>
          <w:ilvl w:val="0"/>
          <w:numId w:val="96"/>
        </w:numPr>
        <w:rPr>
          <w:rFonts w:ascii="Arial" w:cs="Arial" w:eastAsia="Arial" w:hAnsi="Arial"/>
          <w:sz w:val="21"/>
          <w:szCs w:val="21"/>
          <w:i w:val="1"/>
          <w:iCs w:val="1"/>
          <w:color w:val="auto"/>
          <w:vertAlign w:val="superscript"/>
        </w:rPr>
      </w:pPr>
      <w:r>
        <w:rPr>
          <w:rFonts w:ascii="Arial" w:cs="Arial" w:eastAsia="Arial" w:hAnsi="Arial"/>
          <w:sz w:val="14"/>
          <w:szCs w:val="14"/>
          <w:i w:val="1"/>
          <w:iCs w:val="1"/>
          <w:color w:val="auto"/>
        </w:rPr>
        <w:t>Sempra includes $154 held in foreign jurisdictions, which is included in the $176 that is classified as Assets Held for Sale in the Sempra Condensed Consolidated Balance Sheet. We discuss repatriation in Note 8 of the Notes to Consolidated Financial Statements in the Annual Report.</w:t>
      </w:r>
    </w:p>
    <w:p>
      <w:pPr>
        <w:spacing w:after="0" w:line="15" w:lineRule="exact"/>
        <w:rPr>
          <w:rFonts w:ascii="Arial" w:cs="Arial" w:eastAsia="Arial" w:hAnsi="Arial"/>
          <w:sz w:val="21"/>
          <w:szCs w:val="21"/>
          <w:i w:val="1"/>
          <w:iCs w:val="1"/>
          <w:color w:val="auto"/>
          <w:vertAlign w:val="superscript"/>
        </w:rPr>
      </w:pPr>
    </w:p>
    <w:p>
      <w:pPr>
        <w:ind w:left="340" w:right="340" w:hanging="332"/>
        <w:spacing w:after="0" w:line="229" w:lineRule="auto"/>
        <w:tabs>
          <w:tab w:leader="none" w:pos="299" w:val="left"/>
        </w:tabs>
        <w:numPr>
          <w:ilvl w:val="0"/>
          <w:numId w:val="96"/>
        </w:numPr>
        <w:rPr>
          <w:rFonts w:ascii="Arial" w:cs="Arial" w:eastAsia="Arial" w:hAnsi="Arial"/>
          <w:sz w:val="21"/>
          <w:szCs w:val="21"/>
          <w:i w:val="1"/>
          <w:iCs w:val="1"/>
          <w:color w:val="auto"/>
          <w:vertAlign w:val="superscript"/>
        </w:rPr>
      </w:pPr>
      <w:r>
        <w:rPr>
          <w:rFonts w:ascii="Arial" w:cs="Arial" w:eastAsia="Arial" w:hAnsi="Arial"/>
          <w:sz w:val="14"/>
          <w:szCs w:val="14"/>
          <w:i w:val="1"/>
          <w:iCs w:val="1"/>
          <w:color w:val="auto"/>
        </w:rPr>
        <w:t>Available unused credit is the total available on committed and uncommitted lines of credit that we discuss in Note 7 of the Notes to Condensed Consolidated Financial Statements. Because our commercial paper programs are supported by these lines, we reflect the amount of commercial paper outstanding and any letters of credit outstanding as a reduction to the available unused credit.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Short-Term Borrowings</w:t>
      </w:r>
    </w:p>
    <w:p>
      <w:pPr>
        <w:spacing w:after="0" w:line="49" w:lineRule="exact"/>
        <w:rPr>
          <w:sz w:val="20"/>
          <w:szCs w:val="20"/>
          <w:color w:val="auto"/>
        </w:rPr>
      </w:pPr>
    </w:p>
    <w:p>
      <w:pPr>
        <w:ind w:right="140"/>
        <w:spacing w:after="0" w:line="274" w:lineRule="auto"/>
        <w:rPr>
          <w:sz w:val="20"/>
          <w:szCs w:val="20"/>
          <w:color w:val="auto"/>
        </w:rPr>
      </w:pPr>
      <w:r>
        <w:rPr>
          <w:rFonts w:ascii="Times New Roman" w:cs="Times New Roman" w:eastAsia="Times New Roman" w:hAnsi="Times New Roman"/>
          <w:sz w:val="18"/>
          <w:szCs w:val="18"/>
          <w:color w:val="auto"/>
        </w:rPr>
        <w:t>We use short-term debt primarily to meet liquidity requirements, fund shareholder dividends, and temporarily finance capital expenditures or acquisitions. SDG&amp;E and SoCalGas use short-term debt primarily to meet working capital needs or to help fund event-specific costs. Commercial paper and lines of credit were our primary sources of short-term debt funding in the first three months of 2026.</w:t>
      </w:r>
    </w:p>
    <w:p>
      <w:pPr>
        <w:spacing w:after="0" w:line="61" w:lineRule="exact"/>
        <w:rPr>
          <w:sz w:val="20"/>
          <w:szCs w:val="20"/>
          <w:color w:val="auto"/>
        </w:rPr>
      </w:pPr>
    </w:p>
    <w:p>
      <w:pPr>
        <w:ind w:right="520"/>
        <w:spacing w:after="0" w:line="297" w:lineRule="auto"/>
        <w:rPr>
          <w:sz w:val="20"/>
          <w:szCs w:val="20"/>
          <w:color w:val="auto"/>
        </w:rPr>
      </w:pPr>
      <w:r>
        <w:rPr>
          <w:rFonts w:ascii="Times New Roman" w:cs="Times New Roman" w:eastAsia="Times New Roman" w:hAnsi="Times New Roman"/>
          <w:sz w:val="18"/>
          <w:szCs w:val="18"/>
          <w:color w:val="auto"/>
        </w:rPr>
        <w:t>We discuss our short-term debt activities in Note 7 of the Notes to Condensed Consolidated Financial Statements and below in “Sources and Uses of Cash.”</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Long-Term Debt Activities</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Significant issuances of long-term debt in the first three months of 2026 included the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102870</wp:posOffset>
            </wp:positionV>
            <wp:extent cx="7132320" cy="3003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32320" cy="300355"/>
                    </a:xfrm>
                    <a:prstGeom prst="rect">
                      <a:avLst/>
                    </a:prstGeom>
                    <a:noFill/>
                  </pic:spPr>
                </pic:pic>
              </a:graphicData>
            </a:graphic>
          </wp:anchor>
        </w:drawing>
      </w:r>
    </w:p>
    <w:p>
      <w:pPr>
        <w:spacing w:after="0" w:line="155"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FFFFFF"/>
        </w:rPr>
        <w:t>LONG-TERM DEBT ISSUANCES</w:t>
      </w:r>
    </w:p>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6820" w:type="dxa"/>
            <w:vAlign w:val="bottom"/>
          </w:tcPr>
          <w:p>
            <w:pPr>
              <w:ind w:left="20"/>
              <w:spacing w:after="0"/>
              <w:rPr>
                <w:sz w:val="20"/>
                <w:szCs w:val="20"/>
                <w:color w:val="auto"/>
              </w:rPr>
            </w:pPr>
            <w:r>
              <w:rPr>
                <w:rFonts w:ascii="Arial" w:cs="Arial" w:eastAsia="Arial" w:hAnsi="Arial"/>
                <w:sz w:val="14"/>
                <w:szCs w:val="14"/>
                <w:i w:val="1"/>
                <w:iCs w:val="1"/>
                <w:color w:val="FFFFFF"/>
              </w:rPr>
              <w:t>(Dollars in millions)</w:t>
            </w:r>
          </w:p>
        </w:tc>
        <w:tc>
          <w:tcPr>
            <w:tcW w:w="184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4"/>
        </w:trPr>
        <w:tc>
          <w:tcPr>
            <w:tcW w:w="682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Issuances:</w:t>
            </w:r>
          </w:p>
        </w:tc>
        <w:tc>
          <w:tcPr>
            <w:tcW w:w="1840" w:type="dxa"/>
            <w:vAlign w:val="bottom"/>
          </w:tcPr>
          <w:p>
            <w:pPr>
              <w:spacing w:after="0"/>
              <w:rPr>
                <w:sz w:val="15"/>
                <w:szCs w:val="15"/>
                <w:color w:val="auto"/>
              </w:rPr>
            </w:pPr>
          </w:p>
        </w:tc>
        <w:tc>
          <w:tcPr>
            <w:tcW w:w="1280" w:type="dxa"/>
            <w:vAlign w:val="bottom"/>
          </w:tcPr>
          <w:p>
            <w:pPr>
              <w:jc w:val="right"/>
              <w:ind w:right="442"/>
              <w:spacing w:after="0"/>
              <w:rPr>
                <w:sz w:val="20"/>
                <w:szCs w:val="20"/>
                <w:color w:val="auto"/>
              </w:rPr>
            </w:pPr>
            <w:r>
              <w:rPr>
                <w:rFonts w:ascii="Arial" w:cs="Arial" w:eastAsia="Arial" w:hAnsi="Arial"/>
                <w:sz w:val="14"/>
                <w:szCs w:val="14"/>
                <w:color w:val="auto"/>
              </w:rPr>
              <w:t>Amount at</w:t>
            </w:r>
          </w:p>
        </w:tc>
        <w:tc>
          <w:tcPr>
            <w:tcW w:w="1300" w:type="dxa"/>
            <w:vAlign w:val="bottom"/>
            <w:vMerge w:val="restart"/>
          </w:tcPr>
          <w:p>
            <w:pPr>
              <w:jc w:val="right"/>
              <w:ind w:right="381"/>
              <w:spacing w:after="0"/>
              <w:rPr>
                <w:sz w:val="20"/>
                <w:szCs w:val="20"/>
                <w:color w:val="auto"/>
              </w:rPr>
            </w:pPr>
            <w:r>
              <w:rPr>
                <w:rFonts w:ascii="Arial" w:cs="Arial" w:eastAsia="Arial" w:hAnsi="Arial"/>
                <w:sz w:val="14"/>
                <w:szCs w:val="14"/>
                <w:color w:val="auto"/>
              </w:rPr>
              <w:t>Maturity</w:t>
            </w:r>
          </w:p>
        </w:tc>
        <w:tc>
          <w:tcPr>
            <w:tcW w:w="0" w:type="dxa"/>
            <w:vAlign w:val="bottom"/>
          </w:tcPr>
          <w:p>
            <w:pPr>
              <w:spacing w:after="0"/>
              <w:rPr>
                <w:sz w:val="1"/>
                <w:szCs w:val="1"/>
                <w:color w:val="auto"/>
              </w:rPr>
            </w:pPr>
          </w:p>
        </w:tc>
      </w:tr>
      <w:tr>
        <w:trPr>
          <w:trHeight w:val="185"/>
        </w:trPr>
        <w:tc>
          <w:tcPr>
            <w:tcW w:w="6820" w:type="dxa"/>
            <w:vAlign w:val="bottom"/>
            <w:tcBorders>
              <w:bottom w:val="single" w:sz="8" w:color="auto"/>
            </w:tcBorders>
            <w:vMerge w:val="continue"/>
          </w:tcPr>
          <w:p>
            <w:pPr>
              <w:spacing w:after="0"/>
              <w:rPr>
                <w:sz w:val="16"/>
                <w:szCs w:val="16"/>
                <w:color w:val="auto"/>
              </w:rPr>
            </w:pPr>
          </w:p>
        </w:tc>
        <w:tc>
          <w:tcPr>
            <w:tcW w:w="184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482"/>
              <w:spacing w:after="0"/>
              <w:rPr>
                <w:sz w:val="20"/>
                <w:szCs w:val="20"/>
                <w:color w:val="auto"/>
              </w:rPr>
            </w:pPr>
            <w:r>
              <w:rPr>
                <w:rFonts w:ascii="Arial" w:cs="Arial" w:eastAsia="Arial" w:hAnsi="Arial"/>
                <w:sz w:val="14"/>
                <w:szCs w:val="14"/>
                <w:color w:val="auto"/>
              </w:rPr>
              <w:t>issuance</w:t>
            </w:r>
          </w:p>
        </w:tc>
        <w:tc>
          <w:tcPr>
            <w:tcW w:w="13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6820" w:type="dxa"/>
            <w:vAlign w:val="bottom"/>
            <w:shd w:val="clear" w:color="auto" w:fill="D4F1F5"/>
          </w:tcPr>
          <w:p>
            <w:pPr>
              <w:ind w:left="20"/>
              <w:spacing w:after="0"/>
              <w:rPr>
                <w:sz w:val="20"/>
                <w:szCs w:val="20"/>
                <w:color w:val="auto"/>
              </w:rPr>
            </w:pPr>
            <w:r>
              <w:rPr>
                <w:rFonts w:ascii="Arial" w:cs="Arial" w:eastAsia="Arial" w:hAnsi="Arial"/>
                <w:sz w:val="16"/>
                <w:szCs w:val="16"/>
                <w:color w:val="auto"/>
              </w:rPr>
              <w:t>Sempra 5.25% notes</w:t>
            </w:r>
          </w:p>
        </w:tc>
        <w:tc>
          <w:tcPr>
            <w:tcW w:w="1840" w:type="dxa"/>
            <w:vAlign w:val="bottom"/>
            <w:shd w:val="clear" w:color="auto" w:fill="D4F1F5"/>
          </w:tcPr>
          <w:p>
            <w:pPr>
              <w:jc w:val="right"/>
              <w:spacing w:after="0"/>
              <w:rPr>
                <w:sz w:val="20"/>
                <w:szCs w:val="20"/>
                <w:color w:val="auto"/>
              </w:rPr>
            </w:pPr>
            <w:r>
              <w:rPr>
                <w:rFonts w:ascii="Arial" w:cs="Arial" w:eastAsia="Arial" w:hAnsi="Arial"/>
                <w:sz w:val="16"/>
                <w:szCs w:val="16"/>
                <w:color w:val="auto"/>
              </w:rPr>
              <w:t>$</w:t>
            </w:r>
          </w:p>
        </w:tc>
        <w:tc>
          <w:tcPr>
            <w:tcW w:w="1280" w:type="dxa"/>
            <w:vAlign w:val="bottom"/>
            <w:shd w:val="clear" w:color="auto" w:fill="D4F1F5"/>
          </w:tcPr>
          <w:p>
            <w:pPr>
              <w:jc w:val="right"/>
              <w:ind w:right="242"/>
              <w:spacing w:after="0"/>
              <w:rPr>
                <w:sz w:val="20"/>
                <w:szCs w:val="20"/>
                <w:color w:val="auto"/>
              </w:rPr>
            </w:pPr>
            <w:r>
              <w:rPr>
                <w:rFonts w:ascii="Arial" w:cs="Arial" w:eastAsia="Arial" w:hAnsi="Arial"/>
                <w:sz w:val="16"/>
                <w:szCs w:val="16"/>
                <w:color w:val="auto"/>
              </w:rPr>
              <w:t>800</w:t>
            </w:r>
          </w:p>
        </w:tc>
        <w:tc>
          <w:tcPr>
            <w:tcW w:w="1300" w:type="dxa"/>
            <w:vAlign w:val="bottom"/>
            <w:shd w:val="clear" w:color="auto" w:fill="D4F1F5"/>
          </w:tcPr>
          <w:p>
            <w:pPr>
              <w:jc w:val="right"/>
              <w:spacing w:after="0"/>
              <w:rPr>
                <w:sz w:val="20"/>
                <w:szCs w:val="20"/>
                <w:color w:val="auto"/>
              </w:rPr>
            </w:pPr>
            <w:r>
              <w:rPr>
                <w:rFonts w:ascii="Arial" w:cs="Arial" w:eastAsia="Arial" w:hAnsi="Arial"/>
                <w:sz w:val="16"/>
                <w:szCs w:val="16"/>
                <w:color w:val="auto"/>
              </w:rPr>
              <w:t>2036</w:t>
            </w:r>
          </w:p>
        </w:tc>
        <w:tc>
          <w:tcPr>
            <w:tcW w:w="0" w:type="dxa"/>
            <w:vAlign w:val="bottom"/>
          </w:tcPr>
          <w:p>
            <w:pPr>
              <w:spacing w:after="0"/>
              <w:rPr>
                <w:sz w:val="1"/>
                <w:szCs w:val="1"/>
                <w:color w:val="auto"/>
              </w:rPr>
            </w:pPr>
          </w:p>
        </w:tc>
      </w:tr>
      <w:tr>
        <w:trPr>
          <w:trHeight w:val="215"/>
        </w:trPr>
        <w:tc>
          <w:tcPr>
            <w:tcW w:w="6820" w:type="dxa"/>
            <w:vAlign w:val="bottom"/>
          </w:tcPr>
          <w:p>
            <w:pPr>
              <w:ind w:left="20"/>
              <w:spacing w:after="0"/>
              <w:rPr>
                <w:sz w:val="20"/>
                <w:szCs w:val="20"/>
                <w:color w:val="auto"/>
              </w:rPr>
            </w:pPr>
            <w:r>
              <w:rPr>
                <w:rFonts w:ascii="Arial" w:cs="Arial" w:eastAsia="Arial" w:hAnsi="Arial"/>
                <w:sz w:val="16"/>
                <w:szCs w:val="16"/>
                <w:color w:val="auto"/>
              </w:rPr>
              <w:t>SDG&amp;E 5.20% first mortgage bonds</w:t>
            </w:r>
          </w:p>
        </w:tc>
        <w:tc>
          <w:tcPr>
            <w:tcW w:w="1840" w:type="dxa"/>
            <w:vAlign w:val="bottom"/>
          </w:tcPr>
          <w:p>
            <w:pPr>
              <w:spacing w:after="0"/>
              <w:rPr>
                <w:sz w:val="18"/>
                <w:szCs w:val="18"/>
                <w:color w:val="auto"/>
              </w:rPr>
            </w:pPr>
          </w:p>
        </w:tc>
        <w:tc>
          <w:tcPr>
            <w:tcW w:w="1280" w:type="dxa"/>
            <w:vAlign w:val="bottom"/>
          </w:tcPr>
          <w:p>
            <w:pPr>
              <w:jc w:val="right"/>
              <w:ind w:right="242"/>
              <w:spacing w:after="0"/>
              <w:rPr>
                <w:sz w:val="20"/>
                <w:szCs w:val="20"/>
                <w:color w:val="auto"/>
              </w:rPr>
            </w:pPr>
            <w:r>
              <w:rPr>
                <w:rFonts w:ascii="Arial" w:cs="Arial" w:eastAsia="Arial" w:hAnsi="Arial"/>
                <w:sz w:val="16"/>
                <w:szCs w:val="16"/>
                <w:color w:val="auto"/>
              </w:rPr>
              <w:t>625</w:t>
            </w:r>
          </w:p>
        </w:tc>
        <w:tc>
          <w:tcPr>
            <w:tcW w:w="1300" w:type="dxa"/>
            <w:vAlign w:val="bottom"/>
          </w:tcPr>
          <w:p>
            <w:pPr>
              <w:jc w:val="right"/>
              <w:spacing w:after="0"/>
              <w:rPr>
                <w:sz w:val="20"/>
                <w:szCs w:val="20"/>
                <w:color w:val="auto"/>
              </w:rPr>
            </w:pPr>
            <w:r>
              <w:rPr>
                <w:rFonts w:ascii="Arial" w:cs="Arial" w:eastAsia="Arial" w:hAnsi="Arial"/>
                <w:sz w:val="16"/>
                <w:szCs w:val="16"/>
                <w:color w:val="auto"/>
              </w:rPr>
              <w:t>2036</w:t>
            </w:r>
          </w:p>
        </w:tc>
        <w:tc>
          <w:tcPr>
            <w:tcW w:w="0" w:type="dxa"/>
            <w:vAlign w:val="bottom"/>
          </w:tcPr>
          <w:p>
            <w:pPr>
              <w:spacing w:after="0"/>
              <w:rPr>
                <w:sz w:val="1"/>
                <w:szCs w:val="1"/>
                <w:color w:val="auto"/>
              </w:rPr>
            </w:pPr>
          </w:p>
        </w:tc>
      </w:tr>
      <w:tr>
        <w:trPr>
          <w:trHeight w:val="217"/>
        </w:trPr>
        <w:tc>
          <w:tcPr>
            <w:tcW w:w="6820" w:type="dxa"/>
            <w:vAlign w:val="bottom"/>
            <w:shd w:val="clear" w:color="auto" w:fill="D4F1F5"/>
          </w:tcPr>
          <w:p>
            <w:pPr>
              <w:ind w:left="20"/>
              <w:spacing w:after="0"/>
              <w:rPr>
                <w:sz w:val="20"/>
                <w:szCs w:val="20"/>
                <w:color w:val="auto"/>
              </w:rPr>
            </w:pPr>
            <w:r>
              <w:rPr>
                <w:rFonts w:ascii="Arial" w:cs="Arial" w:eastAsia="Arial" w:hAnsi="Arial"/>
                <w:sz w:val="16"/>
                <w:szCs w:val="16"/>
                <w:color w:val="auto"/>
              </w:rPr>
              <w:t>SDG&amp;E 5.95% first mortgage bonds</w:t>
            </w:r>
          </w:p>
        </w:tc>
        <w:tc>
          <w:tcPr>
            <w:tcW w:w="1840" w:type="dxa"/>
            <w:vAlign w:val="bottom"/>
            <w:shd w:val="clear" w:color="auto" w:fill="D4F1F5"/>
          </w:tcPr>
          <w:p>
            <w:pPr>
              <w:spacing w:after="0"/>
              <w:rPr>
                <w:sz w:val="18"/>
                <w:szCs w:val="18"/>
                <w:color w:val="auto"/>
              </w:rPr>
            </w:pPr>
          </w:p>
        </w:tc>
        <w:tc>
          <w:tcPr>
            <w:tcW w:w="1280" w:type="dxa"/>
            <w:vAlign w:val="bottom"/>
            <w:shd w:val="clear" w:color="auto" w:fill="D4F1F5"/>
          </w:tcPr>
          <w:p>
            <w:pPr>
              <w:jc w:val="right"/>
              <w:ind w:right="242"/>
              <w:spacing w:after="0"/>
              <w:rPr>
                <w:sz w:val="20"/>
                <w:szCs w:val="20"/>
                <w:color w:val="auto"/>
              </w:rPr>
            </w:pPr>
            <w:r>
              <w:rPr>
                <w:rFonts w:ascii="Arial" w:cs="Arial" w:eastAsia="Arial" w:hAnsi="Arial"/>
                <w:sz w:val="16"/>
                <w:szCs w:val="16"/>
                <w:color w:val="auto"/>
              </w:rPr>
              <w:t>475</w:t>
            </w:r>
          </w:p>
        </w:tc>
        <w:tc>
          <w:tcPr>
            <w:tcW w:w="1300" w:type="dxa"/>
            <w:vAlign w:val="bottom"/>
            <w:shd w:val="clear" w:color="auto" w:fill="D4F1F5"/>
          </w:tcPr>
          <w:p>
            <w:pPr>
              <w:jc w:val="right"/>
              <w:spacing w:after="0"/>
              <w:rPr>
                <w:sz w:val="20"/>
                <w:szCs w:val="20"/>
                <w:color w:val="auto"/>
              </w:rPr>
            </w:pPr>
            <w:r>
              <w:rPr>
                <w:rFonts w:ascii="Arial" w:cs="Arial" w:eastAsia="Arial" w:hAnsi="Arial"/>
                <w:sz w:val="16"/>
                <w:szCs w:val="16"/>
                <w:color w:val="auto"/>
              </w:rPr>
              <w:t>2056</w:t>
            </w:r>
          </w:p>
        </w:tc>
        <w:tc>
          <w:tcPr>
            <w:tcW w:w="0" w:type="dxa"/>
            <w:vAlign w:val="bottom"/>
          </w:tcPr>
          <w:p>
            <w:pPr>
              <w:spacing w:after="0"/>
              <w:rPr>
                <w:sz w:val="1"/>
                <w:szCs w:val="1"/>
                <w:color w:val="auto"/>
              </w:rPr>
            </w:pPr>
          </w:p>
        </w:tc>
      </w:tr>
      <w:tr>
        <w:trPr>
          <w:trHeight w:val="215"/>
        </w:trPr>
        <w:tc>
          <w:tcPr>
            <w:tcW w:w="6820" w:type="dxa"/>
            <w:vAlign w:val="bottom"/>
          </w:tcPr>
          <w:p>
            <w:pPr>
              <w:ind w:left="20"/>
              <w:spacing w:after="0"/>
              <w:rPr>
                <w:sz w:val="20"/>
                <w:szCs w:val="20"/>
                <w:color w:val="auto"/>
              </w:rPr>
            </w:pPr>
            <w:r>
              <w:rPr>
                <w:rFonts w:ascii="Arial" w:cs="Arial" w:eastAsia="Arial" w:hAnsi="Arial"/>
                <w:sz w:val="16"/>
                <w:szCs w:val="16"/>
                <w:color w:val="auto"/>
              </w:rPr>
              <w:t>Sempra Infrastructure variable rate notes (ECA LNG Phase 1 project)</w:t>
            </w:r>
          </w:p>
        </w:tc>
        <w:tc>
          <w:tcPr>
            <w:tcW w:w="1840" w:type="dxa"/>
            <w:vAlign w:val="bottom"/>
          </w:tcPr>
          <w:p>
            <w:pPr>
              <w:spacing w:after="0"/>
              <w:rPr>
                <w:sz w:val="18"/>
                <w:szCs w:val="18"/>
                <w:color w:val="auto"/>
              </w:rPr>
            </w:pPr>
          </w:p>
        </w:tc>
        <w:tc>
          <w:tcPr>
            <w:tcW w:w="1280" w:type="dxa"/>
            <w:vAlign w:val="bottom"/>
          </w:tcPr>
          <w:p>
            <w:pPr>
              <w:jc w:val="right"/>
              <w:ind w:right="242"/>
              <w:spacing w:after="0"/>
              <w:rPr>
                <w:sz w:val="20"/>
                <w:szCs w:val="20"/>
                <w:color w:val="auto"/>
              </w:rPr>
            </w:pPr>
            <w:r>
              <w:rPr>
                <w:rFonts w:ascii="Arial" w:cs="Arial" w:eastAsia="Arial" w:hAnsi="Arial"/>
                <w:sz w:val="16"/>
                <w:szCs w:val="16"/>
                <w:color w:val="auto"/>
              </w:rPr>
              <w:t>45</w:t>
            </w:r>
          </w:p>
        </w:tc>
        <w:tc>
          <w:tcPr>
            <w:tcW w:w="1300" w:type="dxa"/>
            <w:vAlign w:val="bottom"/>
          </w:tcPr>
          <w:p>
            <w:pPr>
              <w:jc w:val="right"/>
              <w:spacing w:after="0"/>
              <w:rPr>
                <w:sz w:val="20"/>
                <w:szCs w:val="20"/>
                <w:color w:val="auto"/>
              </w:rPr>
            </w:pPr>
            <w:r>
              <w:rPr>
                <w:rFonts w:ascii="Arial" w:cs="Arial" w:eastAsia="Arial" w:hAnsi="Arial"/>
                <w:sz w:val="16"/>
                <w:szCs w:val="16"/>
                <w:color w:val="auto"/>
              </w:rPr>
              <w:t>2027</w:t>
            </w:r>
          </w:p>
        </w:tc>
        <w:tc>
          <w:tcPr>
            <w:tcW w:w="0" w:type="dxa"/>
            <w:vAlign w:val="bottom"/>
          </w:tcPr>
          <w:p>
            <w:pPr>
              <w:spacing w:after="0"/>
              <w:rPr>
                <w:sz w:val="1"/>
                <w:szCs w:val="1"/>
                <w:color w:val="auto"/>
              </w:rPr>
            </w:pPr>
          </w:p>
        </w:tc>
      </w:tr>
      <w:tr>
        <w:trPr>
          <w:trHeight w:val="224"/>
        </w:trPr>
        <w:tc>
          <w:tcPr>
            <w:tcW w:w="6820" w:type="dxa"/>
            <w:vAlign w:val="bottom"/>
            <w:tcBorders>
              <w:bottom w:val="single" w:sz="8" w:color="B6B6B6"/>
            </w:tcBorders>
            <w:shd w:val="clear" w:color="auto" w:fill="D4F1F5"/>
          </w:tcPr>
          <w:p>
            <w:pPr>
              <w:ind w:left="20"/>
              <w:spacing w:after="0"/>
              <w:rPr>
                <w:sz w:val="20"/>
                <w:szCs w:val="20"/>
                <w:color w:val="auto"/>
              </w:rPr>
            </w:pPr>
            <w:r>
              <w:rPr>
                <w:rFonts w:ascii="Arial" w:cs="Arial" w:eastAsia="Arial" w:hAnsi="Arial"/>
                <w:sz w:val="16"/>
                <w:szCs w:val="16"/>
                <w:color w:val="auto"/>
              </w:rPr>
              <w:t>Sempra Infrastructure variable rate term loan (PA LNG Phase 1 project)</w:t>
            </w:r>
          </w:p>
        </w:tc>
        <w:tc>
          <w:tcPr>
            <w:tcW w:w="1840" w:type="dxa"/>
            <w:vAlign w:val="bottom"/>
            <w:tcBorders>
              <w:bottom w:val="single" w:sz="8" w:color="B6B6B6"/>
            </w:tcBorders>
            <w:shd w:val="clear" w:color="auto" w:fill="D4F1F5"/>
          </w:tcPr>
          <w:p>
            <w:pPr>
              <w:spacing w:after="0"/>
              <w:rPr>
                <w:sz w:val="19"/>
                <w:szCs w:val="19"/>
                <w:color w:val="auto"/>
              </w:rPr>
            </w:pPr>
          </w:p>
        </w:tc>
        <w:tc>
          <w:tcPr>
            <w:tcW w:w="1280" w:type="dxa"/>
            <w:vAlign w:val="bottom"/>
            <w:tcBorders>
              <w:bottom w:val="single" w:sz="8" w:color="B6B6B6"/>
            </w:tcBorders>
            <w:shd w:val="clear" w:color="auto" w:fill="D4F1F5"/>
          </w:tcPr>
          <w:p>
            <w:pPr>
              <w:jc w:val="right"/>
              <w:ind w:right="242"/>
              <w:spacing w:after="0"/>
              <w:rPr>
                <w:sz w:val="20"/>
                <w:szCs w:val="20"/>
                <w:color w:val="auto"/>
              </w:rPr>
            </w:pPr>
            <w:r>
              <w:rPr>
                <w:rFonts w:ascii="Arial" w:cs="Arial" w:eastAsia="Arial" w:hAnsi="Arial"/>
                <w:sz w:val="16"/>
                <w:szCs w:val="16"/>
                <w:color w:val="auto"/>
              </w:rPr>
              <w:t>670</w:t>
            </w:r>
          </w:p>
        </w:tc>
        <w:tc>
          <w:tcPr>
            <w:tcW w:w="1300" w:type="dxa"/>
            <w:vAlign w:val="bottom"/>
            <w:tcBorders>
              <w:bottom w:val="single" w:sz="8" w:color="B6B6B6"/>
            </w:tcBorders>
            <w:shd w:val="clear" w:color="auto" w:fill="D4F1F5"/>
          </w:tcPr>
          <w:p>
            <w:pPr>
              <w:jc w:val="right"/>
              <w:spacing w:after="0"/>
              <w:rPr>
                <w:sz w:val="20"/>
                <w:szCs w:val="20"/>
                <w:color w:val="auto"/>
              </w:rPr>
            </w:pPr>
            <w:r>
              <w:rPr>
                <w:rFonts w:ascii="Arial" w:cs="Arial" w:eastAsia="Arial" w:hAnsi="Arial"/>
                <w:sz w:val="16"/>
                <w:szCs w:val="16"/>
                <w:color w:val="auto"/>
              </w:rPr>
              <w:t>2030</w:t>
            </w:r>
          </w:p>
        </w:tc>
        <w:tc>
          <w:tcPr>
            <w:tcW w:w="0" w:type="dxa"/>
            <w:vAlign w:val="bottom"/>
          </w:tcPr>
          <w:p>
            <w:pPr>
              <w:spacing w:after="0"/>
              <w:rPr>
                <w:sz w:val="1"/>
                <w:szCs w:val="1"/>
                <w:color w:val="auto"/>
              </w:rPr>
            </w:pPr>
          </w:p>
        </w:tc>
      </w:tr>
    </w:tbl>
    <w:p>
      <w:pPr>
        <w:spacing w:after="0" w:line="225" w:lineRule="exact"/>
        <w:rPr>
          <w:sz w:val="20"/>
          <w:szCs w:val="20"/>
          <w:color w:val="auto"/>
        </w:rPr>
      </w:pPr>
    </w:p>
    <w:p>
      <w:pPr>
        <w:ind w:right="380"/>
        <w:spacing w:after="0" w:line="297" w:lineRule="auto"/>
        <w:rPr>
          <w:sz w:val="20"/>
          <w:szCs w:val="20"/>
          <w:color w:val="auto"/>
        </w:rPr>
      </w:pPr>
      <w:r>
        <w:rPr>
          <w:rFonts w:ascii="Times New Roman" w:cs="Times New Roman" w:eastAsia="Times New Roman" w:hAnsi="Times New Roman"/>
          <w:sz w:val="18"/>
          <w:szCs w:val="18"/>
          <w:color w:val="auto"/>
        </w:rPr>
        <w:t>We discuss our long-term debt activities, including the use of proceeds on long-term debt issuances, in Note 7 of the Notes to Condensed Consolidated Financial Statements.</w:t>
      </w: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0" w:name="page101"/>
    <w:bookmarkEnd w:id="10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Credit Ratings</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provide additional information about the credit ratings of Sempra, SDG&amp;E and SoCalGas in “Part I – Item 1A. Risk Factors” and “Part II – Item 2.</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MD&amp;A – Capital Resources and Liquidity” in the Annual Report.</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credit ratings of Sempra, SDG&amp;E and SoCalGas remained at investment grade levels in the first three months of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111760</wp:posOffset>
            </wp:positionV>
            <wp:extent cx="7106285" cy="29146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06285" cy="291465"/>
                    </a:xfrm>
                    <a:prstGeom prst="rect">
                      <a:avLst/>
                    </a:prstGeom>
                    <a:noFill/>
                  </pic:spPr>
                </pic:pic>
              </a:graphicData>
            </a:graphic>
          </wp:anchor>
        </w:drawing>
      </w:r>
    </w:p>
    <w:p>
      <w:pPr>
        <w:spacing w:after="0" w:line="169"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FFFFFF"/>
        </w:rPr>
        <w:t>ISSUER CREDIT RATINGS AT MARCH 31, 2026</w:t>
      </w: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1800" w:type="dxa"/>
            <w:vAlign w:val="bottom"/>
            <w:tcBorders>
              <w:bottom w:val="single" w:sz="8" w:color="auto"/>
            </w:tcBorders>
          </w:tcPr>
          <w:p>
            <w:pPr>
              <w:spacing w:after="0"/>
              <w:rPr>
                <w:sz w:val="16"/>
                <w:szCs w:val="16"/>
                <w:color w:val="auto"/>
              </w:rPr>
            </w:pPr>
          </w:p>
        </w:tc>
        <w:tc>
          <w:tcPr>
            <w:tcW w:w="3720" w:type="dxa"/>
            <w:vAlign w:val="bottom"/>
            <w:tcBorders>
              <w:bottom w:val="single" w:sz="8" w:color="auto"/>
            </w:tcBorders>
          </w:tcPr>
          <w:p>
            <w:pPr>
              <w:jc w:val="center"/>
              <w:ind w:left="661"/>
              <w:spacing w:after="0"/>
              <w:rPr>
                <w:sz w:val="20"/>
                <w:szCs w:val="20"/>
                <w:color w:val="auto"/>
              </w:rPr>
            </w:pPr>
            <w:r>
              <w:rPr>
                <w:rFonts w:ascii="Arial" w:cs="Arial" w:eastAsia="Arial" w:hAnsi="Arial"/>
                <w:sz w:val="14"/>
                <w:szCs w:val="14"/>
                <w:color w:val="auto"/>
              </w:rPr>
              <w:t>Sempra</w:t>
            </w:r>
          </w:p>
        </w:tc>
        <w:tc>
          <w:tcPr>
            <w:tcW w:w="28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SDG&amp;E</w:t>
            </w:r>
          </w:p>
        </w:tc>
        <w:tc>
          <w:tcPr>
            <w:tcW w:w="28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SoCalGas</w:t>
            </w:r>
          </w:p>
        </w:tc>
      </w:tr>
      <w:tr>
        <w:trPr>
          <w:trHeight w:val="213"/>
        </w:trPr>
        <w:tc>
          <w:tcPr>
            <w:tcW w:w="1800" w:type="dxa"/>
            <w:vAlign w:val="bottom"/>
            <w:shd w:val="clear" w:color="auto" w:fill="D4F1F5"/>
          </w:tcPr>
          <w:p>
            <w:pPr>
              <w:ind w:left="20"/>
              <w:spacing w:after="0"/>
              <w:rPr>
                <w:sz w:val="20"/>
                <w:szCs w:val="20"/>
                <w:color w:val="auto"/>
              </w:rPr>
            </w:pPr>
            <w:r>
              <w:rPr>
                <w:rFonts w:ascii="Arial" w:cs="Arial" w:eastAsia="Arial" w:hAnsi="Arial"/>
                <w:sz w:val="16"/>
                <w:szCs w:val="16"/>
                <w:color w:val="auto"/>
              </w:rPr>
              <w:t>Moody’s</w:t>
            </w:r>
          </w:p>
        </w:tc>
        <w:tc>
          <w:tcPr>
            <w:tcW w:w="3720" w:type="dxa"/>
            <w:vAlign w:val="bottom"/>
            <w:shd w:val="clear" w:color="auto" w:fill="D4F1F5"/>
          </w:tcPr>
          <w:p>
            <w:pPr>
              <w:jc w:val="center"/>
              <w:ind w:left="661"/>
              <w:spacing w:after="0"/>
              <w:rPr>
                <w:sz w:val="20"/>
                <w:szCs w:val="20"/>
                <w:color w:val="auto"/>
              </w:rPr>
            </w:pPr>
            <w:r>
              <w:rPr>
                <w:rFonts w:ascii="Arial" w:cs="Arial" w:eastAsia="Arial" w:hAnsi="Arial"/>
                <w:sz w:val="16"/>
                <w:szCs w:val="16"/>
                <w:color w:val="auto"/>
              </w:rPr>
              <w:t>Baa2 with a negative outlook</w:t>
            </w:r>
          </w:p>
        </w:tc>
        <w:tc>
          <w:tcPr>
            <w:tcW w:w="2860" w:type="dxa"/>
            <w:vAlign w:val="bottom"/>
            <w:shd w:val="clear" w:color="auto" w:fill="D4F1F5"/>
          </w:tcPr>
          <w:p>
            <w:pPr>
              <w:jc w:val="center"/>
              <w:spacing w:after="0"/>
              <w:rPr>
                <w:sz w:val="20"/>
                <w:szCs w:val="20"/>
                <w:color w:val="auto"/>
              </w:rPr>
            </w:pPr>
            <w:r>
              <w:rPr>
                <w:rFonts w:ascii="Arial" w:cs="Arial" w:eastAsia="Arial" w:hAnsi="Arial"/>
                <w:sz w:val="16"/>
                <w:szCs w:val="16"/>
                <w:color w:val="auto"/>
              </w:rPr>
              <w:t>A3 with a stable outlook</w:t>
            </w:r>
          </w:p>
        </w:tc>
        <w:tc>
          <w:tcPr>
            <w:tcW w:w="2820" w:type="dxa"/>
            <w:vAlign w:val="bottom"/>
            <w:shd w:val="clear" w:color="auto" w:fill="D4F1F5"/>
          </w:tcPr>
          <w:p>
            <w:pPr>
              <w:jc w:val="center"/>
              <w:spacing w:after="0" w:line="214" w:lineRule="exact"/>
              <w:rPr>
                <w:sz w:val="20"/>
                <w:szCs w:val="20"/>
                <w:color w:val="auto"/>
              </w:rPr>
            </w:pPr>
            <w:r>
              <w:rPr>
                <w:rFonts w:ascii="Arial" w:cs="Arial" w:eastAsia="Arial" w:hAnsi="Arial"/>
                <w:sz w:val="16"/>
                <w:szCs w:val="16"/>
                <w:color w:val="auto"/>
                <w:w w:val="98"/>
              </w:rPr>
              <w:t>A2 with a stable outlook</w:t>
            </w:r>
            <w:r>
              <w:rPr>
                <w:rFonts w:ascii="Arial" w:cs="Arial" w:eastAsia="Arial" w:hAnsi="Arial"/>
                <w:sz w:val="21"/>
                <w:szCs w:val="21"/>
                <w:color w:val="auto"/>
                <w:w w:val="98"/>
                <w:vertAlign w:val="superscript"/>
              </w:rPr>
              <w:t>(1)</w:t>
            </w:r>
          </w:p>
        </w:tc>
      </w:tr>
      <w:tr>
        <w:trPr>
          <w:trHeight w:val="215"/>
        </w:trPr>
        <w:tc>
          <w:tcPr>
            <w:tcW w:w="1800" w:type="dxa"/>
            <w:vAlign w:val="bottom"/>
          </w:tcPr>
          <w:p>
            <w:pPr>
              <w:ind w:left="20"/>
              <w:spacing w:after="0"/>
              <w:rPr>
                <w:sz w:val="20"/>
                <w:szCs w:val="20"/>
                <w:color w:val="auto"/>
              </w:rPr>
            </w:pPr>
            <w:r>
              <w:rPr>
                <w:rFonts w:ascii="Arial" w:cs="Arial" w:eastAsia="Arial" w:hAnsi="Arial"/>
                <w:sz w:val="16"/>
                <w:szCs w:val="16"/>
                <w:color w:val="auto"/>
              </w:rPr>
              <w:t>S&amp;P</w:t>
            </w:r>
          </w:p>
        </w:tc>
        <w:tc>
          <w:tcPr>
            <w:tcW w:w="3720" w:type="dxa"/>
            <w:vAlign w:val="bottom"/>
          </w:tcPr>
          <w:p>
            <w:pPr>
              <w:jc w:val="center"/>
              <w:ind w:left="661"/>
              <w:spacing w:after="0"/>
              <w:rPr>
                <w:sz w:val="20"/>
                <w:szCs w:val="20"/>
                <w:color w:val="auto"/>
              </w:rPr>
            </w:pPr>
            <w:r>
              <w:rPr>
                <w:rFonts w:ascii="Arial" w:cs="Arial" w:eastAsia="Arial" w:hAnsi="Arial"/>
                <w:sz w:val="16"/>
                <w:szCs w:val="16"/>
                <w:color w:val="auto"/>
              </w:rPr>
              <w:t>BBB+ with a negative outlook</w:t>
            </w:r>
          </w:p>
        </w:tc>
        <w:tc>
          <w:tcPr>
            <w:tcW w:w="2860" w:type="dxa"/>
            <w:vAlign w:val="bottom"/>
          </w:tcPr>
          <w:p>
            <w:pPr>
              <w:jc w:val="center"/>
              <w:spacing w:after="0"/>
              <w:rPr>
                <w:sz w:val="20"/>
                <w:szCs w:val="20"/>
                <w:color w:val="auto"/>
              </w:rPr>
            </w:pPr>
            <w:r>
              <w:rPr>
                <w:rFonts w:ascii="Arial" w:cs="Arial" w:eastAsia="Arial" w:hAnsi="Arial"/>
                <w:sz w:val="16"/>
                <w:szCs w:val="16"/>
                <w:color w:val="auto"/>
              </w:rPr>
              <w:t>BBB+ with a stable outlook</w:t>
            </w:r>
          </w:p>
        </w:tc>
        <w:tc>
          <w:tcPr>
            <w:tcW w:w="2820" w:type="dxa"/>
            <w:vAlign w:val="bottom"/>
          </w:tcPr>
          <w:p>
            <w:pPr>
              <w:jc w:val="center"/>
              <w:spacing w:after="0"/>
              <w:rPr>
                <w:sz w:val="20"/>
                <w:szCs w:val="20"/>
                <w:color w:val="auto"/>
              </w:rPr>
            </w:pPr>
            <w:r>
              <w:rPr>
                <w:rFonts w:ascii="Arial" w:cs="Arial" w:eastAsia="Arial" w:hAnsi="Arial"/>
                <w:sz w:val="16"/>
                <w:szCs w:val="16"/>
                <w:color w:val="auto"/>
              </w:rPr>
              <w:t>A- with a stable outlook</w:t>
            </w:r>
          </w:p>
        </w:tc>
      </w:tr>
      <w:tr>
        <w:trPr>
          <w:trHeight w:val="224"/>
        </w:trPr>
        <w:tc>
          <w:tcPr>
            <w:tcW w:w="1800" w:type="dxa"/>
            <w:vAlign w:val="bottom"/>
            <w:tcBorders>
              <w:bottom w:val="single" w:sz="8" w:color="ACACAC"/>
            </w:tcBorders>
            <w:shd w:val="clear" w:color="auto" w:fill="D4F1F5"/>
          </w:tcPr>
          <w:p>
            <w:pPr>
              <w:ind w:left="20"/>
              <w:spacing w:after="0"/>
              <w:rPr>
                <w:sz w:val="20"/>
                <w:szCs w:val="20"/>
                <w:color w:val="auto"/>
              </w:rPr>
            </w:pPr>
            <w:r>
              <w:rPr>
                <w:rFonts w:ascii="Arial" w:cs="Arial" w:eastAsia="Arial" w:hAnsi="Arial"/>
                <w:sz w:val="16"/>
                <w:szCs w:val="16"/>
                <w:color w:val="auto"/>
              </w:rPr>
              <w:t>Fitch</w:t>
            </w:r>
          </w:p>
        </w:tc>
        <w:tc>
          <w:tcPr>
            <w:tcW w:w="3720" w:type="dxa"/>
            <w:vAlign w:val="bottom"/>
            <w:tcBorders>
              <w:bottom w:val="single" w:sz="8" w:color="ACACAC"/>
            </w:tcBorders>
            <w:shd w:val="clear" w:color="auto" w:fill="D4F1F5"/>
          </w:tcPr>
          <w:p>
            <w:pPr>
              <w:jc w:val="center"/>
              <w:ind w:left="661"/>
              <w:spacing w:after="0"/>
              <w:rPr>
                <w:sz w:val="20"/>
                <w:szCs w:val="20"/>
                <w:color w:val="auto"/>
              </w:rPr>
            </w:pPr>
            <w:r>
              <w:rPr>
                <w:rFonts w:ascii="Arial" w:cs="Arial" w:eastAsia="Arial" w:hAnsi="Arial"/>
                <w:sz w:val="16"/>
                <w:szCs w:val="16"/>
                <w:color w:val="auto"/>
              </w:rPr>
              <w:t>BBB+ with a stable outlook</w:t>
            </w:r>
          </w:p>
        </w:tc>
        <w:tc>
          <w:tcPr>
            <w:tcW w:w="2860" w:type="dxa"/>
            <w:vAlign w:val="bottom"/>
            <w:tcBorders>
              <w:bottom w:val="single" w:sz="8" w:color="ACACAC"/>
            </w:tcBorders>
            <w:shd w:val="clear" w:color="auto" w:fill="D4F1F5"/>
          </w:tcPr>
          <w:p>
            <w:pPr>
              <w:jc w:val="center"/>
              <w:spacing w:after="0"/>
              <w:rPr>
                <w:sz w:val="20"/>
                <w:szCs w:val="20"/>
                <w:color w:val="auto"/>
              </w:rPr>
            </w:pPr>
            <w:r>
              <w:rPr>
                <w:rFonts w:ascii="Arial" w:cs="Arial" w:eastAsia="Arial" w:hAnsi="Arial"/>
                <w:sz w:val="16"/>
                <w:szCs w:val="16"/>
                <w:color w:val="auto"/>
              </w:rPr>
              <w:t>BBB+ with a stable outlook</w:t>
            </w:r>
          </w:p>
        </w:tc>
        <w:tc>
          <w:tcPr>
            <w:tcW w:w="2820" w:type="dxa"/>
            <w:vAlign w:val="bottom"/>
            <w:tcBorders>
              <w:bottom w:val="single" w:sz="8" w:color="ACACAC"/>
            </w:tcBorders>
            <w:shd w:val="clear" w:color="auto" w:fill="D4F1F5"/>
          </w:tcPr>
          <w:p>
            <w:pPr>
              <w:jc w:val="center"/>
              <w:spacing w:after="0"/>
              <w:rPr>
                <w:sz w:val="20"/>
                <w:szCs w:val="20"/>
                <w:color w:val="auto"/>
              </w:rPr>
            </w:pPr>
            <w:r>
              <w:rPr>
                <w:rFonts w:ascii="Arial" w:cs="Arial" w:eastAsia="Arial" w:hAnsi="Arial"/>
                <w:sz w:val="16"/>
                <w:szCs w:val="16"/>
                <w:color w:val="auto"/>
              </w:rPr>
              <w:t>A with a stable outlook</w:t>
            </w:r>
          </w:p>
        </w:tc>
      </w:tr>
    </w:tbl>
    <w:p>
      <w:pPr>
        <w:spacing w:after="0" w:line="88" w:lineRule="exact"/>
        <w:rPr>
          <w:sz w:val="20"/>
          <w:szCs w:val="20"/>
          <w:color w:val="auto"/>
        </w:rPr>
      </w:pPr>
    </w:p>
    <w:p>
      <w:pPr>
        <w:ind w:left="300" w:hanging="292"/>
        <w:spacing w:after="0"/>
        <w:tabs>
          <w:tab w:leader="none" w:pos="300" w:val="left"/>
        </w:tabs>
        <w:numPr>
          <w:ilvl w:val="0"/>
          <w:numId w:val="97"/>
        </w:numPr>
        <w:rPr>
          <w:rFonts w:ascii="Arial" w:cs="Arial" w:eastAsia="Arial" w:hAnsi="Arial"/>
          <w:sz w:val="21"/>
          <w:szCs w:val="21"/>
          <w:i w:val="1"/>
          <w:iCs w:val="1"/>
          <w:color w:val="auto"/>
          <w:vertAlign w:val="superscript"/>
        </w:rPr>
      </w:pPr>
      <w:r>
        <w:rPr>
          <w:rFonts w:ascii="Arial" w:cs="Arial" w:eastAsia="Arial" w:hAnsi="Arial"/>
          <w:sz w:val="14"/>
          <w:szCs w:val="14"/>
          <w:i w:val="1"/>
          <w:iCs w:val="1"/>
          <w:color w:val="auto"/>
        </w:rPr>
        <w:t>Reflects the senior unsecured rating, as no issuer credit rating is available.</w:t>
      </w:r>
    </w:p>
    <w:p>
      <w:pPr>
        <w:spacing w:after="0" w:line="125" w:lineRule="exact"/>
        <w:rPr>
          <w:sz w:val="20"/>
          <w:szCs w:val="20"/>
          <w:color w:val="auto"/>
        </w:rPr>
      </w:pPr>
    </w:p>
    <w:p>
      <w:pPr>
        <w:ind w:right="120"/>
        <w:spacing w:after="0" w:line="269" w:lineRule="auto"/>
        <w:rPr>
          <w:sz w:val="20"/>
          <w:szCs w:val="20"/>
          <w:color w:val="auto"/>
        </w:rPr>
      </w:pPr>
      <w:r>
        <w:rPr>
          <w:rFonts w:ascii="Times New Roman" w:cs="Times New Roman" w:eastAsia="Times New Roman" w:hAnsi="Times New Roman"/>
          <w:sz w:val="18"/>
          <w:szCs w:val="18"/>
          <w:color w:val="auto"/>
        </w:rPr>
        <w:t>A downgrade of Sempra’s or any of its subsidiaries’ credit ratings or rating outlooks may, depending on the severity, result in the imposition of new financial or other burdensome covenants or a requirement for collateral to be posted in the case of certain financing arrangements and may materially and adversely affect the market prices of their equity and debt securities, the rates at which borrowings are made and commercial paper is issued, and the various fees on their outstanding credit facilities. This could make it more costly for Sempra, SDG&amp;E, SoCalGas and Sempra’s other subsidiaries to issue debt or equity securities, to borrow under credit facilities and to raise certain other types of financing. We provide additional information about our credit ratings at Sempra, SDG&amp;E and SoCalGas in “Part I – Item 1A. Risk Factors” in the Annual Report.</w:t>
      </w:r>
    </w:p>
    <w:p>
      <w:pPr>
        <w:spacing w:after="0" w:line="66" w:lineRule="exact"/>
        <w:rPr>
          <w:sz w:val="20"/>
          <w:szCs w:val="20"/>
          <w:color w:val="auto"/>
        </w:rPr>
      </w:pPr>
    </w:p>
    <w:p>
      <w:pPr>
        <w:ind w:right="20"/>
        <w:spacing w:after="0" w:line="281" w:lineRule="auto"/>
        <w:rPr>
          <w:sz w:val="20"/>
          <w:szCs w:val="20"/>
          <w:color w:val="auto"/>
        </w:rPr>
      </w:pPr>
      <w:r>
        <w:rPr>
          <w:rFonts w:ascii="Times New Roman" w:cs="Times New Roman" w:eastAsia="Times New Roman" w:hAnsi="Times New Roman"/>
          <w:sz w:val="18"/>
          <w:szCs w:val="18"/>
          <w:color w:val="auto"/>
        </w:rPr>
        <w:t>Sempra has agreed that, if the credit rating of Oncor’s senior secured debt by any of the three major rating agencies falls below BBB (or the equivalent), Oncor will suspend dividends and other distributions (except for contractual tax payments), unless otherwise allowed by the PUCT. Oncor’s senior secured debt is rated A2, A and A at Moody’s, S&amp;P and Fitch, respectively, at March 31, 2026.</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Sempra California</w:t>
      </w:r>
    </w:p>
    <w:p>
      <w:pPr>
        <w:spacing w:after="0" w:line="62" w:lineRule="exact"/>
        <w:rPr>
          <w:sz w:val="20"/>
          <w:szCs w:val="20"/>
          <w:color w:val="auto"/>
        </w:rPr>
      </w:pPr>
    </w:p>
    <w:p>
      <w:pPr>
        <w:ind w:right="60"/>
        <w:spacing w:after="0" w:line="284" w:lineRule="auto"/>
        <w:rPr>
          <w:sz w:val="20"/>
          <w:szCs w:val="20"/>
          <w:color w:val="auto"/>
        </w:rPr>
      </w:pPr>
      <w:r>
        <w:rPr>
          <w:rFonts w:ascii="Times New Roman" w:cs="Times New Roman" w:eastAsia="Times New Roman" w:hAnsi="Times New Roman"/>
          <w:sz w:val="17"/>
          <w:szCs w:val="17"/>
          <w:color w:val="auto"/>
        </w:rPr>
        <w:t>SDG&amp;E’s and SoCalGas’ operations have historically provided relatively stable earnings and liquidity. Their future performance and liquidity will depend primarily on the ratemaking and regulatory process, environmental regulations, economic conditions, actions by legislatures, litigation and the changing energy marketplace, as well as other matters described in this report and the Annual Report. SDG&amp;E and SoCalGas expect that the available unused funds from their credit facilities described above, which also supports their commercial paper programs, cash flows from operations, and other incurrences of debt including issuing debt securities and obtaining term loans will continue to be adequate to fund their respective current operations and planned capital expenditures. SDG&amp;E and SoCalGas manage their capital structures and pay dividends as approved by their respective boards of directors.</w:t>
      </w:r>
    </w:p>
    <w:p>
      <w:pPr>
        <w:spacing w:after="0" w:line="70" w:lineRule="exact"/>
        <w:rPr>
          <w:sz w:val="20"/>
          <w:szCs w:val="20"/>
          <w:color w:val="auto"/>
        </w:rPr>
      </w:pPr>
    </w:p>
    <w:p>
      <w:pPr>
        <w:jc w:val="both"/>
        <w:ind w:right="40"/>
        <w:spacing w:after="0" w:line="274" w:lineRule="auto"/>
        <w:rPr>
          <w:sz w:val="20"/>
          <w:szCs w:val="20"/>
          <w:color w:val="auto"/>
        </w:rPr>
      </w:pPr>
      <w:r>
        <w:rPr>
          <w:rFonts w:ascii="Times New Roman" w:cs="Times New Roman" w:eastAsia="Times New Roman" w:hAnsi="Times New Roman"/>
          <w:sz w:val="18"/>
          <w:szCs w:val="18"/>
          <w:color w:val="auto"/>
        </w:rPr>
        <w:t>SDG&amp;E and SoCalGas have regulatory mechanisms to recover credit losses and thus record changes in the allowances for credit losses related to accounts receivable that are probable of recovery in regulatory accounts. Although SDG&amp;E and SoCalGas have regulatory mechanisms to recover credit losses, any delay in payments by customers impacts the timing of their respective cash flows.</w:t>
      </w:r>
    </w:p>
    <w:p>
      <w:pPr>
        <w:spacing w:after="0" w:line="74" w:lineRule="exact"/>
        <w:rPr>
          <w:sz w:val="20"/>
          <w:szCs w:val="20"/>
          <w:color w:val="auto"/>
        </w:rPr>
      </w:pPr>
    </w:p>
    <w:p>
      <w:pPr>
        <w:ind w:right="260"/>
        <w:spacing w:after="0" w:line="271" w:lineRule="auto"/>
        <w:rPr>
          <w:sz w:val="20"/>
          <w:szCs w:val="20"/>
          <w:color w:val="auto"/>
        </w:rPr>
      </w:pPr>
      <w:r>
        <w:rPr>
          <w:rFonts w:ascii="Times New Roman" w:cs="Times New Roman" w:eastAsia="Times New Roman" w:hAnsi="Times New Roman"/>
          <w:sz w:val="18"/>
          <w:szCs w:val="18"/>
          <w:color w:val="auto"/>
        </w:rPr>
        <w:t>As we discuss in Note 4 of the Notes to Condensed Consolidated Financial Statements, changes in regulatory balancing accounts for significant costs at SDG&amp;E and SoCalGas, particularly a change between over and undercollected status, may have a significant impact on cash flows. These changes generally represent the difference between when costs are incurred and when they are ultimately recovered or refunded in rates through billings to customers.</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CPUC GRC</w:t>
      </w:r>
    </w:p>
    <w:p>
      <w:pPr>
        <w:spacing w:after="0" w:line="49" w:lineRule="exact"/>
        <w:rPr>
          <w:sz w:val="20"/>
          <w:szCs w:val="20"/>
          <w:color w:val="auto"/>
        </w:rPr>
      </w:pPr>
    </w:p>
    <w:p>
      <w:pPr>
        <w:ind w:right="20"/>
        <w:spacing w:after="0" w:line="271" w:lineRule="auto"/>
        <w:rPr>
          <w:sz w:val="20"/>
          <w:szCs w:val="20"/>
          <w:color w:val="auto"/>
        </w:rPr>
      </w:pPr>
      <w:r>
        <w:rPr>
          <w:rFonts w:ascii="Times New Roman" w:cs="Times New Roman" w:eastAsia="Times New Roman" w:hAnsi="Times New Roman"/>
          <w:sz w:val="18"/>
          <w:szCs w:val="18"/>
          <w:color w:val="auto"/>
        </w:rPr>
        <w:t>In December 2025, SDG&amp;E and SoCalGas filed a petition for modification of the 2024 GRC, seeking to modify the post-test year mechanism for capital related costs. The petition for modification seeks increases of $55 million, $87 million and $79 million to the approved revenue requirements for SDG&amp;E for 2025, 2026 and 2027, respectively, and increases of $86 million, $122 million and $109 million to the approved revenue requirements for SoCalGas for 2025, 2026 and 2027, respectively. There is no established timeline for the CPUC to act on this filing.</w:t>
      </w:r>
    </w:p>
    <w:p>
      <w:pPr>
        <w:spacing w:after="0" w:line="200" w:lineRule="exact"/>
        <w:rPr>
          <w:sz w:val="20"/>
          <w:szCs w:val="20"/>
          <w:color w:val="auto"/>
        </w:rPr>
      </w:pPr>
    </w:p>
    <w:p>
      <w:pPr>
        <w:spacing w:after="0" w:line="35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150495</wp:posOffset>
            </wp:positionV>
            <wp:extent cx="7157720" cy="425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101" w:name="page102"/>
    <w:bookmarkEnd w:id="10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b w:val="1"/>
          <w:bCs w:val="1"/>
          <w:color w:val="auto"/>
        </w:rPr>
        <w:t xml:space="preserve">Existing and Anticipated Requests for Recovery of Specified Safety, Maintenance and Reliability Investments. </w:t>
      </w:r>
      <w:r>
        <w:rPr>
          <w:rFonts w:ascii="Times New Roman" w:cs="Times New Roman" w:eastAsia="Times New Roman" w:hAnsi="Times New Roman"/>
          <w:sz w:val="18"/>
          <w:szCs w:val="18"/>
          <w:color w:val="auto"/>
        </w:rPr>
        <w:t>The GRC provides SDG&amp;E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SoCalGas with numerous mechanisms to seek cost recovery of specified projects and programs. We expect that the requests for cost recovery of these projects and programs, which remain subject to CPUC approval, may result in additional amounts of authorized revenue requirement. These projects and programs include (i) the Track 3 request that we describe below, (ii) the ability to file advice letters to implement the revenue requirements associated with the costs of SDG&amp;E’s Moreno compressor station project and SoCalGas’ Honor Rancho compressor station and customer information system replacement projects, which projects were all approved by the CPUC subject to applicable cost caps, and (iii) the opportunity to file separate applications for cost recovery of mobile home park and gas integrity management programs at both SDG&amp;E and SoCalGas, advanced metering infrastructure replacements at SDG&amp;E, and other projects and programs.</w:t>
      </w:r>
    </w:p>
    <w:p>
      <w:pPr>
        <w:spacing w:after="0" w:line="95"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b w:val="1"/>
          <w:bCs w:val="1"/>
          <w:color w:val="auto"/>
        </w:rPr>
        <w:t xml:space="preserve">2024 GRC Track 3. </w:t>
      </w:r>
      <w:r>
        <w:rPr>
          <w:rFonts w:ascii="Times New Roman" w:cs="Times New Roman" w:eastAsia="Times New Roman" w:hAnsi="Times New Roman"/>
          <w:sz w:val="18"/>
          <w:szCs w:val="18"/>
          <w:color w:val="auto"/>
        </w:rPr>
        <w:t>In April 2025, SDG&amp;E and SoCalGas each submitted additional requests to the CPUC in the 2024 GRC, known as Track 3 requests.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SDG&amp;E submitted a request seeking review and recovery of its WMP costs incurred in 2023 that were in addition to the amounts authorized in the 2019 GRC and not addressed in the 2024 GRC. In March 2026 and amended in April 2026, SDG&amp;E provided supplemental testimony in its Track 3 request for drone inspection and repair program costs that were disallowed in its Track 2 request. The supplemental testimony seeks review and recovery of $522 million of direct WMP and drone inspection and repair program costs. SDG&amp;E expects to receive a PD for its Track 3 request related to its WMP costs in the second half of 2026. Additionally, SDG&amp;E and SoCalGas submitted a combined request seeking review and recovery of $240 million of PSEP costs incurred from 2014 through 2019 and $499 million of PSEP costs incurred from 2015 through 2020. SDG&amp;E and SoCalGas expect to receive an FD for their Track 3 requests related to their PSEP costs in the second half of 2026.</w:t>
      </w:r>
    </w:p>
    <w:p>
      <w:pPr>
        <w:spacing w:after="0" w:line="86"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Revenue requirements associated with the Track 3 requests have been recorded in regulatory accounts and any disallowances resulting from Track 3 would be recorded as an expense on the Sempra, SDG&amp;E and SoCalGas Condensed Consolidated Statements of Operations. SDG&amp;E and SoCalGas are authorized interim rate recovery of up to 50% of the recorded PSEP regulatory account balance at the end of each year. Such interim rate recovery is subject to refund, contingent on the reasonableness review decision for their Track 3 requests.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SDG&amp;E</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Wildfire Fund and Continuation Account</w:t>
      </w:r>
    </w:p>
    <w:p>
      <w:pPr>
        <w:spacing w:after="0" w:line="49" w:lineRule="exact"/>
        <w:rPr>
          <w:sz w:val="20"/>
          <w:szCs w:val="20"/>
          <w:color w:val="auto"/>
        </w:rPr>
      </w:pPr>
    </w:p>
    <w:p>
      <w:pPr>
        <w:ind w:right="20"/>
        <w:spacing w:after="0" w:line="264" w:lineRule="auto"/>
        <w:rPr>
          <w:sz w:val="20"/>
          <w:szCs w:val="20"/>
          <w:color w:val="auto"/>
        </w:rPr>
      </w:pPr>
      <w:r>
        <w:rPr>
          <w:rFonts w:ascii="Times New Roman" w:cs="Times New Roman" w:eastAsia="Times New Roman" w:hAnsi="Times New Roman"/>
          <w:sz w:val="18"/>
          <w:szCs w:val="18"/>
          <w:color w:val="auto"/>
        </w:rPr>
        <w:t>The 2019 Wildfire Legislation established the Wildfire Fund and the 2025 Wildfire Legislation established the Continuation Account (collectively, the Wildfire Legislation), which offer liquidity to reimburse wildfire-related claims incurred by participating California electric IOUs in excess of $1 billion, subject to the coverage of each fund. The Wildfire Fund and the Continuation Account, if it becomes operative, could be materially reduced, exhausted, or terminated due to claims by SDG&amp;E or other participating IOUs related to fires caused by utility conduct or operations, or SDG&amp;E could fail to maintain a valid annual safety certification from the OEIS or meet other requirements, any of which could result in SDG&amp;E losing eligibility for the Wildfire Legislation’s liability cap and the other protections afforded by these funds. As a result, a fire resulting from the conduct or operations of any participating California electric IOU could have a material adverse effect on Sempra’s and SDG&amp;E’s results of operations, financial condition, cash flows and/or prospects, with potentially material additional exposure if SDG&amp;E’s conduct or operations is determined to be a cause of a fire and SDG&amp;E is found to have acted imprudently.</w:t>
      </w:r>
    </w:p>
    <w:p>
      <w:pPr>
        <w:spacing w:after="0" w:line="84" w:lineRule="exact"/>
        <w:rPr>
          <w:sz w:val="20"/>
          <w:szCs w:val="20"/>
          <w:color w:val="auto"/>
        </w:rPr>
      </w:pPr>
    </w:p>
    <w:p>
      <w:pPr>
        <w:spacing w:after="0" w:line="274" w:lineRule="auto"/>
        <w:rPr>
          <w:sz w:val="20"/>
          <w:szCs w:val="20"/>
          <w:color w:val="auto"/>
        </w:rPr>
      </w:pPr>
      <w:r>
        <w:rPr>
          <w:rFonts w:ascii="Times New Roman" w:cs="Times New Roman" w:eastAsia="Times New Roman" w:hAnsi="Times New Roman"/>
          <w:sz w:val="18"/>
          <w:szCs w:val="18"/>
          <w:color w:val="auto"/>
        </w:rPr>
        <w:t>We further describe the 2019 Wildfire Legislation and SDG&amp;E’s commitment to make annual shareholder contributions to the Wildfire Fund through 2028, as well as the 2025 Wildfire Legislation and related Continuation Account, in Note 1 of the Notes to Consolidated Financial Statements in the Annual Report.</w:t>
      </w:r>
    </w:p>
    <w:p>
      <w:pPr>
        <w:spacing w:after="0" w:line="70"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18"/>
          <w:szCs w:val="18"/>
          <w:b w:val="1"/>
          <w:bCs w:val="1"/>
          <w:color w:val="auto"/>
        </w:rPr>
        <w:t xml:space="preserve">2019 Wildfire Legislation. </w:t>
      </w:r>
      <w:r>
        <w:rPr>
          <w:rFonts w:ascii="Times New Roman" w:cs="Times New Roman" w:eastAsia="Times New Roman" w:hAnsi="Times New Roman"/>
          <w:sz w:val="18"/>
          <w:szCs w:val="18"/>
          <w:color w:val="auto"/>
        </w:rPr>
        <w:t>SDG&amp;E is exposed to the risk that the participating California electric IOUs may incur third-party wildfire costs for which they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will seek recovery from the Wildfire Fund with respect to wildfires that have occurred since enactment of the 2019 Wildfire Legislation in July 2019. In such a situation, SDG&amp;E may recognize a reduction of its Wildfire Fund asset and record accelerated amortization against earnings when available coverage is reduced due to recoverable claims from any of the participating IOUs. The carrying value of SDG&amp;E’s Wildfire Fund asset totaled $253 million at March 31, 2026.</w:t>
      </w:r>
    </w:p>
    <w:p>
      <w:pPr>
        <w:spacing w:after="0" w:line="200" w:lineRule="exact"/>
        <w:rPr>
          <w:sz w:val="20"/>
          <w:szCs w:val="20"/>
          <w:color w:val="auto"/>
        </w:rPr>
      </w:pPr>
    </w:p>
    <w:p>
      <w:pPr>
        <w:spacing w:after="0" w:line="3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02" w:name="page103"/>
    <w:bookmarkEnd w:id="10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right="100"/>
        <w:spacing w:after="0" w:line="264" w:lineRule="auto"/>
        <w:rPr>
          <w:sz w:val="20"/>
          <w:szCs w:val="20"/>
          <w:color w:val="auto"/>
        </w:rPr>
      </w:pPr>
      <w:r>
        <w:rPr>
          <w:rFonts w:ascii="Times New Roman" w:cs="Times New Roman" w:eastAsia="Times New Roman" w:hAnsi="Times New Roman"/>
          <w:sz w:val="18"/>
          <w:szCs w:val="18"/>
          <w:color w:val="auto"/>
        </w:rPr>
        <w:t>In April 2026, a participating IOU publicly disclosed that it has received, or expects to receive, approximately $1.27 billion in aggregate reimbursements from the Wildfire Fund for eligible claims related to wildfires that occurred in 2019 and 2021. Also in April 2026, another participating IOU publicly disclosed it has received, or expects to receive, approximately $295 million in aggregate reimbursements from the Wildfire Fund for losses incurred and expected to be incurred in connection with one of the LA Fires, the cause of which remains under investigation and has not been conclusively determined. The administrator of the Wildfire Fund has confirmed that this wildfire qualifies as a “covered wildfire” for purposes of accessing the Wildfire Fund, and the scope of potential damages caused by this fire could materially reduce or exhaust the Wildfire Fund. The participating IOU stated that it is currently unable to reasonably estimate a range of potential losses associated with this event. Accordingly, SDG&amp;E is unable to estimate a range of potential loss resulting from any reduction in available coverage from the Wildfire Fund. In addition to the risks described above, a material reduction, exhaustion or termination of the Wildfire Fund may require SDG&amp;E to recognize a reduction to its Wildfire Fund asset up to its carrying value.</w:t>
      </w:r>
    </w:p>
    <w:p>
      <w:pPr>
        <w:spacing w:after="0" w:line="80" w:lineRule="exact"/>
        <w:rPr>
          <w:sz w:val="20"/>
          <w:szCs w:val="20"/>
          <w:color w:val="auto"/>
        </w:rPr>
      </w:pPr>
    </w:p>
    <w:p>
      <w:pPr>
        <w:ind w:right="360"/>
        <w:spacing w:after="0" w:line="276" w:lineRule="auto"/>
        <w:rPr>
          <w:sz w:val="20"/>
          <w:szCs w:val="20"/>
          <w:color w:val="auto"/>
        </w:rPr>
      </w:pPr>
      <w:r>
        <w:rPr>
          <w:rFonts w:ascii="Times New Roman" w:cs="Times New Roman" w:eastAsia="Times New Roman" w:hAnsi="Times New Roman"/>
          <w:sz w:val="18"/>
          <w:szCs w:val="18"/>
          <w:b w:val="1"/>
          <w:bCs w:val="1"/>
          <w:color w:val="auto"/>
        </w:rPr>
        <w:t xml:space="preserve">2025 Wildfire Legislation. </w:t>
      </w:r>
      <w:r>
        <w:rPr>
          <w:rFonts w:ascii="Times New Roman" w:cs="Times New Roman" w:eastAsia="Times New Roman" w:hAnsi="Times New Roman"/>
          <w:sz w:val="18"/>
          <w:szCs w:val="18"/>
          <w:color w:val="auto"/>
        </w:rPr>
        <w:t>In September 2025, the 2025 Wildfire Legislation was signed into law to establish, among other things, the Continuation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Account, a new state-administered account with up to $18.0 billion of additional liquidity to reimburse catastrophic wildfire-related claims incurred by participating California electric IOUs, including SDG&amp;E, if certain conditions are met.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FERC Rate Matters</w:t>
      </w:r>
    </w:p>
    <w:p>
      <w:pPr>
        <w:spacing w:after="0" w:line="49" w:lineRule="exact"/>
        <w:rPr>
          <w:sz w:val="20"/>
          <w:szCs w:val="20"/>
          <w:color w:val="auto"/>
        </w:rPr>
      </w:pPr>
    </w:p>
    <w:p>
      <w:pPr>
        <w:ind w:right="100"/>
        <w:spacing w:after="0" w:line="297" w:lineRule="auto"/>
        <w:rPr>
          <w:sz w:val="20"/>
          <w:szCs w:val="20"/>
          <w:color w:val="auto"/>
        </w:rPr>
      </w:pPr>
      <w:r>
        <w:rPr>
          <w:rFonts w:ascii="Times New Roman" w:cs="Times New Roman" w:eastAsia="Times New Roman" w:hAnsi="Times New Roman"/>
          <w:sz w:val="18"/>
          <w:szCs w:val="18"/>
          <w:color w:val="auto"/>
        </w:rPr>
        <w:t>SDG&amp;E files separately with the FERC for its authorized transmission revenue requirement and ROE on FERC-regulated electric transmission operations and assets.</w:t>
      </w:r>
    </w:p>
    <w:p>
      <w:pPr>
        <w:spacing w:after="0" w:line="37" w:lineRule="exact"/>
        <w:rPr>
          <w:sz w:val="20"/>
          <w:szCs w:val="20"/>
          <w:color w:val="auto"/>
        </w:rPr>
      </w:pPr>
    </w:p>
    <w:p>
      <w:pPr>
        <w:ind w:right="20"/>
        <w:spacing w:after="0" w:line="276" w:lineRule="auto"/>
        <w:rPr>
          <w:sz w:val="20"/>
          <w:szCs w:val="20"/>
          <w:color w:val="auto"/>
        </w:rPr>
      </w:pPr>
      <w:r>
        <w:rPr>
          <w:rFonts w:ascii="Times New Roman" w:cs="Times New Roman" w:eastAsia="Times New Roman" w:hAnsi="Times New Roman"/>
          <w:sz w:val="18"/>
          <w:szCs w:val="18"/>
          <w:b w:val="1"/>
          <w:bCs w:val="1"/>
          <w:color w:val="auto"/>
        </w:rPr>
        <w:t xml:space="preserve">TO5 Settlement. </w:t>
      </w:r>
      <w:r>
        <w:rPr>
          <w:rFonts w:ascii="Times New Roman" w:cs="Times New Roman" w:eastAsia="Times New Roman" w:hAnsi="Times New Roman"/>
          <w:sz w:val="18"/>
          <w:szCs w:val="18"/>
          <w:color w:val="auto"/>
        </w:rPr>
        <w:t>SDG&amp;E’s authorized TO5 settlement provided for an ROE of 10.60%, consisting of a base ROE of 10.10% plus the California ISO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adder. In December 2024, the FERC issued an order, which SDG&amp;E has appealed, finding that SDG&amp;E is not eligible for the California ISO adder and that the TO5 adder refund provision had been triggered, requiring SDG&amp;E to refund customers the California ISO adder retroactively from June 1, 2019.</w:t>
      </w:r>
    </w:p>
    <w:p>
      <w:pPr>
        <w:spacing w:after="0" w:line="15" w:lineRule="exact"/>
        <w:rPr>
          <w:sz w:val="20"/>
          <w:szCs w:val="20"/>
          <w:color w:val="auto"/>
        </w:rPr>
      </w:pPr>
    </w:p>
    <w:p>
      <w:pPr>
        <w:spacing w:after="0" w:line="264" w:lineRule="auto"/>
        <w:rPr>
          <w:sz w:val="20"/>
          <w:szCs w:val="20"/>
          <w:color w:val="auto"/>
        </w:rPr>
      </w:pPr>
      <w:r>
        <w:rPr>
          <w:rFonts w:ascii="Times New Roman" w:cs="Times New Roman" w:eastAsia="Times New Roman" w:hAnsi="Times New Roman"/>
          <w:sz w:val="18"/>
          <w:szCs w:val="18"/>
          <w:b w:val="1"/>
          <w:bCs w:val="1"/>
          <w:color w:val="auto"/>
        </w:rPr>
        <w:t xml:space="preserve">TO6 Filing. </w:t>
      </w:r>
      <w:r>
        <w:rPr>
          <w:rFonts w:ascii="Times New Roman" w:cs="Times New Roman" w:eastAsia="Times New Roman" w:hAnsi="Times New Roman"/>
          <w:sz w:val="18"/>
          <w:szCs w:val="18"/>
          <w:color w:val="auto"/>
        </w:rPr>
        <w:t>In October 2024, SDG&amp;E submitted its TO6 filing to the FERC and requested it to be effective January 1, 2025. In December 2024, the FERC</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accepted SDG&amp;E’s TO6 filing, subject to refund; suspended the effective date to June 1, 2025; established hearing and settlement judge procedures; and disallowed the inclusion of the California ISO adder, the last of which SDG&amp;E has appealed. In March 2026, SDG&amp;E filed with the FERC an uncontested offer of settlement in the TO6 proceeding. Among other things, the offer of settlement reflects an increase to SDG&amp;E’s currently authorized base ROE from 10.10% to 10.28%, a hypothetical capital structure with 54% common equity, and does not affect SDG&amp;E’s appeal of the FERC’s disallowance of the inclusion of the California ISO adder. The settlement is pending approval with the FERC and SDG&amp;E expects to receive a decision in the second half of 2026. If approved, the TO6 settlement will be effective retroactively to June 1, 2025 and will remain in effect until terminated by a notice provided in March of any year. Following any such notice, SDG&amp;E would submit a new Transmission Owner Rate filing for rates to go into effect January 1 of the following year.</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Off-Balance Sheet Arrangements</w:t>
      </w:r>
    </w:p>
    <w:p>
      <w:pPr>
        <w:spacing w:after="0" w:line="49" w:lineRule="exact"/>
        <w:rPr>
          <w:sz w:val="20"/>
          <w:szCs w:val="20"/>
          <w:color w:val="auto"/>
        </w:rPr>
      </w:pPr>
    </w:p>
    <w:p>
      <w:pPr>
        <w:ind w:right="240"/>
        <w:spacing w:after="0" w:line="297" w:lineRule="auto"/>
        <w:rPr>
          <w:sz w:val="20"/>
          <w:szCs w:val="20"/>
          <w:color w:val="auto"/>
        </w:rPr>
      </w:pPr>
      <w:r>
        <w:rPr>
          <w:rFonts w:ascii="Times New Roman" w:cs="Times New Roman" w:eastAsia="Times New Roman" w:hAnsi="Times New Roman"/>
          <w:sz w:val="18"/>
          <w:szCs w:val="18"/>
          <w:color w:val="auto"/>
        </w:rPr>
        <w:t>SDG&amp;E has entered into PPAs and tolling agreements that are variable interests in unconsolidated entities. We discuss variable interests in Note 1 of the Notes to Condensed Consolidated Financial Statements.</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SoCalGas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LA Fires</w:t>
      </w:r>
    </w:p>
    <w:p>
      <w:pPr>
        <w:spacing w:after="0" w:line="4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LA Fires burned in SoCalGas’ service territory. The California Department of Forestry and Fire Protection estimates that the Palisades and Eaton fires destroyed approximately 16,200 structures and damaged approximately 2,000 structures. Although the majority of SoCalGas’ infrastructure in the fire-affected areas is underground, these fires resulted in service disruptions, response costs and damage to some of SoCalGas’ infrastructure and third-party property. SoCalGas and Sempra are subject to pending litigation with respect to the operation of SoCalGas’ system and damage sustained as a result of the fires, which we discuss in Note 13 of the Notes to Condensed Consolidated Financial Statements. We cannot estimate the timing, costs, other impacts or ultimate outcome of these matters, which are inherently uncertain and subject to a number of risks that we discuss in “Part I – Item 1A. Risk Factors” in the Annual Report.</w:t>
      </w:r>
    </w:p>
    <w:p>
      <w:pPr>
        <w:spacing w:after="0" w:line="82" w:lineRule="exact"/>
        <w:rPr>
          <w:sz w:val="20"/>
          <w:szCs w:val="20"/>
          <w:color w:val="auto"/>
        </w:rPr>
      </w:pPr>
    </w:p>
    <w:p>
      <w:pPr>
        <w:ind w:right="40"/>
        <w:spacing w:after="0" w:line="271" w:lineRule="auto"/>
        <w:rPr>
          <w:sz w:val="20"/>
          <w:szCs w:val="20"/>
          <w:color w:val="auto"/>
        </w:rPr>
      </w:pPr>
      <w:r>
        <w:rPr>
          <w:rFonts w:ascii="Times New Roman" w:cs="Times New Roman" w:eastAsia="Times New Roman" w:hAnsi="Times New Roman"/>
          <w:sz w:val="18"/>
          <w:szCs w:val="18"/>
          <w:color w:val="auto"/>
        </w:rPr>
        <w:t>SoCalGas has mechanisms available for potential recovery of costs associated with declared disasters and related litigation, including through insurance, third parties and customer rates. Failure by SoCalGas to timely recover all or a substantial portion of its costs related to the LA Fires or any conclusion that such recovery is no longer probable could have a material adverse effect on SoCalGas’ and Sempra’s results of operations, financial condition, cash flows and/or prospects.</w:t>
      </w:r>
    </w:p>
    <w:p>
      <w:pPr>
        <w:spacing w:after="0" w:line="200" w:lineRule="exact"/>
        <w:rPr>
          <w:sz w:val="20"/>
          <w:szCs w:val="20"/>
          <w:color w:val="auto"/>
        </w:rPr>
      </w:pPr>
    </w:p>
    <w:p>
      <w:pPr>
        <w:spacing w:after="0" w:line="35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150495</wp:posOffset>
            </wp:positionV>
            <wp:extent cx="7157720" cy="425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03" w:name="page104"/>
    <w:bookmarkEnd w:id="10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Sempra Texas Utilities</w:t>
      </w:r>
    </w:p>
    <w:p>
      <w:pPr>
        <w:spacing w:after="0" w:line="49"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Oncor relies on external financing as a significant source of liquidity for its capital requirements. In the event that Oncor is unable to meet its capital requirements, access sufficient capital, or raise capital on favorable terms to finance its ongoing needs, we may elect to make additional capital contributions to Oncor (as our commitments to the PUCT prohibit us from making loans to Oncor), which could be substantial and reduce the cash available to us for other purposes, increase our indebtedness and ultimately materially adversely affect our results of operations, financial condition, cash flows and/or prospects. Oncor’s ability to make distributions may be limited by factors such as its credit ratings, regulatory capital requirements, increases in its capital plan, debt-to-equity ratio approved by the PUCT and other restrictions and considerations. In addition, Oncor will not make distributions if a majority of Oncor’s independent directors or any minority member director determines it is in the best interests of Oncor to retain such amounts to meet expected future requirements.</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Oncor</w:t>
      </w:r>
    </w:p>
    <w:p>
      <w:pPr>
        <w:spacing w:after="0" w:line="45" w:lineRule="exact"/>
        <w:rPr>
          <w:sz w:val="20"/>
          <w:szCs w:val="20"/>
          <w:color w:val="auto"/>
        </w:rPr>
      </w:pPr>
    </w:p>
    <w:p>
      <w:pPr>
        <w:ind w:right="20"/>
        <w:spacing w:after="0" w:line="302" w:lineRule="auto"/>
        <w:rPr>
          <w:sz w:val="20"/>
          <w:szCs w:val="20"/>
          <w:color w:val="auto"/>
        </w:rPr>
      </w:pPr>
      <w:r>
        <w:rPr>
          <w:rFonts w:ascii="Times New Roman" w:cs="Times New Roman" w:eastAsia="Times New Roman" w:hAnsi="Times New Roman"/>
          <w:sz w:val="18"/>
          <w:szCs w:val="18"/>
          <w:b w:val="1"/>
          <w:bCs w:val="1"/>
          <w:color w:val="auto"/>
        </w:rPr>
        <w:t xml:space="preserve">2025 Comprehensive Base Rate Review. </w:t>
      </w:r>
      <w:r>
        <w:rPr>
          <w:rFonts w:ascii="Times New Roman" w:cs="Times New Roman" w:eastAsia="Times New Roman" w:hAnsi="Times New Roman"/>
          <w:sz w:val="18"/>
          <w:szCs w:val="18"/>
          <w:color w:val="auto"/>
        </w:rPr>
        <w:t>In June 2025, Oncor filed a request for a comprehensive base rate review with the PUCT and the 210 cities in its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service territory that have retained original jurisdiction over rates.</w:t>
      </w:r>
    </w:p>
    <w:p>
      <w:pPr>
        <w:spacing w:after="0" w:line="50"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In January 2026, Oncor filed a stipulation in the comprehensive base rate review proceeding requesting PUCT approval of an unopposed, comprehensive settlement among the parties to the proceeding.</w:t>
      </w:r>
    </w:p>
    <w:p>
      <w:pPr>
        <w:spacing w:after="0" w:line="67" w:lineRule="exact"/>
        <w:rPr>
          <w:sz w:val="20"/>
          <w:szCs w:val="20"/>
          <w:color w:val="auto"/>
        </w:rPr>
      </w:pPr>
    </w:p>
    <w:p>
      <w:pPr>
        <w:ind w:right="80"/>
        <w:spacing w:after="0" w:line="285" w:lineRule="auto"/>
        <w:rPr>
          <w:sz w:val="20"/>
          <w:szCs w:val="20"/>
          <w:color w:val="auto"/>
        </w:rPr>
      </w:pPr>
      <w:r>
        <w:rPr>
          <w:rFonts w:ascii="Times New Roman" w:cs="Times New Roman" w:eastAsia="Times New Roman" w:hAnsi="Times New Roman"/>
          <w:sz w:val="17"/>
          <w:szCs w:val="17"/>
          <w:color w:val="auto"/>
        </w:rPr>
        <w:t>On April 17, 2026, the PUCT issued an order in Oncor’s comprehensive base rate review proceeding. The order approves the terms of the settlement and provides for an annual revenue requirement of approximately $6.97 billion, an increase of approximately $560 million, or 8.7%, over Oncor’s adjusted annualized revenues as provided in the rate application. The order also provides for a revised regulatory capital structure ratio of 56.5% debt to 43.5% equity, an authorized ROE of 9.75%, and an authorized cost of debt of 4.94%. This represents an improvement from Oncor’s current authorized regulatory capital structure ratio of 57.5% debt to 42.5% equity, current authorized return on equity of 9.70%, and current authorized cost of debt of 4.39%.</w:t>
      </w:r>
    </w:p>
    <w:p>
      <w:pPr>
        <w:spacing w:after="0" w:line="68" w:lineRule="exact"/>
        <w:rPr>
          <w:sz w:val="20"/>
          <w:szCs w:val="20"/>
          <w:color w:val="auto"/>
        </w:rPr>
      </w:pPr>
    </w:p>
    <w:p>
      <w:pPr>
        <w:jc w:val="both"/>
        <w:ind w:right="140"/>
        <w:spacing w:after="0" w:line="274" w:lineRule="auto"/>
        <w:rPr>
          <w:sz w:val="20"/>
          <w:szCs w:val="20"/>
          <w:color w:val="auto"/>
        </w:rPr>
      </w:pPr>
      <w:r>
        <w:rPr>
          <w:rFonts w:ascii="Times New Roman" w:cs="Times New Roman" w:eastAsia="Times New Roman" w:hAnsi="Times New Roman"/>
          <w:sz w:val="18"/>
          <w:szCs w:val="18"/>
          <w:color w:val="auto"/>
        </w:rPr>
        <w:t>Oncor is permitted to surcharge the difference between the new billing rates and its current rates for the period from January 1, 2026 to June 1, 2026, the effective date of the new rates. The order requires that the surcharge be made through a separate filing and recovered during 2026. Oncor expects to make that filing shortly after the date the new billing rates are effective.</w:t>
      </w:r>
    </w:p>
    <w:p>
      <w:pPr>
        <w:spacing w:after="0" w:line="70"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18"/>
          <w:szCs w:val="18"/>
          <w:b w:val="1"/>
          <w:bCs w:val="1"/>
          <w:color w:val="auto"/>
        </w:rPr>
        <w:t xml:space="preserve">Unified Tracker Mechanism. </w:t>
      </w:r>
      <w:r>
        <w:rPr>
          <w:rFonts w:ascii="Times New Roman" w:cs="Times New Roman" w:eastAsia="Times New Roman" w:hAnsi="Times New Roman"/>
          <w:sz w:val="18"/>
          <w:szCs w:val="18"/>
          <w:color w:val="auto"/>
        </w:rPr>
        <w:t>In June 2025, Texas House Bill 5247 was signed into law and became effective. The bill established the UTM, which allows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qualifying electric utilities to apply for a single interim rate update annually through 2035 for cost recovery of certain transmission and distribution capital investments. Since the June 2025 effective date of the bill, Oncor has recognized and expects to continue recognizing revenues and corresponding regulatory assets for recoverable costs related to UTM-eligible transmission and distribution capital investments, including depreciation expense, carrying costs on unrecovered balances and related taxes.</w:t>
      </w:r>
    </w:p>
    <w:p>
      <w:pPr>
        <w:spacing w:after="0" w:line="64" w:lineRule="exact"/>
        <w:rPr>
          <w:sz w:val="20"/>
          <w:szCs w:val="20"/>
          <w:color w:val="auto"/>
        </w:rPr>
      </w:pPr>
    </w:p>
    <w:p>
      <w:pPr>
        <w:ind w:right="160"/>
        <w:spacing w:after="0" w:line="281" w:lineRule="auto"/>
        <w:rPr>
          <w:sz w:val="20"/>
          <w:szCs w:val="20"/>
          <w:color w:val="auto"/>
        </w:rPr>
      </w:pPr>
      <w:r>
        <w:rPr>
          <w:rFonts w:ascii="Times New Roman" w:cs="Times New Roman" w:eastAsia="Times New Roman" w:hAnsi="Times New Roman"/>
          <w:sz w:val="18"/>
          <w:szCs w:val="18"/>
          <w:color w:val="auto"/>
        </w:rPr>
        <w:t>On April 22, 2026, Oncor filed its first annual UTM application with the PUCT seeking to include in rates approximately $4.4 billion of eligible transmission and distribution net capital investment costs incurred from January 1, 2025 to December 31, 2025. The UTM application is subject to PUCT review and approval. Oncor anticipates an order and updated rates in the second half of 2026.</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Off-Balance Sheet Arrangement</w:t>
      </w:r>
    </w:p>
    <w:p>
      <w:pPr>
        <w:spacing w:after="0" w:line="49" w:lineRule="exact"/>
        <w:rPr>
          <w:sz w:val="20"/>
          <w:szCs w:val="20"/>
          <w:color w:val="auto"/>
        </w:rPr>
      </w:pPr>
    </w:p>
    <w:p>
      <w:pPr>
        <w:ind w:right="420"/>
        <w:spacing w:after="0" w:line="297" w:lineRule="auto"/>
        <w:rPr>
          <w:sz w:val="20"/>
          <w:szCs w:val="20"/>
          <w:color w:val="auto"/>
        </w:rPr>
      </w:pPr>
      <w:r>
        <w:rPr>
          <w:rFonts w:ascii="Times New Roman" w:cs="Times New Roman" w:eastAsia="Times New Roman" w:hAnsi="Times New Roman"/>
          <w:sz w:val="18"/>
          <w:szCs w:val="18"/>
          <w:color w:val="auto"/>
        </w:rPr>
        <w:t>Our investment in Oncor Holdings is a variable interest in an unconsolidated entity. We discuss variable interests in Note 1 of the Notes to Condensed Consolidated Financial Statements.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Sempra Infrastructure</w:t>
      </w:r>
    </w:p>
    <w:p>
      <w:pPr>
        <w:spacing w:after="0" w:line="49" w:lineRule="exact"/>
        <w:rPr>
          <w:sz w:val="20"/>
          <w:szCs w:val="20"/>
          <w:color w:val="auto"/>
        </w:rPr>
      </w:pPr>
    </w:p>
    <w:p>
      <w:pPr>
        <w:ind w:right="80"/>
        <w:spacing w:after="0" w:line="271" w:lineRule="auto"/>
        <w:rPr>
          <w:sz w:val="20"/>
          <w:szCs w:val="20"/>
          <w:color w:val="auto"/>
        </w:rPr>
      </w:pPr>
      <w:r>
        <w:rPr>
          <w:rFonts w:ascii="Times New Roman" w:cs="Times New Roman" w:eastAsia="Times New Roman" w:hAnsi="Times New Roman"/>
          <w:sz w:val="18"/>
          <w:szCs w:val="18"/>
          <w:color w:val="auto"/>
        </w:rPr>
        <w:t>Sempra Infrastructure expects to fund capital expenditures, investments and operations in part with available funds, including existing credit facilities, and cash flows from operations from the Sempra Infrastructure businesses. We expect Sempra Infrastructure will require additional funding for the development and expansion of its portfolio of projects, which may be financed through a combination of funding from the parent and NCI owners, bank financing, issuances of debt, project financing, partnering in JVs and asset sales.</w:t>
      </w:r>
    </w:p>
    <w:p>
      <w:pPr>
        <w:spacing w:after="0" w:line="64" w:lineRule="exact"/>
        <w:rPr>
          <w:sz w:val="20"/>
          <w:szCs w:val="20"/>
          <w:color w:val="auto"/>
        </w:rPr>
      </w:pPr>
    </w:p>
    <w:p>
      <w:pPr>
        <w:ind w:right="240"/>
        <w:spacing w:after="0" w:line="297" w:lineRule="auto"/>
        <w:rPr>
          <w:sz w:val="20"/>
          <w:szCs w:val="20"/>
          <w:color w:val="auto"/>
        </w:rPr>
      </w:pPr>
      <w:r>
        <w:rPr>
          <w:rFonts w:ascii="Times New Roman" w:cs="Times New Roman" w:eastAsia="Times New Roman" w:hAnsi="Times New Roman"/>
          <w:sz w:val="18"/>
          <w:szCs w:val="18"/>
          <w:color w:val="auto"/>
        </w:rPr>
        <w:t>In the three months ended March 31, 2026 and 2025, Sempra Infrastructure distributed $65 million and $38 million, respectively, to its NCI owners, and NCI owners contributed $41 million and $34 million, respectively, to Sempra Infrastructure.</w:t>
      </w:r>
    </w:p>
    <w:p>
      <w:pPr>
        <w:spacing w:after="0" w:line="55" w:lineRule="exact"/>
        <w:rPr>
          <w:sz w:val="20"/>
          <w:szCs w:val="20"/>
          <w:color w:val="auto"/>
        </w:rPr>
      </w:pPr>
    </w:p>
    <w:p>
      <w:pPr>
        <w:ind w:right="20"/>
        <w:spacing w:after="0" w:line="274" w:lineRule="auto"/>
        <w:rPr>
          <w:sz w:val="20"/>
          <w:szCs w:val="20"/>
          <w:color w:val="auto"/>
        </w:rPr>
      </w:pPr>
      <w:r>
        <w:rPr>
          <w:rFonts w:ascii="Times New Roman" w:cs="Times New Roman" w:eastAsia="Times New Roman" w:hAnsi="Times New Roman"/>
          <w:sz w:val="18"/>
          <w:szCs w:val="18"/>
          <w:color w:val="auto"/>
        </w:rPr>
        <w:t>Sempra Infrastructure is in various stages of development or construction of natural gas liquefaction projects, pipeline and terminal projects, and renewable power generation and sequestration projects, which we describe below. The successful development and/or construction of these projects is subject to numerous risks and uncertainties.</w:t>
      </w:r>
    </w:p>
    <w:p>
      <w:pPr>
        <w:spacing w:after="0" w:line="200" w:lineRule="exact"/>
        <w:rPr>
          <w:sz w:val="20"/>
          <w:szCs w:val="20"/>
          <w:color w:val="auto"/>
        </w:rPr>
      </w:pPr>
    </w:p>
    <w:p>
      <w:pPr>
        <w:spacing w:after="0" w:line="34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150495</wp:posOffset>
            </wp:positionV>
            <wp:extent cx="7157720" cy="425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04" w:name="page105"/>
    <w:bookmarkEnd w:id="10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right="40"/>
        <w:spacing w:after="0" w:line="289" w:lineRule="auto"/>
        <w:rPr>
          <w:sz w:val="20"/>
          <w:szCs w:val="20"/>
          <w:color w:val="auto"/>
        </w:rPr>
      </w:pPr>
      <w:r>
        <w:rPr>
          <w:rFonts w:ascii="Times New Roman" w:cs="Times New Roman" w:eastAsia="Times New Roman" w:hAnsi="Times New Roman"/>
          <w:sz w:val="18"/>
          <w:szCs w:val="18"/>
          <w:color w:val="auto"/>
        </w:rPr>
        <w:t>With respect to projects in development, these risks and uncertainties include a variety of factors as applicable depending on the project and many of which are outside our control, including any failure to:</w:t>
      </w:r>
    </w:p>
    <w:p>
      <w:pPr>
        <w:spacing w:after="0" w:line="1" w:lineRule="exact"/>
        <w:rPr>
          <w:sz w:val="20"/>
          <w:szCs w:val="20"/>
          <w:color w:val="auto"/>
        </w:rPr>
      </w:pPr>
    </w:p>
    <w:p>
      <w:pPr>
        <w:ind w:left="160" w:hanging="152"/>
        <w:spacing w:after="0"/>
        <w:tabs>
          <w:tab w:leader="none" w:pos="16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secure binding customer commitments</w:t>
      </w:r>
    </w:p>
    <w:p>
      <w:pPr>
        <w:spacing w:after="0" w:line="63" w:lineRule="exact"/>
        <w:rPr>
          <w:rFonts w:ascii="Times New Roman" w:cs="Times New Roman" w:eastAsia="Times New Roman" w:hAnsi="Times New Roman"/>
          <w:sz w:val="18"/>
          <w:szCs w:val="18"/>
          <w:color w:val="auto"/>
        </w:rPr>
      </w:pPr>
    </w:p>
    <w:p>
      <w:pPr>
        <w:ind w:left="160" w:hanging="152"/>
        <w:spacing w:after="0"/>
        <w:tabs>
          <w:tab w:leader="none" w:pos="16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 suitable project and equity partners</w:t>
      </w:r>
    </w:p>
    <w:p>
      <w:pPr>
        <w:spacing w:after="0" w:line="49" w:lineRule="exact"/>
        <w:rPr>
          <w:rFonts w:ascii="Times New Roman" w:cs="Times New Roman" w:eastAsia="Times New Roman" w:hAnsi="Times New Roman"/>
          <w:sz w:val="18"/>
          <w:szCs w:val="18"/>
          <w:color w:val="auto"/>
        </w:rPr>
      </w:pPr>
    </w:p>
    <w:p>
      <w:pPr>
        <w:ind w:left="160" w:hanging="152"/>
        <w:spacing w:after="0"/>
        <w:tabs>
          <w:tab w:leader="none" w:pos="16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sufficient financing</w:t>
      </w:r>
    </w:p>
    <w:p>
      <w:pPr>
        <w:spacing w:after="0" w:line="49" w:lineRule="exact"/>
        <w:rPr>
          <w:rFonts w:ascii="Times New Roman" w:cs="Times New Roman" w:eastAsia="Times New Roman" w:hAnsi="Times New Roman"/>
          <w:sz w:val="18"/>
          <w:szCs w:val="18"/>
          <w:color w:val="auto"/>
        </w:rPr>
      </w:pPr>
    </w:p>
    <w:p>
      <w:pPr>
        <w:ind w:left="160" w:hanging="152"/>
        <w:spacing w:after="0"/>
        <w:tabs>
          <w:tab w:leader="none" w:pos="16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reach agreement with project partners or other applicable parties to proceed</w:t>
      </w:r>
    </w:p>
    <w:p>
      <w:pPr>
        <w:spacing w:after="0" w:line="63" w:lineRule="exact"/>
        <w:rPr>
          <w:rFonts w:ascii="Times New Roman" w:cs="Times New Roman" w:eastAsia="Times New Roman" w:hAnsi="Times New Roman"/>
          <w:sz w:val="18"/>
          <w:szCs w:val="18"/>
          <w:color w:val="auto"/>
        </w:rPr>
      </w:pPr>
    </w:p>
    <w:p>
      <w:pPr>
        <w:ind w:left="180" w:right="60" w:hanging="172"/>
        <w:spacing w:after="0" w:line="266" w:lineRule="auto"/>
        <w:tabs>
          <w:tab w:leader="none" w:pos="176"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modify, and/or maintain permits and regulatory approvals, including LNG export applications to non-FTA countries and any applicable approvals in Mexico</w:t>
      </w:r>
    </w:p>
    <w:p>
      <w:pPr>
        <w:ind w:left="180" w:right="460" w:hanging="172"/>
        <w:spacing w:after="0" w:line="273" w:lineRule="auto"/>
        <w:tabs>
          <w:tab w:leader="none" w:pos="176"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negotiate, complete and maintain suitable commercial agreements, which may include EPC, tolling, equity acquisition, governance, LNG sales, gas supply and transportation contracts</w:t>
      </w:r>
    </w:p>
    <w:p>
      <w:pPr>
        <w:spacing w:after="0" w:line="1" w:lineRule="exact"/>
        <w:rPr>
          <w:rFonts w:ascii="Times New Roman" w:cs="Times New Roman" w:eastAsia="Times New Roman" w:hAnsi="Times New Roman"/>
          <w:sz w:val="18"/>
          <w:szCs w:val="18"/>
          <w:color w:val="auto"/>
        </w:rPr>
      </w:pPr>
    </w:p>
    <w:p>
      <w:pPr>
        <w:ind w:left="160" w:hanging="152"/>
        <w:spacing w:after="0"/>
        <w:tabs>
          <w:tab w:leader="none" w:pos="16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reach a positive FID</w:t>
      </w:r>
    </w:p>
    <w:p>
      <w:pPr>
        <w:spacing w:after="0" w:line="158" w:lineRule="exact"/>
        <w:rPr>
          <w:sz w:val="20"/>
          <w:szCs w:val="20"/>
          <w:color w:val="auto"/>
        </w:rPr>
      </w:pPr>
    </w:p>
    <w:p>
      <w:pPr>
        <w:ind w:right="420"/>
        <w:spacing w:after="0" w:line="297" w:lineRule="auto"/>
        <w:rPr>
          <w:sz w:val="20"/>
          <w:szCs w:val="20"/>
          <w:color w:val="auto"/>
        </w:rPr>
      </w:pPr>
      <w:r>
        <w:rPr>
          <w:rFonts w:ascii="Times New Roman" w:cs="Times New Roman" w:eastAsia="Times New Roman" w:hAnsi="Times New Roman"/>
          <w:sz w:val="18"/>
          <w:szCs w:val="18"/>
          <w:color w:val="auto"/>
        </w:rPr>
        <w:t>With respect to projects under construction, these risks and uncertainties include, in addition to the risks described above as applicable to each project, construction delays, unforeseen design flaws, cost overruns, stakeholder relations issues and other construction-related issues.</w:t>
      </w:r>
    </w:p>
    <w:p>
      <w:pPr>
        <w:spacing w:after="0" w:line="55" w:lineRule="exact"/>
        <w:rPr>
          <w:sz w:val="20"/>
          <w:szCs w:val="20"/>
          <w:color w:val="auto"/>
        </w:rPr>
      </w:pPr>
    </w:p>
    <w:p>
      <w:pPr>
        <w:jc w:val="both"/>
        <w:ind w:right="100"/>
        <w:spacing w:after="0" w:line="271" w:lineRule="auto"/>
        <w:rPr>
          <w:sz w:val="20"/>
          <w:szCs w:val="20"/>
          <w:color w:val="auto"/>
        </w:rPr>
      </w:pPr>
      <w:r>
        <w:rPr>
          <w:rFonts w:ascii="Times New Roman" w:cs="Times New Roman" w:eastAsia="Times New Roman" w:hAnsi="Times New Roman"/>
          <w:sz w:val="18"/>
          <w:szCs w:val="18"/>
          <w:color w:val="auto"/>
        </w:rPr>
        <w:t>An unfavorable outcome with respect to any of these factors could have a material adverse effect on (i) the development and construction of the applicable project, including a potential impairment of all or a substantial portion of the capital costs invested in the project to date, which could be material, and (ii) for any project that has reached a positive FID, Sempra’s results of operations, financial condition, cash flows and/or prospects. For a further discussion of these risks, see “Part I – Item 1A. Risk Factors” in the Annual Report.</w:t>
      </w:r>
    </w:p>
    <w:p>
      <w:pPr>
        <w:spacing w:after="0" w:line="64"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The descriptions below discuss several HOAs, MOUs and other non-binding development agreements with respect to Sempra Infrastructure’s various development projects. These arrangements do not commit any party to enter into definitive agreements or otherwise participate in the applicable project, and the ultimate participation by the parties remains subject to negotiation and finalization of definitive agreements, among other factors. The descriptions below also discuss certain financing arrangements for several of Sempra Infrastructure’s projects in development and under construction; we discuss these and other financing arrangements related to these projects in more detail in Note 7 of the Notes to Condensed Consolidated Financial Statements in this report and the Notes to Consolidated Financial Statements in the Annual Report.</w:t>
      </w:r>
    </w:p>
    <w:p>
      <w:pPr>
        <w:spacing w:after="0" w:line="82" w:lineRule="exact"/>
        <w:rPr>
          <w:sz w:val="20"/>
          <w:szCs w:val="20"/>
          <w:color w:val="auto"/>
        </w:rPr>
      </w:pPr>
    </w:p>
    <w:p>
      <w:pPr>
        <w:ind w:right="140"/>
        <w:spacing w:after="0" w:line="271" w:lineRule="auto"/>
        <w:rPr>
          <w:sz w:val="20"/>
          <w:szCs w:val="20"/>
          <w:color w:val="auto"/>
        </w:rPr>
      </w:pPr>
      <w:r>
        <w:rPr>
          <w:rFonts w:ascii="Times New Roman" w:cs="Times New Roman" w:eastAsia="Times New Roman" w:hAnsi="Times New Roman"/>
          <w:sz w:val="18"/>
          <w:szCs w:val="18"/>
          <w:color w:val="auto"/>
        </w:rPr>
        <w:t>With respect to each project described below that has reached a positive FID, long-term definitive offtake agreements have been secured with third parties for the full initial offtake or generation capacity of the applicable project, other than an SPA with SI Partners for a portion of the offtake from the PA LNG Phase 2 project, which SI Partners intends to resell to third parties under offtake arrangements it plans to establish from time to time. We describe these SPAs in “Part I – Item 1. Business” in the Annual Report.</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SI Partners</w:t>
      </w:r>
    </w:p>
    <w:p>
      <w:pPr>
        <w:spacing w:after="0" w:line="4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As we discuss in Note 6 of the Notes to Condensed Consolidated Financial Statements, in September 2025, we entered into an agreement to sell a 45% equity interest in SI Partners to the KKR Partners for $9.99 billion, subject to adjustments. We expect this sale to close in the second or third quarter of 2026, subject to certain conditions, including receipt of third-party consents or waivers, including from certain lenders, partners and others; the absence of a material adverse effect on SI Partners; the absence of specific downgrade events under certain financing arrangements; and other customary closing conditions. As a result of satisfying all applicable criteria in September 2025, we classified SI Partners’ assets and liabilities as held for sale and ceased depreciation and amortization.</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agreement provides that, subject to adjustments and the closing date, the purchase price will be paid to Sempra as follows:</w:t>
      </w:r>
    </w:p>
    <w:p>
      <w:pPr>
        <w:spacing w:after="0" w:line="63" w:lineRule="exact"/>
        <w:rPr>
          <w:sz w:val="20"/>
          <w:szCs w:val="20"/>
          <w:color w:val="auto"/>
        </w:rPr>
      </w:pPr>
    </w:p>
    <w:p>
      <w:pPr>
        <w:ind w:left="160" w:hanging="152"/>
        <w:spacing w:after="0"/>
        <w:tabs>
          <w:tab w:leader="none" w:pos="16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$4.65 billion in cash at closing;</w:t>
      </w:r>
    </w:p>
    <w:p>
      <w:pPr>
        <w:spacing w:after="0" w:line="63" w:lineRule="exact"/>
        <w:rPr>
          <w:rFonts w:ascii="Times New Roman" w:cs="Times New Roman" w:eastAsia="Times New Roman" w:hAnsi="Times New Roman"/>
          <w:sz w:val="18"/>
          <w:szCs w:val="18"/>
          <w:color w:val="auto"/>
        </w:rPr>
      </w:pPr>
    </w:p>
    <w:p>
      <w:pPr>
        <w:ind w:left="180" w:right="400" w:hanging="172"/>
        <w:spacing w:after="0" w:line="266" w:lineRule="auto"/>
        <w:tabs>
          <w:tab w:leader="none" w:pos="176"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$4.14 billion plus interest compounded quarterly at 7.5% per annum (totaling $4.72 billion with principal and accrued interest unless paid early) due December 31, 2027 under instruments backed by equity commitment letters; and</w:t>
      </w:r>
    </w:p>
    <w:p>
      <w:pPr>
        <w:ind w:left="180" w:right="220" w:hanging="172"/>
        <w:spacing w:after="0" w:line="282" w:lineRule="auto"/>
        <w:tabs>
          <w:tab w:leader="none" w:pos="176"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$1.2 billion plus interest compounded quarterly at 8.5% per annum before January 1, 2031 and 10.0% per annum thereafter (totaling $2.29 billion with principal and accrued interest unless paid early) due seven years and 91 days after closing under promissory notes.</w:t>
      </w: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150495</wp:posOffset>
            </wp:positionV>
            <wp:extent cx="7157720" cy="425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5" w:name="page106"/>
    <w:bookmarkEnd w:id="10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The purchase price is subject to adjustments for changes in net debt, net working capital and capital expenditures as of December 31, 2025, among others. The purchase price is subject to further adjustments for certain capital contributions by and distributions to Sempra in 2026 before the closing. In addition, transaction fees of the KKR Partners of $337.5 million will be deducted from the purchase price at the closing and a development credit of $340 million will be payable by Sempra over two years starting in 2026. There may also be post-closing purchase price adjustments based on the performance through 2028 of certain wind power facilities, and adjustments payable by Sempra for capital expenditures related to the ECA LNG Phase 1 project under construction and potential costs associated with third party consents or waivers.</w:t>
      </w:r>
    </w:p>
    <w:p>
      <w:pPr>
        <w:spacing w:after="0" w:line="82" w:lineRule="exact"/>
        <w:rPr>
          <w:sz w:val="20"/>
          <w:szCs w:val="20"/>
          <w:color w:val="auto"/>
        </w:rPr>
      </w:pPr>
    </w:p>
    <w:p>
      <w:pPr>
        <w:ind w:right="40"/>
        <w:spacing w:after="0" w:line="271" w:lineRule="auto"/>
        <w:rPr>
          <w:sz w:val="20"/>
          <w:szCs w:val="20"/>
          <w:color w:val="auto"/>
        </w:rPr>
      </w:pPr>
      <w:r>
        <w:rPr>
          <w:rFonts w:ascii="Times New Roman" w:cs="Times New Roman" w:eastAsia="Times New Roman" w:hAnsi="Times New Roman"/>
          <w:sz w:val="18"/>
          <w:szCs w:val="18"/>
          <w:color w:val="auto"/>
        </w:rPr>
        <w:t>Subject to closing, the KKR Partners will own 65% of SI Partners, Sempra will retain a 25% interest and ADIA will retain a 10% interest. We will then deconsolidate SI Partners and account for our 25% interest in SI Partners under the equity method within the existing Sempra Infrastructure segment. For a description of Sempra’s December 31, 2025 and projected post-sale ownership interest in certain Sempra Infrastructure facilities and projects, see “Part I – Item 1. Business” in the Annual Report.</w:t>
      </w:r>
    </w:p>
    <w:p>
      <w:pPr>
        <w:spacing w:after="0" w:line="78" w:lineRule="exact"/>
        <w:rPr>
          <w:sz w:val="20"/>
          <w:szCs w:val="20"/>
          <w:color w:val="auto"/>
        </w:rPr>
      </w:pPr>
    </w:p>
    <w:p>
      <w:pPr>
        <w:ind w:right="200"/>
        <w:spacing w:after="0" w:line="263" w:lineRule="auto"/>
        <w:rPr>
          <w:sz w:val="20"/>
          <w:szCs w:val="20"/>
          <w:color w:val="auto"/>
        </w:rPr>
      </w:pPr>
      <w:r>
        <w:rPr>
          <w:rFonts w:ascii="Times New Roman" w:cs="Times New Roman" w:eastAsia="Times New Roman" w:hAnsi="Times New Roman"/>
          <w:sz w:val="18"/>
          <w:szCs w:val="18"/>
          <w:color w:val="auto"/>
        </w:rPr>
        <w:t>The rights and obligations of the partners of SI Partners are governed by a limited partnership agreement, which will be amended and restated at closing. This limited partnership agreement contains certain provisions on project funding and distributions that could impact Sempra’s results of operations and cash flows. For instance, the existing limited partnership agreement provides for certain priority distributions to one or more of the minority partners if certain cash flow or rate of return performance levels are not achieved or a specified project that reaches a positive FID does not meet certain other conditions by certain dates. In addition, the post-closing limited partnership agreement provides that Sempra will continue to have substantially similar funding obligations as it has before the sale for cost overruns in the ECA LNG Phase 1 project and the PA LNG Phase 1 project. For more information about the terms of the limited partnership agreement, see “Part I – Item 1. Business” and Note 6 of the Notes to Consolidated Financial Statements in the Annual Report.</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LNG</w:t>
      </w:r>
    </w:p>
    <w:p>
      <w:pPr>
        <w:spacing w:after="0" w:line="45" w:lineRule="exact"/>
        <w:rPr>
          <w:sz w:val="20"/>
          <w:szCs w:val="20"/>
          <w:color w:val="auto"/>
        </w:rPr>
      </w:pPr>
    </w:p>
    <w:p>
      <w:pPr>
        <w:spacing w:after="0" w:line="273" w:lineRule="auto"/>
        <w:rPr>
          <w:sz w:val="20"/>
          <w:szCs w:val="20"/>
          <w:color w:val="auto"/>
        </w:rPr>
      </w:pPr>
      <w:r>
        <w:rPr>
          <w:rFonts w:ascii="Times New Roman" w:cs="Times New Roman" w:eastAsia="Times New Roman" w:hAnsi="Times New Roman"/>
          <w:sz w:val="18"/>
          <w:szCs w:val="18"/>
          <w:b w:val="1"/>
          <w:bCs w:val="1"/>
          <w:color w:val="auto"/>
        </w:rPr>
        <w:t xml:space="preserve">Cameron LNG Phase 2 Project. </w:t>
      </w:r>
      <w:r>
        <w:rPr>
          <w:rFonts w:ascii="Times New Roman" w:cs="Times New Roman" w:eastAsia="Times New Roman" w:hAnsi="Times New Roman"/>
          <w:sz w:val="18"/>
          <w:szCs w:val="18"/>
          <w:color w:val="auto"/>
        </w:rPr>
        <w:t>Cameron LNG JV is developing a proposed expansion project that would add one electric drive liquefaction train with 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expected maximum production capacity of approximately 6.75 Mtpa and would increase the production capacity of the existing three trains at the Cameron LNG Phase 1 facility by up to approximately 1 Mtpa through debottlenecking activities. The Cameron LNG JV site can accommodate additional trains beyond the proposed Cameron LNG Phase 2 project.</w:t>
      </w:r>
    </w:p>
    <w:p>
      <w:pPr>
        <w:spacing w:after="0" w:line="61" w:lineRule="exact"/>
        <w:rPr>
          <w:sz w:val="20"/>
          <w:szCs w:val="20"/>
          <w:color w:val="auto"/>
        </w:rPr>
      </w:pPr>
    </w:p>
    <w:p>
      <w:pPr>
        <w:jc w:val="both"/>
        <w:ind w:right="220"/>
        <w:spacing w:after="0" w:line="271" w:lineRule="auto"/>
        <w:rPr>
          <w:sz w:val="20"/>
          <w:szCs w:val="20"/>
          <w:color w:val="auto"/>
        </w:rPr>
      </w:pPr>
      <w:r>
        <w:rPr>
          <w:rFonts w:ascii="Times New Roman" w:cs="Times New Roman" w:eastAsia="Times New Roman" w:hAnsi="Times New Roman"/>
          <w:sz w:val="18"/>
          <w:szCs w:val="18"/>
          <w:color w:val="auto"/>
        </w:rPr>
        <w:t>Cameron LNG JV has received major permits and FTA and non-FTA approvals associated with the potential expansion. In November 2025, we received approval from the FERC to extend the deadline for construction authorization until March 2033. The non-FTA approval for the proposed Cameron LNG Phase 2 project includes, among other things, a May 2026 deadline to commence commercial exports. In April 2026, the DOE extended that deadline to March 2033.</w:t>
      </w:r>
    </w:p>
    <w:p>
      <w:pPr>
        <w:spacing w:after="0" w:line="78" w:lineRule="exact"/>
        <w:rPr>
          <w:sz w:val="20"/>
          <w:szCs w:val="20"/>
          <w:color w:val="auto"/>
        </w:rPr>
      </w:pPr>
    </w:p>
    <w:p>
      <w:pPr>
        <w:ind w:right="120"/>
        <w:spacing w:after="0" w:line="270" w:lineRule="auto"/>
        <w:rPr>
          <w:sz w:val="20"/>
          <w:szCs w:val="20"/>
          <w:color w:val="auto"/>
        </w:rPr>
      </w:pPr>
      <w:r>
        <w:rPr>
          <w:rFonts w:ascii="Times New Roman" w:cs="Times New Roman" w:eastAsia="Times New Roman" w:hAnsi="Times New Roman"/>
          <w:sz w:val="18"/>
          <w:szCs w:val="18"/>
          <w:color w:val="auto"/>
        </w:rPr>
        <w:t>SI Partners and the other Cameron LNG JV members, namely affiliates of TotalEnergies SE, Mitsui &amp; Co., Ltd. and Japan LNG Investment, LLC, have entered into a non-binding HOA for the potential development of the Cameron LNG Phase 2 project. The non-binding HOA provides a commercial framework for the proposed project, including the contemplated allocation to SI Partners of 50.2% of the fourth train production capacity and 25% of the debottlenecking capacity from the project under tolling agreements. The non-binding HOA contemplates the remaining capacity to be allocated equally to the existing Cameron LNG Phase 1 facility customers.</w:t>
      </w:r>
    </w:p>
    <w:p>
      <w:pPr>
        <w:spacing w:after="0" w:line="64" w:lineRule="exact"/>
        <w:rPr>
          <w:sz w:val="20"/>
          <w:szCs w:val="20"/>
          <w:color w:val="auto"/>
        </w:rPr>
      </w:pPr>
    </w:p>
    <w:p>
      <w:pPr>
        <w:ind w:right="780"/>
        <w:spacing w:after="0" w:line="297" w:lineRule="auto"/>
        <w:rPr>
          <w:sz w:val="20"/>
          <w:szCs w:val="20"/>
          <w:color w:val="auto"/>
        </w:rPr>
      </w:pPr>
      <w:r>
        <w:rPr>
          <w:rFonts w:ascii="Times New Roman" w:cs="Times New Roman" w:eastAsia="Times New Roman" w:hAnsi="Times New Roman"/>
          <w:sz w:val="18"/>
          <w:szCs w:val="18"/>
          <w:color w:val="auto"/>
        </w:rPr>
        <w:t>Entergy Louisiana, LLC, a subsidiary of Entergy Corporation, and Cameron LNG JV have an electricity service agreement (and related ancillary agreements) for the supply to Cameron LNG JV of up to 950 MW of power from renewable sources in Louisiana.</w:t>
      </w:r>
    </w:p>
    <w:p>
      <w:pPr>
        <w:spacing w:after="0" w:line="55"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Under the Cameron LNG JV equity agreements, the expansion of the project requires the unanimous consent of all the members, including with respect to the equity investment obligation of each member. Expansion of the Cameron LNG Phase 1 facility beyond the first three trains is also subject to certain restrictions and conditions under the JV project financing agreements, including, among others, scope restrictions on expansion of the project unless appropriate prior consent is obtained from the existing project lenders. An FID remains subject to, among other things, securing these consents of the members and project lenders, satisfactory conclusion on certain ongoing engineering processes and selection of an EPC contractor, negotiation and finalization of definitive offtake agreements and completion of all related financing and permitting activities.</w:t>
      </w:r>
    </w:p>
    <w:p>
      <w:pPr>
        <w:spacing w:after="0" w:line="78" w:lineRule="exact"/>
        <w:rPr>
          <w:sz w:val="20"/>
          <w:szCs w:val="20"/>
          <w:color w:val="auto"/>
        </w:rPr>
      </w:pPr>
    </w:p>
    <w:p>
      <w:pPr>
        <w:ind w:right="160"/>
        <w:spacing w:after="0" w:line="276" w:lineRule="auto"/>
        <w:rPr>
          <w:sz w:val="20"/>
          <w:szCs w:val="20"/>
          <w:color w:val="auto"/>
        </w:rPr>
      </w:pPr>
      <w:r>
        <w:rPr>
          <w:rFonts w:ascii="Times New Roman" w:cs="Times New Roman" w:eastAsia="Times New Roman" w:hAnsi="Times New Roman"/>
          <w:sz w:val="18"/>
          <w:szCs w:val="18"/>
          <w:b w:val="1"/>
          <w:bCs w:val="1"/>
          <w:color w:val="auto"/>
        </w:rPr>
        <w:t xml:space="preserve">ECA LNG Phase 1 Project. </w:t>
      </w:r>
      <w:r>
        <w:rPr>
          <w:rFonts w:ascii="Times New Roman" w:cs="Times New Roman" w:eastAsia="Times New Roman" w:hAnsi="Times New Roman"/>
          <w:sz w:val="18"/>
          <w:szCs w:val="18"/>
          <w:color w:val="auto"/>
        </w:rPr>
        <w:t>ECA LNG Phase 1 is constructing a one-train natural gas liquefaction facility at the site of SI Partners’ existing ECA Regas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Facility with a nameplate capacity of 3.25 Mtpa and an initial offtake capacity of 2.5 Mtpa. We do not expect the construction or operation of the ECA LNG Phase 1 project to disrupt operations at the ECA Regas Facility.</w:t>
      </w:r>
    </w:p>
    <w:p>
      <w:pPr>
        <w:spacing w:after="0" w:line="73"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We received authorizations from the DOE to export U.S.-produced natural gas to Mexico and to re-export LNG to non-FTA countries from the ECA LNG Phase 1 project. In March 2026, the DOE extended the construction deadline associated with the project to September 2026.</w:t>
      </w: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150495</wp:posOffset>
            </wp:positionV>
            <wp:extent cx="7157720" cy="425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06" w:name="page107"/>
    <w:bookmarkEnd w:id="10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We have an EPC contract with TP Oil &amp; Gas Mexico, S. De R.L. De C.V., an affiliate of Technip Energies N.V., to construct the ECA LNG Phase 1 project. We estimate the total price of the EPC contract to be approximately $1.6 billion, with capital expenditures of approximately $2.5 billion including capitalized interest at the project level and project contingency. The actual cost of the EPC contract and the actual amount of these capital expenditures may differ substantially from our estimates. The ECA LNG Phase 1 project achieved mechanical completion in December 2025 and introduced gas into the facility in April 2026. We continue to expect the project to produce LNG in the spring of 2026 during the commissioning period. We are targeting substantial completion in the summer of 2026 and sales under the long-term SPAs shortly thereafter, when the facility commences commercial operations. Prior to substantial completion, net proceeds from LNG sales are recognized as an offset to total project capital expenditures. Reaching substantial completion under the EPC contract is subject to various milestones, including achieving certain performance tests and functionality.</w:t>
      </w:r>
    </w:p>
    <w:p>
      <w:pPr>
        <w:spacing w:after="0" w:line="68" w:lineRule="exact"/>
        <w:rPr>
          <w:sz w:val="20"/>
          <w:szCs w:val="20"/>
          <w:color w:val="auto"/>
        </w:rPr>
      </w:pPr>
    </w:p>
    <w:p>
      <w:pPr>
        <w:ind w:right="380"/>
        <w:spacing w:after="0" w:line="281" w:lineRule="auto"/>
        <w:rPr>
          <w:sz w:val="20"/>
          <w:szCs w:val="20"/>
          <w:color w:val="auto"/>
        </w:rPr>
      </w:pPr>
      <w:r>
        <w:rPr>
          <w:rFonts w:ascii="Times New Roman" w:cs="Times New Roman" w:eastAsia="Times New Roman" w:hAnsi="Times New Roman"/>
          <w:sz w:val="18"/>
          <w:szCs w:val="18"/>
          <w:color w:val="auto"/>
        </w:rPr>
        <w:t>ECA LNG Phase 1’s customers have a termination right under their SPAs if the ECA LNG Phase 1 project does not commence commercial operations under the SPAs by February 24, 2026, subject to certain additional conditions. As of May 7, 2026, no customers have given notice of their intent to terminate the SPAs.</w:t>
      </w:r>
    </w:p>
    <w:p>
      <w:pPr>
        <w:spacing w:after="0" w:line="56" w:lineRule="exact"/>
        <w:rPr>
          <w:sz w:val="20"/>
          <w:szCs w:val="20"/>
          <w:color w:val="auto"/>
        </w:rPr>
      </w:pPr>
    </w:p>
    <w:p>
      <w:pPr>
        <w:ind w:right="60"/>
        <w:spacing w:after="0" w:line="271" w:lineRule="auto"/>
        <w:rPr>
          <w:sz w:val="20"/>
          <w:szCs w:val="20"/>
          <w:color w:val="auto"/>
        </w:rPr>
      </w:pPr>
      <w:r>
        <w:rPr>
          <w:rFonts w:ascii="Times New Roman" w:cs="Times New Roman" w:eastAsia="Times New Roman" w:hAnsi="Times New Roman"/>
          <w:sz w:val="18"/>
          <w:szCs w:val="18"/>
          <w:color w:val="auto"/>
        </w:rPr>
        <w:t>ECA LNG Phase 1 has a loan agreement with a borrowing capacity of $1.5 billion that matures in December 2027. At both March 31, 2026 and December 31, 2025, $1.3 billion of borrowings are outstanding under the loan agreement. IEnova and TotalEnergies SE have provided guarantees for repayment of the loan of up to $1,226 million and $305 million, respectively, plus accrued and unpaid interest. Proceeds from the loan are being used to finance the cost of construction of the ECA LNG Phase 1 project.</w:t>
      </w:r>
    </w:p>
    <w:p>
      <w:pPr>
        <w:spacing w:after="0" w:line="78" w:lineRule="exact"/>
        <w:rPr>
          <w:sz w:val="20"/>
          <w:szCs w:val="20"/>
          <w:color w:val="auto"/>
        </w:rPr>
      </w:pPr>
    </w:p>
    <w:p>
      <w:pPr>
        <w:ind w:right="80"/>
        <w:spacing w:after="0" w:line="274" w:lineRule="auto"/>
        <w:rPr>
          <w:sz w:val="20"/>
          <w:szCs w:val="20"/>
          <w:color w:val="auto"/>
        </w:rPr>
      </w:pPr>
      <w:r>
        <w:rPr>
          <w:rFonts w:ascii="Times New Roman" w:cs="Times New Roman" w:eastAsia="Times New Roman" w:hAnsi="Times New Roman"/>
          <w:sz w:val="18"/>
          <w:szCs w:val="18"/>
          <w:color w:val="auto"/>
        </w:rPr>
        <w:t>With respect to the ECA LNG Phase 1 project and the ECA LNG Phase 2 project that we discuss below, an unfavorable resolution of a land dispute and/or permit challenges, in each case that we discuss in Note 13 of the Notes to Condensed Consolidated Financial Statements, could have a material adverse effect on the development and construction of these projects.</w:t>
      </w:r>
    </w:p>
    <w:p>
      <w:pPr>
        <w:spacing w:after="0" w:line="70" w:lineRule="exact"/>
        <w:rPr>
          <w:sz w:val="20"/>
          <w:szCs w:val="20"/>
          <w:color w:val="auto"/>
        </w:rPr>
      </w:pPr>
    </w:p>
    <w:p>
      <w:pPr>
        <w:ind w:right="40"/>
        <w:spacing w:after="0" w:line="267" w:lineRule="auto"/>
        <w:rPr>
          <w:sz w:val="20"/>
          <w:szCs w:val="20"/>
          <w:color w:val="auto"/>
        </w:rPr>
      </w:pPr>
      <w:r>
        <w:rPr>
          <w:rFonts w:ascii="Times New Roman" w:cs="Times New Roman" w:eastAsia="Times New Roman" w:hAnsi="Times New Roman"/>
          <w:sz w:val="18"/>
          <w:szCs w:val="18"/>
          <w:b w:val="1"/>
          <w:bCs w:val="1"/>
          <w:color w:val="auto"/>
        </w:rPr>
        <w:t xml:space="preserve">ECA LNG Phase 2 Project. </w:t>
      </w:r>
      <w:r>
        <w:rPr>
          <w:rFonts w:ascii="Times New Roman" w:cs="Times New Roman" w:eastAsia="Times New Roman" w:hAnsi="Times New Roman"/>
          <w:sz w:val="18"/>
          <w:szCs w:val="18"/>
          <w:color w:val="auto"/>
        </w:rPr>
        <w:t>SI Partners is developing a second, large-scale natural gas liquefaction project at the site of its existing ECA Regas Facility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Baja California, Mexico. We expect the proposed ECA LNG Phase 2 project to be comprised of multiple trains and one additional LNG storage tank and produce approximately 12 Mtpa of export capacity. We expect that future construction of the proposed ECA LNG Phase 2 project would conflict with the current operations at the ECA Regas Facility, which has a firm storage and nitrogen injection service agreement that expires in May 2028, to the extent this agreement has not expired or has not been earlier terminated at the time of such construction.</w:t>
      </w:r>
    </w:p>
    <w:p>
      <w:pPr>
        <w:spacing w:after="0" w:line="81" w:lineRule="exact"/>
        <w:rPr>
          <w:sz w:val="20"/>
          <w:szCs w:val="20"/>
          <w:color w:val="auto"/>
        </w:rPr>
      </w:pPr>
    </w:p>
    <w:p>
      <w:pPr>
        <w:ind w:right="220"/>
        <w:spacing w:after="0" w:line="297" w:lineRule="auto"/>
        <w:rPr>
          <w:sz w:val="20"/>
          <w:szCs w:val="20"/>
          <w:color w:val="auto"/>
        </w:rPr>
      </w:pPr>
      <w:r>
        <w:rPr>
          <w:rFonts w:ascii="Times New Roman" w:cs="Times New Roman" w:eastAsia="Times New Roman" w:hAnsi="Times New Roman"/>
          <w:sz w:val="18"/>
          <w:szCs w:val="18"/>
          <w:color w:val="auto"/>
        </w:rPr>
        <w:t>We received authorizations from the DOE to export U.S.-produced natural gas to Mexico and to re-export LNG to non-FTA countries from the proposed ECA LNG Phase 2 project. In February 2026, the DOE extended the construction deadline associated with the project to December 2029.</w:t>
      </w:r>
    </w:p>
    <w:p>
      <w:pPr>
        <w:spacing w:after="0" w:line="41" w:lineRule="exact"/>
        <w:rPr>
          <w:sz w:val="20"/>
          <w:szCs w:val="20"/>
          <w:color w:val="auto"/>
        </w:rPr>
      </w:pPr>
    </w:p>
    <w:p>
      <w:pPr>
        <w:ind w:right="540"/>
        <w:spacing w:after="0" w:line="297" w:lineRule="auto"/>
        <w:rPr>
          <w:sz w:val="20"/>
          <w:szCs w:val="20"/>
          <w:color w:val="auto"/>
        </w:rPr>
      </w:pPr>
      <w:r>
        <w:rPr>
          <w:rFonts w:ascii="Times New Roman" w:cs="Times New Roman" w:eastAsia="Times New Roman" w:hAnsi="Times New Roman"/>
          <w:sz w:val="18"/>
          <w:szCs w:val="18"/>
          <w:color w:val="auto"/>
        </w:rPr>
        <w:t>We have non-binding MOUs and/or HOAs that provide a framework for potential offtake of LNG from the proposed ECA LNG Phase 2 project and potential acquisition of equity interests in ECA LNG Phase 2.</w:t>
      </w:r>
    </w:p>
    <w:p>
      <w:pPr>
        <w:spacing w:after="0" w:line="51" w:lineRule="exact"/>
        <w:rPr>
          <w:sz w:val="20"/>
          <w:szCs w:val="20"/>
          <w:color w:val="auto"/>
        </w:rPr>
      </w:pPr>
    </w:p>
    <w:p>
      <w:pPr>
        <w:ind w:right="180"/>
        <w:spacing w:after="0" w:line="273" w:lineRule="auto"/>
        <w:rPr>
          <w:sz w:val="20"/>
          <w:szCs w:val="20"/>
          <w:color w:val="auto"/>
        </w:rPr>
      </w:pPr>
      <w:r>
        <w:rPr>
          <w:rFonts w:ascii="Times New Roman" w:cs="Times New Roman" w:eastAsia="Times New Roman" w:hAnsi="Times New Roman"/>
          <w:sz w:val="18"/>
          <w:szCs w:val="18"/>
          <w:b w:val="1"/>
          <w:bCs w:val="1"/>
          <w:color w:val="auto"/>
        </w:rPr>
        <w:t xml:space="preserve">PA LNG Phase 1 Project. </w:t>
      </w:r>
      <w:r>
        <w:rPr>
          <w:rFonts w:ascii="Times New Roman" w:cs="Times New Roman" w:eastAsia="Times New Roman" w:hAnsi="Times New Roman"/>
          <w:sz w:val="18"/>
          <w:szCs w:val="18"/>
          <w:color w:val="auto"/>
        </w:rPr>
        <w:t>SI Partners is constructing a natural gas liquefaction project on a greenfield site that it owns in the vicinity of Port Arthur,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Texas, located along the Sabine-Neches waterway. The PA LNG Phase 1 project will consist of two liquefaction trains, two LNG storage tanks, a marine berth and associated loading facilities and related infrastructure necessary to provide liquefaction services with a nameplate capacity of approximately 13 Mtpa and an initial offtake capacity of approximately 10.5 Mtpa.</w:t>
      </w:r>
    </w:p>
    <w:p>
      <w:pPr>
        <w:spacing w:after="0" w:line="61" w:lineRule="exact"/>
        <w:rPr>
          <w:sz w:val="20"/>
          <w:szCs w:val="20"/>
          <w:color w:val="auto"/>
        </w:rPr>
      </w:pPr>
    </w:p>
    <w:p>
      <w:pPr>
        <w:ind w:right="280"/>
        <w:spacing w:after="0" w:line="297" w:lineRule="auto"/>
        <w:rPr>
          <w:sz w:val="20"/>
          <w:szCs w:val="20"/>
          <w:color w:val="auto"/>
        </w:rPr>
      </w:pPr>
      <w:r>
        <w:rPr>
          <w:rFonts w:ascii="Times New Roman" w:cs="Times New Roman" w:eastAsia="Times New Roman" w:hAnsi="Times New Roman"/>
          <w:sz w:val="18"/>
          <w:szCs w:val="18"/>
          <w:color w:val="auto"/>
        </w:rPr>
        <w:t>SI Partners has received authorizations from the DOE that permit the export of LNG to be produced from the PA LNG Phase 1 project to all current and future FTA and non-FTA countries, and from the FERC for the siting, construction and operation of the PA LNG Phase 1 project.</w:t>
      </w:r>
    </w:p>
    <w:p>
      <w:pPr>
        <w:spacing w:after="0" w:line="55"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We have an EPC contract with Bechtel to construct the PA LNG Phase 1 project, which has an estimated price of approximately $10.8 billion, with capital expenditures for the project of approximately $13 billion including capitalized interest at the project level and project contingency. The actual cost of the EPC contract and the actual amount of these capital expenditures may differ substantially from our estimates. The first train of the Port Arthur LNG liquefaction project remains on schedule, and we continue to expect the first and second trains to commence commercial operations at or near the end of 2027 and in 2028, respectively.</w:t>
      </w:r>
    </w:p>
    <w:p>
      <w:pPr>
        <w:spacing w:after="0" w:line="81"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18"/>
          <w:szCs w:val="18"/>
          <w:color w:val="auto"/>
        </w:rPr>
        <w:t>Port Arthur LNG I has a seven-year term loan facility for an aggregate principal amount of approximately $6.8 billion and an initial working capital facility for up to $200 million, each of which matures in March 2030. At March 31, 2026 and December 31, 2025, $3.8 billion and $3.2 billion, respectively, of borrowings are outstanding, and previous borrowings totaling $983 million have been repaid and cannot be reborrowed under the term loan facility agreement. Proceeds from the loan are being used to finance the cost of construction of the PA LNG Phase 1 project.</w:t>
      </w:r>
    </w:p>
    <w:p>
      <w:pPr>
        <w:spacing w:after="0" w:line="200" w:lineRule="exact"/>
        <w:rPr>
          <w:sz w:val="20"/>
          <w:szCs w:val="20"/>
          <w:color w:val="auto"/>
        </w:rPr>
      </w:pPr>
    </w:p>
    <w:p>
      <w:pPr>
        <w:spacing w:after="0" w:line="3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150495</wp:posOffset>
            </wp:positionV>
            <wp:extent cx="7157720" cy="425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07" w:name="page108"/>
    <w:bookmarkEnd w:id="10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right="80"/>
        <w:spacing w:after="0" w:line="271" w:lineRule="auto"/>
        <w:rPr>
          <w:sz w:val="20"/>
          <w:szCs w:val="20"/>
          <w:color w:val="auto"/>
        </w:rPr>
      </w:pPr>
      <w:r>
        <w:rPr>
          <w:rFonts w:ascii="Times New Roman" w:cs="Times New Roman" w:eastAsia="Times New Roman" w:hAnsi="Times New Roman"/>
          <w:sz w:val="18"/>
          <w:szCs w:val="18"/>
          <w:color w:val="auto"/>
        </w:rPr>
        <w:t>SI Partners and ConocoPhillips have provided guarantees relating to their respective affiliate’s commitment to make its pro rata equity share of capital contributions to fund 110% of the development budget of the PA LNG Phase 1 project, in an aggregate amount of up to $9.0 billion. SI Partners’ guarantee covers 70% of this amount plus enforcement costs of its guarantee. As of March 31, 2026, an aggregate amount of $2.7 billion has been paid by SI Partners’ subsidiary in satisfaction of its commitment to fund its portion of the development budget of the PA LNG Phase 1 project.</w:t>
      </w:r>
    </w:p>
    <w:p>
      <w:pPr>
        <w:spacing w:after="0" w:line="78" w:lineRule="exact"/>
        <w:rPr>
          <w:sz w:val="20"/>
          <w:szCs w:val="20"/>
          <w:color w:val="auto"/>
        </w:rPr>
      </w:pPr>
    </w:p>
    <w:p>
      <w:pPr>
        <w:ind w:right="340"/>
        <w:spacing w:after="0" w:line="271" w:lineRule="auto"/>
        <w:rPr>
          <w:sz w:val="20"/>
          <w:szCs w:val="20"/>
          <w:color w:val="auto"/>
        </w:rPr>
      </w:pPr>
      <w:r>
        <w:rPr>
          <w:rFonts w:ascii="Times New Roman" w:cs="Times New Roman" w:eastAsia="Times New Roman" w:hAnsi="Times New Roman"/>
          <w:sz w:val="18"/>
          <w:szCs w:val="18"/>
          <w:color w:val="auto"/>
        </w:rPr>
        <w:t>As we discuss in Note 13 of the Notes to Condensed Consolidated Financial Statements, in April 2025, an incident occurred at the site of the PA LNG Phase 1 project that resulted in the deaths of three Bechtel employees and injuries to two Bechtel employees. As of May 4, 2026, there are two pending lawsuits filed by 17 plaintiffs related to the incident. Bechtel is providing indemnity pursuant to the terms of Port Arthur LNG I’s EPC contract and is continuing construction of the PA LNG Phase 1 project.</w:t>
      </w:r>
    </w:p>
    <w:p>
      <w:pPr>
        <w:spacing w:after="0" w:line="60" w:lineRule="exact"/>
        <w:rPr>
          <w:sz w:val="20"/>
          <w:szCs w:val="20"/>
          <w:color w:val="auto"/>
        </w:rPr>
      </w:pPr>
    </w:p>
    <w:p>
      <w:pPr>
        <w:jc w:val="both"/>
        <w:ind w:right="40"/>
        <w:spacing w:after="0" w:line="284" w:lineRule="auto"/>
        <w:rPr>
          <w:sz w:val="20"/>
          <w:szCs w:val="20"/>
          <w:color w:val="auto"/>
        </w:rPr>
      </w:pPr>
      <w:r>
        <w:rPr>
          <w:rFonts w:ascii="Times New Roman" w:cs="Times New Roman" w:eastAsia="Times New Roman" w:hAnsi="Times New Roman"/>
          <w:sz w:val="18"/>
          <w:szCs w:val="18"/>
          <w:b w:val="1"/>
          <w:bCs w:val="1"/>
          <w:color w:val="auto"/>
        </w:rPr>
        <w:t xml:space="preserve">PA LNG Phase 2 Project. </w:t>
      </w:r>
      <w:r>
        <w:rPr>
          <w:rFonts w:ascii="Times New Roman" w:cs="Times New Roman" w:eastAsia="Times New Roman" w:hAnsi="Times New Roman"/>
          <w:sz w:val="18"/>
          <w:szCs w:val="18"/>
          <w:color w:val="auto"/>
        </w:rPr>
        <w:t>Since reaching a positive FID in September 2025, SI Partners has commenced construction of a second phase of the Port Arthur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LNG liquefaction project that we expect will be a similar size to the PA LNG Phase 1 project. The PA LNG Phase 2 project will consist of two liquefaction trains, one LNG storage tank, and associated facilities with a nameplate capacity of approximately 13 Mtpa.</w:t>
      </w:r>
    </w:p>
    <w:p>
      <w:pPr>
        <w:spacing w:after="0" w:line="52" w:lineRule="exact"/>
        <w:rPr>
          <w:sz w:val="20"/>
          <w:szCs w:val="20"/>
          <w:color w:val="auto"/>
        </w:rPr>
      </w:pPr>
    </w:p>
    <w:p>
      <w:pPr>
        <w:ind w:right="300"/>
        <w:spacing w:after="0" w:line="297" w:lineRule="auto"/>
        <w:rPr>
          <w:sz w:val="20"/>
          <w:szCs w:val="20"/>
          <w:color w:val="auto"/>
        </w:rPr>
      </w:pPr>
      <w:r>
        <w:rPr>
          <w:rFonts w:ascii="Times New Roman" w:cs="Times New Roman" w:eastAsia="Times New Roman" w:hAnsi="Times New Roman"/>
          <w:sz w:val="18"/>
          <w:szCs w:val="18"/>
          <w:color w:val="auto"/>
        </w:rPr>
        <w:t>SI Partners has received authorizations from the DOE that permit the export of LNG to be produced from the PA LNG Phase 2 project to all current and future FTA and non-FTA countries, and from the FERC for the siting, construction and operation of the PA LNG Phase 2 project.</w:t>
      </w:r>
    </w:p>
    <w:p>
      <w:pPr>
        <w:spacing w:after="0" w:line="55"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We have an EPC contract with Bechtel to construct the PA LNG Phase 2 project, which has an estimated price of approximately $9.2 billion, with capital expenditures of approximately $14 billion, including, among other items, project contingency and a $1.9 billion true-up payment to the PA LNG Phase 1 project to acquire a 50% interest in the shared common facilities. The actual cost of the EPC contract and the actual amount of these capital expenditures may differ substantially from our estimates. We expect the third and fourth trains of the Port Arthur LNG liquefaction project to commence commercial operations in 2030 and 2031, respectively.</w:t>
      </w:r>
    </w:p>
    <w:p>
      <w:pPr>
        <w:spacing w:after="0" w:line="81" w:lineRule="exact"/>
        <w:rPr>
          <w:sz w:val="20"/>
          <w:szCs w:val="20"/>
          <w:color w:val="auto"/>
        </w:rPr>
      </w:pPr>
    </w:p>
    <w:p>
      <w:pPr>
        <w:ind w:right="60"/>
        <w:spacing w:after="0" w:line="263" w:lineRule="auto"/>
        <w:rPr>
          <w:sz w:val="20"/>
          <w:szCs w:val="20"/>
          <w:color w:val="auto"/>
        </w:rPr>
      </w:pPr>
      <w:r>
        <w:rPr>
          <w:rFonts w:ascii="Times New Roman" w:cs="Times New Roman" w:eastAsia="Times New Roman" w:hAnsi="Times New Roman"/>
          <w:sz w:val="18"/>
          <w:szCs w:val="18"/>
          <w:color w:val="auto"/>
        </w:rPr>
        <w:t>As we discuss in Note 10 of the Notes to Condensed Consolidated Financial Statements, in September 2025, PA2 JVCo issued 49.9% of its equity interests to Blackstone for $3.4 billion in cash at closing and a commitment to fund an additional $3.6 billion of capital contributions on a pre-determined funding schedule whereby Blackstone’s capital contributions are scheduled prior to SI Partners’ capital contributions. SI Partners holds the remaining 50.1% of equity interests in PA2 JVCo, and has committed to fund up to $7.8 billion to PA2 JVCo to support its share of the budgeted PA LNG Phase 2 project construction costs. SI Partners will continue to consolidate PA2 JVCo and direct the activities related to the construction and future operation and maintenance of the PA LNG Phase 2 project. Blackstone’s equity interest is subject to redemption and exit rights that are outside the control of SI Partners and Blackstone. As a result, we account for Blackstone’s NCI as being contingently redeemable, which is presented as CRNCI on Sempra’s Condensed Consolidated Balance Sheets.</w:t>
      </w:r>
    </w:p>
    <w:p>
      <w:pPr>
        <w:spacing w:after="0" w:line="89"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18"/>
          <w:szCs w:val="18"/>
          <w:color w:val="auto"/>
        </w:rPr>
        <w:t>To secure gas supply for the PA LNG Phase 2 project, SI Partners entered into a natural gas transportation agreement with a third-party pipeline developer. The transportation capacity commitment is subject to completion of pipeline construction by a third-party developer that is expected to occur by early 2029. SI Partners holds a contractual option to acquire the third party’s interest in the pipeline if certain construction milestones are not met, which acquisition would release SI Partners from the associated capacity commitment.</w:t>
      </w:r>
    </w:p>
    <w:p>
      <w:pPr>
        <w:spacing w:after="0" w:line="74" w:lineRule="exact"/>
        <w:rPr>
          <w:sz w:val="20"/>
          <w:szCs w:val="20"/>
          <w:color w:val="auto"/>
        </w:rPr>
      </w:pPr>
    </w:p>
    <w:p>
      <w:pPr>
        <w:ind w:right="60"/>
        <w:spacing w:after="0" w:line="267" w:lineRule="auto"/>
        <w:rPr>
          <w:sz w:val="20"/>
          <w:szCs w:val="20"/>
          <w:color w:val="auto"/>
        </w:rPr>
      </w:pPr>
      <w:r>
        <w:rPr>
          <w:rFonts w:ascii="Times New Roman" w:cs="Times New Roman" w:eastAsia="Times New Roman" w:hAnsi="Times New Roman"/>
          <w:sz w:val="18"/>
          <w:szCs w:val="18"/>
          <w:b w:val="1"/>
          <w:bCs w:val="1"/>
          <w:color w:val="auto"/>
        </w:rPr>
        <w:t xml:space="preserve">Asset and Supply Optimization. </w:t>
      </w:r>
      <w:r>
        <w:rPr>
          <w:rFonts w:ascii="Times New Roman" w:cs="Times New Roman" w:eastAsia="Times New Roman" w:hAnsi="Times New Roman"/>
          <w:sz w:val="18"/>
          <w:szCs w:val="18"/>
          <w:color w:val="auto"/>
        </w:rPr>
        <w:t>As we discuss in “Part II – Item 7A. Quantitative and Qualitative Disclosures About Market Risk” in the Annual Report,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SI Partners enters into hedging transactions to help mitigate commodity price risk and optimize the value of its LNG, natural gas pipelines and storage, and power-generating assets. Some of these derivatives that we use as economic hedges do not meet the requirements for hedge accounting, or hedge accounting is not elected, and as a result, the changes in fair value of these derivatives are recorded in earnings. Consequently, significant changes in commodity prices have in the past and could in the future result in earnings volatility, which may be material, as the economic offset of these derivatives may not be recorded at fair value.</w:t>
      </w:r>
    </w:p>
    <w:p>
      <w:pPr>
        <w:spacing w:after="0" w:line="76"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Off-Balance Sheet Arrangements. </w:t>
      </w:r>
      <w:r>
        <w:rPr>
          <w:rFonts w:ascii="Times New Roman" w:cs="Times New Roman" w:eastAsia="Times New Roman" w:hAnsi="Times New Roman"/>
          <w:sz w:val="18"/>
          <w:szCs w:val="18"/>
          <w:color w:val="auto"/>
        </w:rPr>
        <w:t>Our investment in Cameron LNG JV is a variable interest in an unconsolidated entity. We discuss variable interests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Note 1 of the Notes to Condensed Consolidated Financial Statements.</w:t>
      </w:r>
    </w:p>
    <w:p>
      <w:pPr>
        <w:spacing w:after="0" w:line="64" w:lineRule="exact"/>
        <w:rPr>
          <w:sz w:val="20"/>
          <w:szCs w:val="20"/>
          <w:color w:val="auto"/>
        </w:rPr>
      </w:pPr>
    </w:p>
    <w:p>
      <w:pPr>
        <w:ind w:right="220"/>
        <w:spacing w:after="0" w:line="271" w:lineRule="auto"/>
        <w:rPr>
          <w:sz w:val="20"/>
          <w:szCs w:val="20"/>
          <w:color w:val="auto"/>
        </w:rPr>
      </w:pPr>
      <w:r>
        <w:rPr>
          <w:rFonts w:ascii="Times New Roman" w:cs="Times New Roman" w:eastAsia="Times New Roman" w:hAnsi="Times New Roman"/>
          <w:sz w:val="18"/>
          <w:szCs w:val="18"/>
          <w:color w:val="auto"/>
        </w:rPr>
        <w:t>In February 2025, SI Partners entered into a credit support agreement related to a customer’s secured borrowing for repayment of its past due account balance, which constitutes a guarantee, for the benefit of a third-party financial institution. At March 31, 2026, SI Partners’ maximum exposure to loss is $29 million. The guarantee will terminate in May 2026. We discuss this guarantee in Note 13 of the Notes to Condensed Consolidated Financial Statements.</w:t>
      </w:r>
    </w:p>
    <w:p>
      <w:pPr>
        <w:spacing w:after="0" w:line="200" w:lineRule="exact"/>
        <w:rPr>
          <w:sz w:val="20"/>
          <w:szCs w:val="20"/>
          <w:color w:val="auto"/>
        </w:rPr>
      </w:pPr>
    </w:p>
    <w:p>
      <w:pPr>
        <w:spacing w:after="0" w:line="3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150495</wp:posOffset>
            </wp:positionV>
            <wp:extent cx="7157720" cy="425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8" w:name="page109"/>
    <w:bookmarkEnd w:id="10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ind w:right="140"/>
        <w:spacing w:after="0" w:line="274" w:lineRule="auto"/>
        <w:rPr>
          <w:sz w:val="20"/>
          <w:szCs w:val="20"/>
          <w:color w:val="auto"/>
        </w:rPr>
      </w:pPr>
      <w:r>
        <w:rPr>
          <w:rFonts w:ascii="Times New Roman" w:cs="Times New Roman" w:eastAsia="Times New Roman" w:hAnsi="Times New Roman"/>
          <w:sz w:val="18"/>
          <w:szCs w:val="18"/>
          <w:color w:val="auto"/>
        </w:rPr>
        <w:t>In June 2021, Sempra provided a promissory note, which constitutes a guarantee for the benefit of Cameron LNG JV with a maximum exposure to loss of $165 million. The guarantee will terminate upon full repayment of Cameron LNG JV’s debt, scheduled to occur in 2039, or replenishment of the amount withdrawn by Sempra from the SDSRA. We discuss this guarantee in Note 13 of the Notes to Condensed Consolidated Financial Statements.</w:t>
      </w:r>
    </w:p>
    <w:p>
      <w:pPr>
        <w:spacing w:after="0" w:line="74" w:lineRule="exact"/>
        <w:rPr>
          <w:sz w:val="20"/>
          <w:szCs w:val="20"/>
          <w:color w:val="auto"/>
        </w:rPr>
      </w:pPr>
    </w:p>
    <w:p>
      <w:pPr>
        <w:ind w:right="160"/>
        <w:spacing w:after="0" w:line="271" w:lineRule="auto"/>
        <w:rPr>
          <w:sz w:val="20"/>
          <w:szCs w:val="20"/>
          <w:color w:val="auto"/>
        </w:rPr>
      </w:pPr>
      <w:r>
        <w:rPr>
          <w:rFonts w:ascii="Times New Roman" w:cs="Times New Roman" w:eastAsia="Times New Roman" w:hAnsi="Times New Roman"/>
          <w:sz w:val="18"/>
          <w:szCs w:val="18"/>
          <w:color w:val="auto"/>
        </w:rPr>
        <w:t>In July 2020, Sempra entered into the Support Agreement, which contains a guarantee and represents a variable interest, for the benefit of CFIN with a maximum exposure to loss of $979 million. The guarantee will terminate upon full repayment of the guaranteed debt by 2039, including repayment following an event in which the guaranteed debt is put to Sempra. We discuss this guarantee in Notes 1, 9 and 13 of the Notes to Condensed Consolidated Financial Statements.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Energy Networks</w:t>
      </w:r>
    </w:p>
    <w:p>
      <w:pPr>
        <w:spacing w:after="0" w:line="45" w:lineRule="exact"/>
        <w:rPr>
          <w:sz w:val="20"/>
          <w:szCs w:val="20"/>
          <w:color w:val="auto"/>
        </w:rPr>
      </w:pPr>
    </w:p>
    <w:p>
      <w:pPr>
        <w:ind w:right="120"/>
        <w:spacing w:after="0" w:line="267" w:lineRule="auto"/>
        <w:rPr>
          <w:sz w:val="20"/>
          <w:szCs w:val="20"/>
          <w:color w:val="auto"/>
        </w:rPr>
      </w:pPr>
      <w:r>
        <w:rPr>
          <w:rFonts w:ascii="Times New Roman" w:cs="Times New Roman" w:eastAsia="Times New Roman" w:hAnsi="Times New Roman"/>
          <w:sz w:val="18"/>
          <w:szCs w:val="18"/>
          <w:b w:val="1"/>
          <w:bCs w:val="1"/>
          <w:color w:val="auto"/>
        </w:rPr>
        <w:t xml:space="preserve">Ecogas. </w:t>
      </w:r>
      <w:r>
        <w:rPr>
          <w:rFonts w:ascii="Times New Roman" w:cs="Times New Roman" w:eastAsia="Times New Roman" w:hAnsi="Times New Roman"/>
          <w:sz w:val="18"/>
          <w:szCs w:val="18"/>
          <w:color w:val="auto"/>
        </w:rPr>
        <w:t>As we discuss in Note 6 of the Notes to Condensed Consolidated Financial Statements, in December 2025, we entered into an agreement to sell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Ecogas for 9.0 billion Mexican pesos (approximately $500 million in U.S. dollar-equivalent at March 31, 2026), subject to adjustments. In the first quarter of 2026, we entered into contingent foreign currency hedges, which we discuss in Note 8, that are designed to fix the exchange rate associated with the anticipated after-tax net proceeds. We expect to complete the sale in the second or third quarter of 2026, subject to closing conditions. As a result of satisfying all applicable criteria in June 2025, we classified Ecogas’ assets and liabilities as held for sale and ceased depreciation and amortization.</w:t>
      </w:r>
    </w:p>
    <w:p>
      <w:pPr>
        <w:spacing w:after="0" w:line="77" w:lineRule="exact"/>
        <w:rPr>
          <w:sz w:val="20"/>
          <w:szCs w:val="20"/>
          <w:color w:val="auto"/>
        </w:rPr>
      </w:pPr>
    </w:p>
    <w:p>
      <w:pPr>
        <w:ind w:right="260"/>
        <w:spacing w:after="0" w:line="267" w:lineRule="auto"/>
        <w:rPr>
          <w:sz w:val="20"/>
          <w:szCs w:val="20"/>
          <w:color w:val="auto"/>
        </w:rPr>
      </w:pPr>
      <w:r>
        <w:rPr>
          <w:rFonts w:ascii="Times New Roman" w:cs="Times New Roman" w:eastAsia="Times New Roman" w:hAnsi="Times New Roman"/>
          <w:sz w:val="18"/>
          <w:szCs w:val="18"/>
          <w:b w:val="1"/>
          <w:bCs w:val="1"/>
          <w:color w:val="auto"/>
        </w:rPr>
        <w:t xml:space="preserve">Louisiana Storage. </w:t>
      </w:r>
      <w:r>
        <w:rPr>
          <w:rFonts w:ascii="Times New Roman" w:cs="Times New Roman" w:eastAsia="Times New Roman" w:hAnsi="Times New Roman"/>
          <w:sz w:val="18"/>
          <w:szCs w:val="18"/>
          <w:color w:val="auto"/>
        </w:rPr>
        <w:t>SI Partners is constructing Louisiana Storage, a 12.5-billion-cubic-feet salt dome natural gas storage facility to support the PA LNG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Phase 1 project. The construction includes an 11-mile pipeline that will connect to the Port Arthur Pipeline Louisiana Connector. We estimate the capital expenditures for the project will be approximately $400 million, including capitalized interest at the project level and project contingency. The actual amount of capital expenditures may differ substantially from our estimates. We expect Louisiana Storage to be ready for service in time to support the needs of the PA LNG Phase 1 project.</w:t>
      </w:r>
    </w:p>
    <w:p>
      <w:pPr>
        <w:spacing w:after="0" w:line="77" w:lineRule="exact"/>
        <w:rPr>
          <w:sz w:val="20"/>
          <w:szCs w:val="20"/>
          <w:color w:val="auto"/>
        </w:rPr>
      </w:pPr>
    </w:p>
    <w:p>
      <w:pPr>
        <w:ind w:right="200"/>
        <w:spacing w:after="0" w:line="302" w:lineRule="auto"/>
        <w:rPr>
          <w:sz w:val="20"/>
          <w:szCs w:val="20"/>
          <w:color w:val="auto"/>
        </w:rPr>
      </w:pPr>
      <w:r>
        <w:rPr>
          <w:rFonts w:ascii="Times New Roman" w:cs="Times New Roman" w:eastAsia="Times New Roman" w:hAnsi="Times New Roman"/>
          <w:sz w:val="18"/>
          <w:szCs w:val="18"/>
          <w:b w:val="1"/>
          <w:bCs w:val="1"/>
          <w:color w:val="auto"/>
        </w:rPr>
        <w:t xml:space="preserve">Port Arthur Pipeline Louisiana Connector. </w:t>
      </w:r>
      <w:r>
        <w:rPr>
          <w:rFonts w:ascii="Times New Roman" w:cs="Times New Roman" w:eastAsia="Times New Roman" w:hAnsi="Times New Roman"/>
          <w:sz w:val="18"/>
          <w:szCs w:val="18"/>
          <w:color w:val="auto"/>
        </w:rPr>
        <w:t>SI Partners is constructing the Port Arthur Pipeline Louisiana Connector, a 72-mile pipeline connecting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 LNG Phase 1 project to Gillis, Louisiana.</w:t>
      </w:r>
    </w:p>
    <w:p>
      <w:pPr>
        <w:spacing w:after="0" w:line="37" w:lineRule="exact"/>
        <w:rPr>
          <w:sz w:val="20"/>
          <w:szCs w:val="20"/>
          <w:color w:val="auto"/>
        </w:rPr>
      </w:pPr>
    </w:p>
    <w:p>
      <w:pPr>
        <w:ind w:right="20"/>
        <w:spacing w:after="0" w:line="271" w:lineRule="auto"/>
        <w:rPr>
          <w:sz w:val="20"/>
          <w:szCs w:val="20"/>
          <w:color w:val="auto"/>
        </w:rPr>
      </w:pPr>
      <w:r>
        <w:rPr>
          <w:rFonts w:ascii="Times New Roman" w:cs="Times New Roman" w:eastAsia="Times New Roman" w:hAnsi="Times New Roman"/>
          <w:sz w:val="18"/>
          <w:szCs w:val="18"/>
          <w:color w:val="auto"/>
        </w:rPr>
        <w:t>The FERC approved the siting, construction and operation of the Port Arthur Pipeline Louisiana Connector, which will be used to supply feed gas to the PA LNG Phase 1 project. Sempra Infrastructure received FERC approval to implement construction process enhancements and minor modifications to several discrete sections of the Port Arthur Pipeline Louisiana Connector. These modifications are intended to decrease environmental impacts, accommodate landowner routing requests and enhance construction procedures.</w:t>
      </w:r>
    </w:p>
    <w:p>
      <w:pPr>
        <w:spacing w:after="0" w:line="78" w:lineRule="exact"/>
        <w:rPr>
          <w:sz w:val="20"/>
          <w:szCs w:val="20"/>
          <w:color w:val="auto"/>
        </w:rPr>
      </w:pPr>
    </w:p>
    <w:p>
      <w:pPr>
        <w:spacing w:after="0" w:line="274" w:lineRule="auto"/>
        <w:rPr>
          <w:sz w:val="20"/>
          <w:szCs w:val="20"/>
          <w:color w:val="auto"/>
        </w:rPr>
      </w:pPr>
      <w:r>
        <w:rPr>
          <w:rFonts w:ascii="Times New Roman" w:cs="Times New Roman" w:eastAsia="Times New Roman" w:hAnsi="Times New Roman"/>
          <w:sz w:val="18"/>
          <w:szCs w:val="18"/>
          <w:color w:val="auto"/>
        </w:rPr>
        <w:t>We estimate the capital expenditures for the project will be approximately $1 billion, including capitalized interest at the project level and project contingency. The actual amount of capital expenditures may differ substantially from our estimates. The Port Arthur Pipeline Louisiana Connector achieved mechanical completion in January 2026, and we expect it to be ready for service ahead of the PA LNG Phase 1 project’s gas requirements.</w:t>
      </w:r>
    </w:p>
    <w:p>
      <w:pPr>
        <w:spacing w:after="0" w:line="70" w:lineRule="exact"/>
        <w:rPr>
          <w:sz w:val="20"/>
          <w:szCs w:val="20"/>
          <w:color w:val="auto"/>
        </w:rPr>
      </w:pPr>
    </w:p>
    <w:p>
      <w:pPr>
        <w:jc w:val="both"/>
        <w:ind w:right="40"/>
        <w:spacing w:after="0" w:line="273" w:lineRule="auto"/>
        <w:rPr>
          <w:sz w:val="20"/>
          <w:szCs w:val="20"/>
          <w:color w:val="auto"/>
        </w:rPr>
      </w:pPr>
      <w:r>
        <w:rPr>
          <w:rFonts w:ascii="Times New Roman" w:cs="Times New Roman" w:eastAsia="Times New Roman" w:hAnsi="Times New Roman"/>
          <w:sz w:val="18"/>
          <w:szCs w:val="18"/>
          <w:b w:val="1"/>
          <w:bCs w:val="1"/>
          <w:color w:val="auto"/>
        </w:rPr>
        <w:t xml:space="preserve">Sonora Pipeline. </w:t>
      </w:r>
      <w:r>
        <w:rPr>
          <w:rFonts w:ascii="Times New Roman" w:cs="Times New Roman" w:eastAsia="Times New Roman" w:hAnsi="Times New Roman"/>
          <w:sz w:val="18"/>
          <w:szCs w:val="18"/>
          <w:color w:val="auto"/>
        </w:rPr>
        <w:t>Sempra Infrastructure’s Sonora natural gas pipeline consists of two pipeline segments, the Sasabe-Puerto Libertad-Guaymas segment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Guaymas-El Oro segment. Each segment has its own service agreement with the CFE. Following the start of commercial operations of the Guaymas-El Oro segment, Sempra Infrastructure reported damage to the pipeline in the Yaqui territory that has made that section inoperable since August 2017 because it was not able to be repaired due to legal challenges, which were resolved in March 2023, by some members of the Yaqui tribe.</w:t>
      </w:r>
    </w:p>
    <w:p>
      <w:pPr>
        <w:spacing w:after="0" w:line="75" w:lineRule="exact"/>
        <w:rPr>
          <w:sz w:val="20"/>
          <w:szCs w:val="20"/>
          <w:color w:val="auto"/>
        </w:rPr>
      </w:pPr>
    </w:p>
    <w:p>
      <w:pPr>
        <w:ind w:right="80"/>
        <w:spacing w:after="0" w:line="274" w:lineRule="auto"/>
        <w:rPr>
          <w:sz w:val="20"/>
          <w:szCs w:val="20"/>
          <w:color w:val="auto"/>
        </w:rPr>
      </w:pPr>
      <w:r>
        <w:rPr>
          <w:rFonts w:ascii="Times New Roman" w:cs="Times New Roman" w:eastAsia="Times New Roman" w:hAnsi="Times New Roman"/>
          <w:sz w:val="18"/>
          <w:szCs w:val="18"/>
          <w:color w:val="auto"/>
        </w:rPr>
        <w:t>In September 2019, Sempra Infrastructure and the CFE reached an agreement to modify the tariff structure and extend the term of the contract by 10 years. Under the revised agreement, the CFE will resume making payments only when the damaged section of the Guaymas-El Oro segment of the Sonora pipeline is back in service.</w:t>
      </w:r>
    </w:p>
    <w:p>
      <w:pPr>
        <w:spacing w:after="0" w:line="74"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In December 2025, Sempra Infrastructure and the CFE further amended their transportation services agreement to re-route the portion of the pipeline that is in the Yaqui territory, whereby the CFE has agreed to reimburse Sempra Infrastructure for the re-routing costs with a new tariff and requires the pipeline to be back in service no later than July 2029. This amendment will terminate if certain conditions are not met, and Sempra Infrastructure retains the right to terminate the transportation services agreement and seek to recover its reasonable and documented costs and lost profit. Execution of the re-routing project is ongoing. Additionally, in December 2025, Sempra Infrastructure and the CFE entered into an agreement for potential equity participation in the Guaymas-El Oro segment of the Sonora pipeline.</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estimate the capital expenditures for re-routing the pipeline will be approximately $260 million, including capitalized interest and project contingency.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actual amount of capital expenditures may differ substantially from our estimates.</w:t>
      </w: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150495</wp:posOffset>
            </wp:positionV>
            <wp:extent cx="7157720" cy="425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9" w:name="page110"/>
    <w:bookmarkEnd w:id="10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The Guaymas-El Oro segment of the Sonora pipeline, including the re-routed portion, currently constitutes a Sole Risk Project under the terms of the SI Partners limited partnership agreement, which means that Sempra Infrastructure holds a 100% interest in this Sole Risk Project. Sole Risk Projects are separated from other SI Partners projects and are conducted at Sempra’s sole cost, expense and liability and Sempra Infrastructure receives, through the acquisition of Sole Risk Interests, any economic and other benefits from such projects. The Guaymas-El Oro segment of the Sonora pipeline will continue to be owned by and a Sole Risk Project of Sempra after closing the planned sale of a portion of our equity interest in SI Partners, which we discuss in Note 6 of the Notes to Condensed Consolidated Financial Statements. Any proceeds from a sale of the Guaymas-El Oro segment of the Sonora pipeline would be split between Sempra (90%) and ADIA (10%), subject to adjustments.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Low Carbon Solutions</w:t>
      </w:r>
    </w:p>
    <w:p>
      <w:pPr>
        <w:spacing w:after="0" w:line="45" w:lineRule="exact"/>
        <w:rPr>
          <w:sz w:val="20"/>
          <w:szCs w:val="20"/>
          <w:color w:val="auto"/>
        </w:rPr>
      </w:pPr>
    </w:p>
    <w:p>
      <w:pPr>
        <w:ind w:right="58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Cimarrón Wind. </w:t>
      </w:r>
      <w:r>
        <w:rPr>
          <w:rFonts w:ascii="Times New Roman" w:cs="Times New Roman" w:eastAsia="Times New Roman" w:hAnsi="Times New Roman"/>
          <w:sz w:val="18"/>
          <w:szCs w:val="18"/>
          <w:color w:val="auto"/>
        </w:rPr>
        <w:t>SI Partners owns and operates the Cimarrón Wind project, an approximately 320 MW wind generation facility in Baja California,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Mexico, that commenced commercial operations in March 2026.</w:t>
      </w:r>
    </w:p>
    <w:p>
      <w:pPr>
        <w:spacing w:after="0" w:line="60" w:lineRule="exact"/>
        <w:rPr>
          <w:sz w:val="20"/>
          <w:szCs w:val="20"/>
          <w:color w:val="auto"/>
        </w:rPr>
      </w:pPr>
    </w:p>
    <w:p>
      <w:pPr>
        <w:ind w:right="40"/>
        <w:spacing w:after="0" w:line="276" w:lineRule="auto"/>
        <w:rPr>
          <w:sz w:val="20"/>
          <w:szCs w:val="20"/>
          <w:color w:val="auto"/>
        </w:rPr>
      </w:pPr>
      <w:r>
        <w:rPr>
          <w:rFonts w:ascii="Times New Roman" w:cs="Times New Roman" w:eastAsia="Times New Roman" w:hAnsi="Times New Roman"/>
          <w:sz w:val="18"/>
          <w:szCs w:val="18"/>
          <w:b w:val="1"/>
          <w:bCs w:val="1"/>
          <w:color w:val="auto"/>
        </w:rPr>
        <w:t xml:space="preserve">Hackberry Carbon Sequestration Project. </w:t>
      </w:r>
      <w:r>
        <w:rPr>
          <w:rFonts w:ascii="Times New Roman" w:cs="Times New Roman" w:eastAsia="Times New Roman" w:hAnsi="Times New Roman"/>
          <w:sz w:val="18"/>
          <w:szCs w:val="18"/>
          <w:color w:val="auto"/>
        </w:rPr>
        <w:t>SI Partners is developing the potential Hackberry Carbon Sequestration project near Hackberry, Louisiana,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together with TotalEnergies SE, Mitsui &amp; Co., Ltd. and Mitsubishi Corporation. This proposed project is designed to permanently sequester carbon dioxide from the Cameron LNG Phase 1 facility, the proposed Cameron LNG Phase 2 project and potentially other sources.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Legal and Regulatory Matters</w:t>
      </w:r>
    </w:p>
    <w:p>
      <w:pPr>
        <w:spacing w:after="0" w:line="49" w:lineRule="exact"/>
        <w:rPr>
          <w:sz w:val="20"/>
          <w:szCs w:val="20"/>
          <w:color w:val="auto"/>
        </w:rPr>
      </w:pPr>
    </w:p>
    <w:p>
      <w:pPr>
        <w:jc w:val="both"/>
        <w:ind w:right="220"/>
        <w:spacing w:after="0" w:line="271" w:lineRule="auto"/>
        <w:rPr>
          <w:sz w:val="20"/>
          <w:szCs w:val="20"/>
          <w:color w:val="auto"/>
        </w:rPr>
      </w:pPr>
      <w:r>
        <w:rPr>
          <w:rFonts w:ascii="Times New Roman" w:cs="Times New Roman" w:eastAsia="Times New Roman" w:hAnsi="Times New Roman"/>
          <w:sz w:val="18"/>
          <w:szCs w:val="18"/>
          <w:color w:val="auto"/>
        </w:rPr>
        <w:t>With respect to the ECA Regas Facility, ECA LNG Phase 1 project and ECA LNG Phase 2 project that we discuss above, an unfavorable resolution of a land dispute and/or permit challenges could have a material adverse effect on the natural gas regasification operations at the ECA Regas Facility and the development and construction of the ECA LNG projects. We discuss these legal matters in “Legal Proceedings – Other Sempra – Energía Costa Azul” in Note 13 of the Notes to Condensed Consolidated Financial Statements.</w:t>
      </w:r>
    </w:p>
    <w:p>
      <w:pPr>
        <w:spacing w:after="0" w:line="64" w:lineRule="exact"/>
        <w:rPr>
          <w:sz w:val="20"/>
          <w:szCs w:val="20"/>
          <w:color w:val="auto"/>
        </w:rPr>
      </w:pPr>
    </w:p>
    <w:p>
      <w:pPr>
        <w:jc w:val="both"/>
        <w:ind w:right="180"/>
        <w:spacing w:after="0" w:line="281" w:lineRule="auto"/>
        <w:rPr>
          <w:sz w:val="20"/>
          <w:szCs w:val="20"/>
          <w:color w:val="auto"/>
        </w:rPr>
      </w:pPr>
      <w:r>
        <w:rPr>
          <w:rFonts w:ascii="Times New Roman" w:cs="Times New Roman" w:eastAsia="Times New Roman" w:hAnsi="Times New Roman"/>
          <w:sz w:val="18"/>
          <w:szCs w:val="18"/>
          <w:color w:val="auto"/>
        </w:rPr>
        <w:t>We discuss regulatory matters affecting our operations in Mexico and risks associated with Mexican laws, policies and government influence in “Part I – Item 1A. Risk Factors – Risks Related to Sempra Infrastructure – Legal and Regulatory Risks” in the Annual Report. Regulatory and other actions by the Mexican government could have a material adverse effect on Sempra’s business, results of operations, financial condition, cash flows and/or prospects.</w:t>
      </w:r>
    </w:p>
    <w:p>
      <w:pPr>
        <w:spacing w:after="0" w:line="3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SOURCES AND USES OF CASH</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tables include only significant changes in cash flow activities for each of the Registrants.</w:t>
      </w:r>
    </w:p>
    <w:p>
      <w:pPr>
        <w:spacing w:after="0" w:line="175"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FFFFFF"/>
        </w:rPr>
        <w:t>CASH FLOWS FROM 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-115570</wp:posOffset>
            </wp:positionV>
            <wp:extent cx="7132320" cy="26543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132320" cy="265430"/>
                    </a:xfrm>
                    <a:prstGeom prst="rect">
                      <a:avLst/>
                    </a:prstGeom>
                    <a:noFill/>
                  </pic:spPr>
                </pic:pic>
              </a:graphicData>
            </a:graphic>
          </wp:anchor>
        </w:drawing>
      </w:r>
    </w:p>
    <w:p>
      <w:pPr>
        <w:spacing w:after="0" w:line="19" w:lineRule="exact"/>
        <w:rPr>
          <w:sz w:val="20"/>
          <w:szCs w:val="20"/>
          <w:color w:val="auto"/>
        </w:rPr>
      </w:pPr>
    </w:p>
    <w:p>
      <w:pPr>
        <w:ind w:left="20"/>
        <w:spacing w:after="0"/>
        <w:rPr>
          <w:sz w:val="20"/>
          <w:szCs w:val="20"/>
          <w:color w:val="auto"/>
        </w:rPr>
      </w:pPr>
      <w:r>
        <w:rPr>
          <w:rFonts w:ascii="Arial" w:cs="Arial" w:eastAsia="Arial" w:hAnsi="Arial"/>
          <w:sz w:val="14"/>
          <w:szCs w:val="14"/>
          <w:i w:val="1"/>
          <w:iCs w:val="1"/>
          <w:color w:val="FFFFFF"/>
        </w:rPr>
        <w:t>(Dollars in millions)</w:t>
      </w:r>
    </w:p>
    <w:p>
      <w:pPr>
        <w:spacing w:after="0" w:line="53"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71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Three months ended March 31,</w:t>
            </w:r>
          </w:p>
        </w:tc>
        <w:tc>
          <w:tcPr>
            <w:tcW w:w="2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360"/>
              <w:spacing w:after="0"/>
              <w:rPr>
                <w:sz w:val="20"/>
                <w:szCs w:val="20"/>
                <w:color w:val="auto"/>
              </w:rPr>
            </w:pPr>
            <w:r>
              <w:rPr>
                <w:rFonts w:ascii="Arial" w:cs="Arial" w:eastAsia="Arial" w:hAnsi="Arial"/>
                <w:sz w:val="14"/>
                <w:szCs w:val="14"/>
                <w:color w:val="auto"/>
              </w:rPr>
              <w:t>Sempra</w:t>
            </w: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80"/>
              <w:spacing w:after="0"/>
              <w:rPr>
                <w:sz w:val="20"/>
                <w:szCs w:val="20"/>
                <w:color w:val="auto"/>
              </w:rPr>
            </w:pPr>
            <w:r>
              <w:rPr>
                <w:rFonts w:ascii="Arial" w:cs="Arial" w:eastAsia="Arial" w:hAnsi="Arial"/>
                <w:sz w:val="14"/>
                <w:szCs w:val="14"/>
                <w:color w:val="auto"/>
              </w:rPr>
              <w:t>SDG&amp;E</w:t>
            </w:r>
          </w:p>
        </w:tc>
        <w:tc>
          <w:tcPr>
            <w:tcW w:w="2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240"/>
              <w:spacing w:after="0"/>
              <w:rPr>
                <w:sz w:val="20"/>
                <w:szCs w:val="20"/>
                <w:color w:val="auto"/>
              </w:rPr>
            </w:pPr>
            <w:r>
              <w:rPr>
                <w:rFonts w:ascii="Arial" w:cs="Arial" w:eastAsia="Arial" w:hAnsi="Arial"/>
                <w:sz w:val="14"/>
                <w:szCs w:val="14"/>
                <w:color w:val="auto"/>
              </w:rPr>
              <w:t>SoCalGas</w:t>
            </w:r>
          </w:p>
        </w:tc>
      </w:tr>
      <w:tr>
        <w:trPr>
          <w:trHeight w:val="214"/>
        </w:trPr>
        <w:tc>
          <w:tcPr>
            <w:tcW w:w="7120" w:type="dxa"/>
            <w:vAlign w:val="bottom"/>
            <w:shd w:val="clear" w:color="auto" w:fill="D4F1F5"/>
          </w:tcPr>
          <w:p>
            <w:pPr>
              <w:ind w:left="20"/>
              <w:spacing w:after="0"/>
              <w:rPr>
                <w:sz w:val="20"/>
                <w:szCs w:val="20"/>
                <w:color w:val="auto"/>
              </w:rPr>
            </w:pPr>
            <w:r>
              <w:rPr>
                <w:rFonts w:ascii="Arial" w:cs="Arial" w:eastAsia="Arial" w:hAnsi="Arial"/>
                <w:sz w:val="16"/>
                <w:szCs w:val="16"/>
                <w:color w:val="auto"/>
              </w:rPr>
              <w:t>2026</w:t>
            </w:r>
          </w:p>
        </w:tc>
        <w:tc>
          <w:tcPr>
            <w:tcW w:w="260" w:type="dxa"/>
            <w:vAlign w:val="bottom"/>
            <w:shd w:val="clear" w:color="auto" w:fill="D4F1F5"/>
          </w:tcPr>
          <w:p>
            <w:pPr>
              <w:jc w:val="right"/>
              <w:ind w:right="59"/>
              <w:spacing w:after="0"/>
              <w:rPr>
                <w:sz w:val="20"/>
                <w:szCs w:val="20"/>
                <w:color w:val="auto"/>
              </w:rPr>
            </w:pPr>
            <w:r>
              <w:rPr>
                <w:rFonts w:ascii="Arial" w:cs="Arial" w:eastAsia="Arial" w:hAnsi="Arial"/>
                <w:sz w:val="16"/>
                <w:szCs w:val="16"/>
                <w:color w:val="auto"/>
              </w:rPr>
              <w:t>$</w:t>
            </w:r>
          </w:p>
        </w:tc>
        <w:tc>
          <w:tcPr>
            <w:tcW w:w="1080" w:type="dxa"/>
            <w:vAlign w:val="bottom"/>
            <w:shd w:val="clear" w:color="auto" w:fill="D4F1F5"/>
          </w:tcPr>
          <w:p>
            <w:pPr>
              <w:jc w:val="right"/>
              <w:ind w:right="40"/>
              <w:spacing w:after="0"/>
              <w:rPr>
                <w:sz w:val="20"/>
                <w:szCs w:val="20"/>
                <w:color w:val="auto"/>
              </w:rPr>
            </w:pPr>
            <w:r>
              <w:rPr>
                <w:rFonts w:ascii="Arial" w:cs="Arial" w:eastAsia="Arial" w:hAnsi="Arial"/>
                <w:sz w:val="16"/>
                <w:szCs w:val="16"/>
                <w:color w:val="auto"/>
              </w:rPr>
              <w:t>1,809</w:t>
            </w:r>
          </w:p>
        </w:tc>
        <w:tc>
          <w:tcPr>
            <w:tcW w:w="320" w:type="dxa"/>
            <w:vAlign w:val="bottom"/>
            <w:shd w:val="clear" w:color="auto" w:fill="D4F1F5"/>
          </w:tcPr>
          <w:p>
            <w:pPr>
              <w:jc w:val="right"/>
              <w:ind w:right="59"/>
              <w:spacing w:after="0"/>
              <w:rPr>
                <w:sz w:val="20"/>
                <w:szCs w:val="20"/>
                <w:color w:val="auto"/>
              </w:rPr>
            </w:pPr>
            <w:r>
              <w:rPr>
                <w:rFonts w:ascii="Arial" w:cs="Arial" w:eastAsia="Arial" w:hAnsi="Arial"/>
                <w:sz w:val="16"/>
                <w:szCs w:val="16"/>
                <w:color w:val="auto"/>
              </w:rPr>
              <w:t>$</w:t>
            </w:r>
          </w:p>
        </w:tc>
        <w:tc>
          <w:tcPr>
            <w:tcW w:w="1100" w:type="dxa"/>
            <w:vAlign w:val="bottom"/>
            <w:shd w:val="clear" w:color="auto" w:fill="D4F1F5"/>
          </w:tcPr>
          <w:p>
            <w:pPr>
              <w:jc w:val="right"/>
              <w:ind w:right="40"/>
              <w:spacing w:after="0"/>
              <w:rPr>
                <w:sz w:val="20"/>
                <w:szCs w:val="20"/>
                <w:color w:val="auto"/>
              </w:rPr>
            </w:pPr>
            <w:r>
              <w:rPr>
                <w:rFonts w:ascii="Arial" w:cs="Arial" w:eastAsia="Arial" w:hAnsi="Arial"/>
                <w:sz w:val="16"/>
                <w:szCs w:val="16"/>
                <w:color w:val="auto"/>
              </w:rPr>
              <w:t>674</w:t>
            </w:r>
          </w:p>
        </w:tc>
        <w:tc>
          <w:tcPr>
            <w:tcW w:w="260" w:type="dxa"/>
            <w:vAlign w:val="bottom"/>
            <w:shd w:val="clear" w:color="auto" w:fill="D4F1F5"/>
          </w:tcPr>
          <w:p>
            <w:pPr>
              <w:jc w:val="right"/>
              <w:ind w:right="19"/>
              <w:spacing w:after="0"/>
              <w:rPr>
                <w:sz w:val="20"/>
                <w:szCs w:val="20"/>
                <w:color w:val="auto"/>
              </w:rPr>
            </w:pPr>
            <w:r>
              <w:rPr>
                <w:rFonts w:ascii="Arial" w:cs="Arial" w:eastAsia="Arial" w:hAnsi="Arial"/>
                <w:sz w:val="16"/>
                <w:szCs w:val="16"/>
                <w:color w:val="auto"/>
              </w:rPr>
              <w:t>$</w:t>
            </w:r>
          </w:p>
        </w:tc>
        <w:tc>
          <w:tcPr>
            <w:tcW w:w="1100" w:type="dxa"/>
            <w:vAlign w:val="bottom"/>
            <w:shd w:val="clear" w:color="auto" w:fill="D4F1F5"/>
          </w:tcPr>
          <w:p>
            <w:pPr>
              <w:jc w:val="right"/>
              <w:spacing w:after="0"/>
              <w:rPr>
                <w:sz w:val="20"/>
                <w:szCs w:val="20"/>
                <w:color w:val="auto"/>
              </w:rPr>
            </w:pPr>
            <w:r>
              <w:rPr>
                <w:rFonts w:ascii="Arial" w:cs="Arial" w:eastAsia="Arial" w:hAnsi="Arial"/>
                <w:sz w:val="16"/>
                <w:szCs w:val="16"/>
                <w:color w:val="auto"/>
              </w:rPr>
              <w:t>879</w:t>
            </w:r>
          </w:p>
        </w:tc>
      </w:tr>
      <w:tr>
        <w:trPr>
          <w:trHeight w:val="215"/>
        </w:trPr>
        <w:tc>
          <w:tcPr>
            <w:tcW w:w="7120" w:type="dxa"/>
            <w:vAlign w:val="bottom"/>
            <w:tcBorders>
              <w:bottom w:val="single" w:sz="8" w:color="D4F1F5"/>
            </w:tcBorders>
          </w:tcPr>
          <w:p>
            <w:pPr>
              <w:ind w:left="20"/>
              <w:spacing w:after="0"/>
              <w:rPr>
                <w:sz w:val="20"/>
                <w:szCs w:val="20"/>
                <w:color w:val="auto"/>
              </w:rPr>
            </w:pPr>
            <w:r>
              <w:rPr>
                <w:rFonts w:ascii="Arial" w:cs="Arial" w:eastAsia="Arial" w:hAnsi="Arial"/>
                <w:sz w:val="16"/>
                <w:szCs w:val="16"/>
                <w:color w:val="auto"/>
              </w:rPr>
              <w:t>2025</w:t>
            </w:r>
          </w:p>
        </w:tc>
        <w:tc>
          <w:tcPr>
            <w:tcW w:w="2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1,482</w:t>
            </w: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578</w:t>
            </w:r>
          </w:p>
        </w:tc>
        <w:tc>
          <w:tcPr>
            <w:tcW w:w="2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779</w:t>
            </w:r>
          </w:p>
        </w:tc>
      </w:tr>
      <w:tr>
        <w:trPr>
          <w:trHeight w:val="217"/>
        </w:trPr>
        <w:tc>
          <w:tcPr>
            <w:tcW w:w="7120" w:type="dxa"/>
            <w:vAlign w:val="bottom"/>
            <w:tcBorders>
              <w:bottom w:val="single" w:sz="8" w:color="D4F1F5"/>
            </w:tcBorders>
            <w:shd w:val="clear" w:color="auto" w:fill="D4F1F5"/>
          </w:tcPr>
          <w:p>
            <w:pPr>
              <w:ind w:left="140"/>
              <w:spacing w:after="0"/>
              <w:rPr>
                <w:sz w:val="20"/>
                <w:szCs w:val="20"/>
                <w:color w:val="auto"/>
              </w:rPr>
            </w:pPr>
            <w:r>
              <w:rPr>
                <w:rFonts w:ascii="Arial" w:cs="Arial" w:eastAsia="Arial" w:hAnsi="Arial"/>
                <w:sz w:val="16"/>
                <w:szCs w:val="16"/>
                <w:color w:val="auto"/>
              </w:rPr>
              <w:t>Change</w:t>
            </w:r>
          </w:p>
        </w:tc>
        <w:tc>
          <w:tcPr>
            <w:tcW w:w="260" w:type="dxa"/>
            <w:vAlign w:val="bottom"/>
            <w:tcBorders>
              <w:bottom w:val="single" w:sz="8" w:color="auto"/>
            </w:tcBorders>
            <w:shd w:val="clear" w:color="auto" w:fill="D4F1F5"/>
          </w:tcPr>
          <w:p>
            <w:pPr>
              <w:jc w:val="right"/>
              <w:ind w:right="5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shd w:val="clear" w:color="auto" w:fill="D4F1F5"/>
          </w:tcPr>
          <w:p>
            <w:pPr>
              <w:jc w:val="right"/>
              <w:ind w:right="40"/>
              <w:spacing w:after="0"/>
              <w:rPr>
                <w:sz w:val="20"/>
                <w:szCs w:val="20"/>
                <w:color w:val="auto"/>
              </w:rPr>
            </w:pPr>
            <w:r>
              <w:rPr>
                <w:rFonts w:ascii="Arial" w:cs="Arial" w:eastAsia="Arial" w:hAnsi="Arial"/>
                <w:sz w:val="16"/>
                <w:szCs w:val="16"/>
                <w:color w:val="auto"/>
              </w:rPr>
              <w:t>327</w:t>
            </w:r>
          </w:p>
        </w:tc>
        <w:tc>
          <w:tcPr>
            <w:tcW w:w="320" w:type="dxa"/>
            <w:vAlign w:val="bottom"/>
            <w:tcBorders>
              <w:bottom w:val="single" w:sz="8" w:color="auto"/>
            </w:tcBorders>
            <w:shd w:val="clear" w:color="auto" w:fill="D4F1F5"/>
          </w:tcPr>
          <w:p>
            <w:pPr>
              <w:jc w:val="right"/>
              <w:ind w:right="5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shd w:val="clear" w:color="auto" w:fill="D4F1F5"/>
          </w:tcPr>
          <w:p>
            <w:pPr>
              <w:jc w:val="right"/>
              <w:ind w:right="40"/>
              <w:spacing w:after="0"/>
              <w:rPr>
                <w:sz w:val="20"/>
                <w:szCs w:val="20"/>
                <w:color w:val="auto"/>
              </w:rPr>
            </w:pPr>
            <w:r>
              <w:rPr>
                <w:rFonts w:ascii="Arial" w:cs="Arial" w:eastAsia="Arial" w:hAnsi="Arial"/>
                <w:sz w:val="16"/>
                <w:szCs w:val="16"/>
                <w:color w:val="auto"/>
              </w:rPr>
              <w:t>96</w:t>
            </w:r>
          </w:p>
        </w:tc>
        <w:tc>
          <w:tcPr>
            <w:tcW w:w="260" w:type="dxa"/>
            <w:vAlign w:val="bottom"/>
            <w:tcBorders>
              <w:bottom w:val="single" w:sz="8" w:color="auto"/>
            </w:tcBorders>
            <w:shd w:val="clear" w:color="auto" w:fill="D4F1F5"/>
          </w:tcPr>
          <w:p>
            <w:pPr>
              <w:jc w:val="right"/>
              <w:ind w:right="1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shd w:val="clear" w:color="auto" w:fill="D4F1F5"/>
          </w:tcPr>
          <w:p>
            <w:pPr>
              <w:jc w:val="right"/>
              <w:spacing w:after="0"/>
              <w:rPr>
                <w:sz w:val="20"/>
                <w:szCs w:val="20"/>
                <w:color w:val="auto"/>
              </w:rPr>
            </w:pPr>
            <w:r>
              <w:rPr>
                <w:rFonts w:ascii="Arial" w:cs="Arial" w:eastAsia="Arial" w:hAnsi="Arial"/>
                <w:sz w:val="16"/>
                <w:szCs w:val="16"/>
                <w:color w:val="auto"/>
              </w:rPr>
              <w:t>100</w:t>
            </w:r>
          </w:p>
        </w:tc>
      </w:tr>
      <w:tr>
        <w:trPr>
          <w:trHeight w:val="203"/>
        </w:trPr>
        <w:tc>
          <w:tcPr>
            <w:tcW w:w="7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16"/>
        </w:trPr>
        <w:tc>
          <w:tcPr>
            <w:tcW w:w="7120" w:type="dxa"/>
            <w:vAlign w:val="bottom"/>
            <w:shd w:val="clear" w:color="auto" w:fill="D4F1F5"/>
          </w:tcPr>
          <w:p>
            <w:pPr>
              <w:ind w:left="20"/>
              <w:spacing w:after="0"/>
              <w:rPr>
                <w:sz w:val="20"/>
                <w:szCs w:val="20"/>
                <w:color w:val="auto"/>
              </w:rPr>
            </w:pPr>
            <w:r>
              <w:rPr>
                <w:rFonts w:ascii="Arial" w:cs="Arial" w:eastAsia="Arial" w:hAnsi="Arial"/>
                <w:sz w:val="16"/>
                <w:szCs w:val="16"/>
                <w:color w:val="auto"/>
              </w:rPr>
              <w:t>Change in accounts receivable</w:t>
            </w:r>
          </w:p>
        </w:tc>
        <w:tc>
          <w:tcPr>
            <w:tcW w:w="260" w:type="dxa"/>
            <w:vAlign w:val="bottom"/>
            <w:shd w:val="clear" w:color="auto" w:fill="D4F1F5"/>
          </w:tcPr>
          <w:p>
            <w:pPr>
              <w:jc w:val="right"/>
              <w:ind w:right="59"/>
              <w:spacing w:after="0"/>
              <w:rPr>
                <w:sz w:val="20"/>
                <w:szCs w:val="20"/>
                <w:color w:val="auto"/>
              </w:rPr>
            </w:pPr>
            <w:r>
              <w:rPr>
                <w:rFonts w:ascii="Arial" w:cs="Arial" w:eastAsia="Arial" w:hAnsi="Arial"/>
                <w:sz w:val="16"/>
                <w:szCs w:val="16"/>
                <w:color w:val="auto"/>
              </w:rPr>
              <w:t>$</w:t>
            </w:r>
          </w:p>
        </w:tc>
        <w:tc>
          <w:tcPr>
            <w:tcW w:w="1080" w:type="dxa"/>
            <w:vAlign w:val="bottom"/>
            <w:shd w:val="clear" w:color="auto" w:fill="D4F1F5"/>
          </w:tcPr>
          <w:p>
            <w:pPr>
              <w:jc w:val="right"/>
              <w:ind w:right="40"/>
              <w:spacing w:after="0"/>
              <w:rPr>
                <w:sz w:val="20"/>
                <w:szCs w:val="20"/>
                <w:color w:val="auto"/>
              </w:rPr>
            </w:pPr>
            <w:r>
              <w:rPr>
                <w:rFonts w:ascii="Arial" w:cs="Arial" w:eastAsia="Arial" w:hAnsi="Arial"/>
                <w:sz w:val="16"/>
                <w:szCs w:val="16"/>
                <w:color w:val="auto"/>
              </w:rPr>
              <w:t>256</w:t>
            </w:r>
          </w:p>
        </w:tc>
        <w:tc>
          <w:tcPr>
            <w:tcW w:w="320" w:type="dxa"/>
            <w:vAlign w:val="bottom"/>
            <w:shd w:val="clear" w:color="auto" w:fill="D4F1F5"/>
          </w:tcPr>
          <w:p>
            <w:pPr>
              <w:spacing w:after="0"/>
              <w:rPr>
                <w:sz w:val="18"/>
                <w:szCs w:val="18"/>
                <w:color w:val="auto"/>
              </w:rPr>
            </w:pPr>
          </w:p>
        </w:tc>
        <w:tc>
          <w:tcPr>
            <w:tcW w:w="1100" w:type="dxa"/>
            <w:vAlign w:val="bottom"/>
            <w:shd w:val="clear" w:color="auto" w:fill="D4F1F5"/>
          </w:tcPr>
          <w:p>
            <w:pPr>
              <w:spacing w:after="0"/>
              <w:rPr>
                <w:sz w:val="18"/>
                <w:szCs w:val="18"/>
                <w:color w:val="auto"/>
              </w:rPr>
            </w:pPr>
          </w:p>
        </w:tc>
        <w:tc>
          <w:tcPr>
            <w:tcW w:w="260" w:type="dxa"/>
            <w:vAlign w:val="bottom"/>
            <w:shd w:val="clear" w:color="auto" w:fill="D4F1F5"/>
          </w:tcPr>
          <w:p>
            <w:pPr>
              <w:jc w:val="right"/>
              <w:ind w:right="19"/>
              <w:spacing w:after="0"/>
              <w:rPr>
                <w:sz w:val="20"/>
                <w:szCs w:val="20"/>
                <w:color w:val="auto"/>
              </w:rPr>
            </w:pPr>
            <w:r>
              <w:rPr>
                <w:rFonts w:ascii="Arial" w:cs="Arial" w:eastAsia="Arial" w:hAnsi="Arial"/>
                <w:sz w:val="16"/>
                <w:szCs w:val="16"/>
                <w:color w:val="auto"/>
              </w:rPr>
              <w:t>$</w:t>
            </w:r>
          </w:p>
        </w:tc>
        <w:tc>
          <w:tcPr>
            <w:tcW w:w="1100" w:type="dxa"/>
            <w:vAlign w:val="bottom"/>
            <w:shd w:val="clear" w:color="auto" w:fill="D4F1F5"/>
          </w:tcPr>
          <w:p>
            <w:pPr>
              <w:jc w:val="right"/>
              <w:spacing w:after="0"/>
              <w:rPr>
                <w:sz w:val="20"/>
                <w:szCs w:val="20"/>
                <w:color w:val="auto"/>
              </w:rPr>
            </w:pPr>
            <w:r>
              <w:rPr>
                <w:rFonts w:ascii="Arial" w:cs="Arial" w:eastAsia="Arial" w:hAnsi="Arial"/>
                <w:sz w:val="16"/>
                <w:szCs w:val="16"/>
                <w:color w:val="auto"/>
              </w:rPr>
              <w:t>324</w:t>
            </w:r>
          </w:p>
        </w:tc>
      </w:tr>
      <w:tr>
        <w:trPr>
          <w:trHeight w:val="215"/>
        </w:trPr>
        <w:tc>
          <w:tcPr>
            <w:tcW w:w="7120" w:type="dxa"/>
            <w:vAlign w:val="bottom"/>
          </w:tcPr>
          <w:p>
            <w:pPr>
              <w:ind w:left="20"/>
              <w:spacing w:after="0"/>
              <w:rPr>
                <w:sz w:val="20"/>
                <w:szCs w:val="20"/>
                <w:color w:val="auto"/>
              </w:rPr>
            </w:pPr>
            <w:r>
              <w:rPr>
                <w:rFonts w:ascii="Arial" w:cs="Arial" w:eastAsia="Arial" w:hAnsi="Arial"/>
                <w:sz w:val="16"/>
                <w:szCs w:val="16"/>
                <w:color w:val="auto"/>
              </w:rPr>
              <w:t>Higher net income, adjusted for noncash items included in earnings</w:t>
            </w:r>
          </w:p>
        </w:tc>
        <w:tc>
          <w:tcPr>
            <w:tcW w:w="260" w:type="dxa"/>
            <w:vAlign w:val="bottom"/>
          </w:tcPr>
          <w:p>
            <w:pPr>
              <w:spacing w:after="0"/>
              <w:rPr>
                <w:sz w:val="18"/>
                <w:szCs w:val="18"/>
                <w:color w:val="auto"/>
              </w:rPr>
            </w:pPr>
          </w:p>
        </w:tc>
        <w:tc>
          <w:tcPr>
            <w:tcW w:w="1080" w:type="dxa"/>
            <w:vAlign w:val="bottom"/>
          </w:tcPr>
          <w:p>
            <w:pPr>
              <w:jc w:val="right"/>
              <w:ind w:right="40"/>
              <w:spacing w:after="0"/>
              <w:rPr>
                <w:sz w:val="20"/>
                <w:szCs w:val="20"/>
                <w:color w:val="auto"/>
              </w:rPr>
            </w:pPr>
            <w:r>
              <w:rPr>
                <w:rFonts w:ascii="Arial" w:cs="Arial" w:eastAsia="Arial" w:hAnsi="Arial"/>
                <w:sz w:val="16"/>
                <w:szCs w:val="16"/>
                <w:color w:val="auto"/>
              </w:rPr>
              <w:t>249</w:t>
            </w:r>
          </w:p>
        </w:tc>
        <w:tc>
          <w:tcPr>
            <w:tcW w:w="32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40"/>
              <w:spacing w:after="0"/>
              <w:rPr>
                <w:sz w:val="20"/>
                <w:szCs w:val="20"/>
                <w:color w:val="auto"/>
              </w:rPr>
            </w:pPr>
            <w:r>
              <w:rPr>
                <w:rFonts w:ascii="Arial" w:cs="Arial" w:eastAsia="Arial" w:hAnsi="Arial"/>
                <w:sz w:val="16"/>
                <w:szCs w:val="16"/>
                <w:color w:val="auto"/>
              </w:rPr>
              <w:t>71</w:t>
            </w: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7"/>
        </w:trPr>
        <w:tc>
          <w:tcPr>
            <w:tcW w:w="7120" w:type="dxa"/>
            <w:vAlign w:val="bottom"/>
            <w:shd w:val="clear" w:color="auto" w:fill="D4F1F5"/>
          </w:tcPr>
          <w:p>
            <w:pPr>
              <w:ind w:left="20"/>
              <w:spacing w:after="0"/>
              <w:rPr>
                <w:sz w:val="20"/>
                <w:szCs w:val="20"/>
                <w:color w:val="auto"/>
              </w:rPr>
            </w:pPr>
            <w:r>
              <w:rPr>
                <w:rFonts w:ascii="Arial" w:cs="Arial" w:eastAsia="Arial" w:hAnsi="Arial"/>
                <w:sz w:val="16"/>
                <w:szCs w:val="16"/>
                <w:color w:val="auto"/>
              </w:rPr>
              <w:t>Higher distributions from Oncor Holdings</w:t>
            </w:r>
          </w:p>
        </w:tc>
        <w:tc>
          <w:tcPr>
            <w:tcW w:w="260" w:type="dxa"/>
            <w:vAlign w:val="bottom"/>
            <w:shd w:val="clear" w:color="auto" w:fill="D4F1F5"/>
          </w:tcPr>
          <w:p>
            <w:pPr>
              <w:spacing w:after="0"/>
              <w:rPr>
                <w:sz w:val="18"/>
                <w:szCs w:val="18"/>
                <w:color w:val="auto"/>
              </w:rPr>
            </w:pPr>
          </w:p>
        </w:tc>
        <w:tc>
          <w:tcPr>
            <w:tcW w:w="1080" w:type="dxa"/>
            <w:vAlign w:val="bottom"/>
            <w:shd w:val="clear" w:color="auto" w:fill="D4F1F5"/>
          </w:tcPr>
          <w:p>
            <w:pPr>
              <w:jc w:val="right"/>
              <w:ind w:right="40"/>
              <w:spacing w:after="0"/>
              <w:rPr>
                <w:sz w:val="20"/>
                <w:szCs w:val="20"/>
                <w:color w:val="auto"/>
              </w:rPr>
            </w:pPr>
            <w:r>
              <w:rPr>
                <w:rFonts w:ascii="Arial" w:cs="Arial" w:eastAsia="Arial" w:hAnsi="Arial"/>
                <w:sz w:val="16"/>
                <w:szCs w:val="16"/>
                <w:color w:val="auto"/>
              </w:rPr>
              <w:t>87</w:t>
            </w:r>
          </w:p>
        </w:tc>
        <w:tc>
          <w:tcPr>
            <w:tcW w:w="320" w:type="dxa"/>
            <w:vAlign w:val="bottom"/>
            <w:shd w:val="clear" w:color="auto" w:fill="D4F1F5"/>
          </w:tcPr>
          <w:p>
            <w:pPr>
              <w:spacing w:after="0"/>
              <w:rPr>
                <w:sz w:val="18"/>
                <w:szCs w:val="18"/>
                <w:color w:val="auto"/>
              </w:rPr>
            </w:pPr>
          </w:p>
        </w:tc>
        <w:tc>
          <w:tcPr>
            <w:tcW w:w="1100" w:type="dxa"/>
            <w:vAlign w:val="bottom"/>
            <w:shd w:val="clear" w:color="auto" w:fill="D4F1F5"/>
          </w:tcPr>
          <w:p>
            <w:pPr>
              <w:spacing w:after="0"/>
              <w:rPr>
                <w:sz w:val="18"/>
                <w:szCs w:val="18"/>
                <w:color w:val="auto"/>
              </w:rPr>
            </w:pPr>
          </w:p>
        </w:tc>
        <w:tc>
          <w:tcPr>
            <w:tcW w:w="260" w:type="dxa"/>
            <w:vAlign w:val="bottom"/>
            <w:shd w:val="clear" w:color="auto" w:fill="D4F1F5"/>
          </w:tcPr>
          <w:p>
            <w:pPr>
              <w:spacing w:after="0"/>
              <w:rPr>
                <w:sz w:val="18"/>
                <w:szCs w:val="18"/>
                <w:color w:val="auto"/>
              </w:rPr>
            </w:pPr>
          </w:p>
        </w:tc>
        <w:tc>
          <w:tcPr>
            <w:tcW w:w="1100" w:type="dxa"/>
            <w:vAlign w:val="bottom"/>
            <w:shd w:val="clear" w:color="auto" w:fill="D4F1F5"/>
          </w:tcPr>
          <w:p>
            <w:pPr>
              <w:spacing w:after="0"/>
              <w:rPr>
                <w:sz w:val="18"/>
                <w:szCs w:val="18"/>
                <w:color w:val="auto"/>
              </w:rPr>
            </w:pPr>
          </w:p>
        </w:tc>
      </w:tr>
      <w:tr>
        <w:trPr>
          <w:trHeight w:val="215"/>
        </w:trPr>
        <w:tc>
          <w:tcPr>
            <w:tcW w:w="7120" w:type="dxa"/>
            <w:vAlign w:val="bottom"/>
          </w:tcPr>
          <w:p>
            <w:pPr>
              <w:ind w:left="20"/>
              <w:spacing w:after="0"/>
              <w:rPr>
                <w:sz w:val="20"/>
                <w:szCs w:val="20"/>
                <w:color w:val="auto"/>
              </w:rPr>
            </w:pPr>
            <w:r>
              <w:rPr>
                <w:rFonts w:ascii="Arial" w:cs="Arial" w:eastAsia="Arial" w:hAnsi="Arial"/>
                <w:sz w:val="16"/>
                <w:szCs w:val="16"/>
                <w:color w:val="auto"/>
              </w:rPr>
              <w:t>Change in fixed-price contracts and other derivatives, current and noncurrent</w:t>
            </w:r>
          </w:p>
        </w:tc>
        <w:tc>
          <w:tcPr>
            <w:tcW w:w="260" w:type="dxa"/>
            <w:vAlign w:val="bottom"/>
          </w:tcPr>
          <w:p>
            <w:pPr>
              <w:spacing w:after="0"/>
              <w:rPr>
                <w:sz w:val="18"/>
                <w:szCs w:val="18"/>
                <w:color w:val="auto"/>
              </w:rPr>
            </w:pPr>
          </w:p>
        </w:tc>
        <w:tc>
          <w:tcPr>
            <w:tcW w:w="1080" w:type="dxa"/>
            <w:vAlign w:val="bottom"/>
          </w:tcPr>
          <w:p>
            <w:pPr>
              <w:jc w:val="right"/>
              <w:ind w:right="40"/>
              <w:spacing w:after="0"/>
              <w:rPr>
                <w:sz w:val="20"/>
                <w:szCs w:val="20"/>
                <w:color w:val="auto"/>
              </w:rPr>
            </w:pPr>
            <w:r>
              <w:rPr>
                <w:rFonts w:ascii="Arial" w:cs="Arial" w:eastAsia="Arial" w:hAnsi="Arial"/>
                <w:sz w:val="16"/>
                <w:szCs w:val="16"/>
                <w:color w:val="auto"/>
              </w:rPr>
              <w:t>45</w:t>
            </w: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41</w:t>
            </w:r>
          </w:p>
        </w:tc>
      </w:tr>
      <w:tr>
        <w:trPr>
          <w:trHeight w:val="217"/>
        </w:trPr>
        <w:tc>
          <w:tcPr>
            <w:tcW w:w="7120" w:type="dxa"/>
            <w:vAlign w:val="bottom"/>
            <w:shd w:val="clear" w:color="auto" w:fill="D4F1F5"/>
          </w:tcPr>
          <w:p>
            <w:pPr>
              <w:ind w:left="20"/>
              <w:spacing w:after="0"/>
              <w:rPr>
                <w:sz w:val="20"/>
                <w:szCs w:val="20"/>
                <w:color w:val="auto"/>
              </w:rPr>
            </w:pPr>
            <w:r>
              <w:rPr>
                <w:rFonts w:ascii="Arial" w:cs="Arial" w:eastAsia="Arial" w:hAnsi="Arial"/>
                <w:sz w:val="16"/>
                <w:szCs w:val="16"/>
                <w:color w:val="auto"/>
              </w:rPr>
              <w:t>Change in regulatory accounts, current and noncurrent</w:t>
            </w:r>
          </w:p>
        </w:tc>
        <w:tc>
          <w:tcPr>
            <w:tcW w:w="260" w:type="dxa"/>
            <w:vAlign w:val="bottom"/>
            <w:shd w:val="clear" w:color="auto" w:fill="D4F1F5"/>
          </w:tcPr>
          <w:p>
            <w:pPr>
              <w:spacing w:after="0"/>
              <w:rPr>
                <w:sz w:val="18"/>
                <w:szCs w:val="18"/>
                <w:color w:val="auto"/>
              </w:rPr>
            </w:pPr>
          </w:p>
        </w:tc>
        <w:tc>
          <w:tcPr>
            <w:tcW w:w="1080" w:type="dxa"/>
            <w:vAlign w:val="bottom"/>
            <w:shd w:val="clear" w:color="auto" w:fill="D4F1F5"/>
          </w:tcPr>
          <w:p>
            <w:pPr>
              <w:jc w:val="right"/>
              <w:spacing w:after="0"/>
              <w:rPr>
                <w:sz w:val="20"/>
                <w:szCs w:val="20"/>
                <w:color w:val="auto"/>
              </w:rPr>
            </w:pPr>
            <w:r>
              <w:rPr>
                <w:rFonts w:ascii="Arial" w:cs="Arial" w:eastAsia="Arial" w:hAnsi="Arial"/>
                <w:sz w:val="16"/>
                <w:szCs w:val="16"/>
                <w:color w:val="auto"/>
              </w:rPr>
              <w:t>(57)</w:t>
            </w:r>
          </w:p>
        </w:tc>
        <w:tc>
          <w:tcPr>
            <w:tcW w:w="320" w:type="dxa"/>
            <w:vAlign w:val="bottom"/>
            <w:shd w:val="clear" w:color="auto" w:fill="D4F1F5"/>
          </w:tcPr>
          <w:p>
            <w:pPr>
              <w:spacing w:after="0"/>
              <w:rPr>
                <w:sz w:val="18"/>
                <w:szCs w:val="18"/>
                <w:color w:val="auto"/>
              </w:rPr>
            </w:pPr>
          </w:p>
        </w:tc>
        <w:tc>
          <w:tcPr>
            <w:tcW w:w="1100" w:type="dxa"/>
            <w:vAlign w:val="bottom"/>
            <w:shd w:val="clear" w:color="auto" w:fill="D4F1F5"/>
          </w:tcPr>
          <w:p>
            <w:pPr>
              <w:jc w:val="right"/>
              <w:ind w:right="40"/>
              <w:spacing w:after="0"/>
              <w:rPr>
                <w:sz w:val="20"/>
                <w:szCs w:val="20"/>
                <w:color w:val="auto"/>
              </w:rPr>
            </w:pPr>
            <w:r>
              <w:rPr>
                <w:rFonts w:ascii="Arial" w:cs="Arial" w:eastAsia="Arial" w:hAnsi="Arial"/>
                <w:sz w:val="16"/>
                <w:szCs w:val="16"/>
                <w:color w:val="auto"/>
              </w:rPr>
              <w:t>62</w:t>
            </w:r>
          </w:p>
        </w:tc>
        <w:tc>
          <w:tcPr>
            <w:tcW w:w="260" w:type="dxa"/>
            <w:vAlign w:val="bottom"/>
            <w:shd w:val="clear" w:color="auto" w:fill="D4F1F5"/>
          </w:tcPr>
          <w:p>
            <w:pPr>
              <w:spacing w:after="0"/>
              <w:rPr>
                <w:sz w:val="18"/>
                <w:szCs w:val="18"/>
                <w:color w:val="auto"/>
              </w:rPr>
            </w:pPr>
          </w:p>
        </w:tc>
        <w:tc>
          <w:tcPr>
            <w:tcW w:w="1100" w:type="dxa"/>
            <w:vAlign w:val="bottom"/>
            <w:shd w:val="clear" w:color="auto" w:fill="D4F1F5"/>
          </w:tcPr>
          <w:p>
            <w:pPr>
              <w:jc w:val="right"/>
              <w:spacing w:after="0"/>
              <w:rPr>
                <w:sz w:val="20"/>
                <w:szCs w:val="20"/>
                <w:color w:val="auto"/>
              </w:rPr>
            </w:pPr>
            <w:r>
              <w:rPr>
                <w:rFonts w:ascii="Arial" w:cs="Arial" w:eastAsia="Arial" w:hAnsi="Arial"/>
                <w:sz w:val="16"/>
                <w:szCs w:val="16"/>
                <w:color w:val="auto"/>
              </w:rPr>
              <w:t>(119)</w:t>
            </w:r>
          </w:p>
        </w:tc>
      </w:tr>
      <w:tr>
        <w:trPr>
          <w:trHeight w:val="215"/>
        </w:trPr>
        <w:tc>
          <w:tcPr>
            <w:tcW w:w="7120" w:type="dxa"/>
            <w:vAlign w:val="bottom"/>
          </w:tcPr>
          <w:p>
            <w:pPr>
              <w:ind w:left="20"/>
              <w:spacing w:after="0"/>
              <w:rPr>
                <w:sz w:val="20"/>
                <w:szCs w:val="20"/>
                <w:color w:val="auto"/>
              </w:rPr>
            </w:pPr>
            <w:r>
              <w:rPr>
                <w:rFonts w:ascii="Arial" w:cs="Arial" w:eastAsia="Arial" w:hAnsi="Arial"/>
                <w:sz w:val="16"/>
                <w:szCs w:val="16"/>
                <w:color w:val="auto"/>
              </w:rPr>
              <w:t>Change in accrued franchise fees</w:t>
            </w:r>
          </w:p>
        </w:tc>
        <w:tc>
          <w:tcPr>
            <w:tcW w:w="2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(63)</w:t>
            </w: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(42)</w:t>
            </w:r>
          </w:p>
        </w:tc>
      </w:tr>
      <w:tr>
        <w:trPr>
          <w:trHeight w:val="217"/>
        </w:trPr>
        <w:tc>
          <w:tcPr>
            <w:tcW w:w="7120" w:type="dxa"/>
            <w:vAlign w:val="bottom"/>
            <w:shd w:val="clear" w:color="auto" w:fill="D4F1F5"/>
          </w:tcPr>
          <w:p>
            <w:pPr>
              <w:ind w:left="20"/>
              <w:spacing w:after="0"/>
              <w:rPr>
                <w:sz w:val="20"/>
                <w:szCs w:val="20"/>
                <w:color w:val="auto"/>
              </w:rPr>
            </w:pPr>
            <w:r>
              <w:rPr>
                <w:rFonts w:ascii="Arial" w:cs="Arial" w:eastAsia="Arial" w:hAnsi="Arial"/>
                <w:sz w:val="16"/>
                <w:szCs w:val="16"/>
                <w:color w:val="auto"/>
              </w:rPr>
              <w:t>Change in income taxes receivable/payable, net</w:t>
            </w:r>
          </w:p>
        </w:tc>
        <w:tc>
          <w:tcPr>
            <w:tcW w:w="260" w:type="dxa"/>
            <w:vAlign w:val="bottom"/>
            <w:shd w:val="clear" w:color="auto" w:fill="D4F1F5"/>
          </w:tcPr>
          <w:p>
            <w:pPr>
              <w:spacing w:after="0"/>
              <w:rPr>
                <w:sz w:val="18"/>
                <w:szCs w:val="18"/>
                <w:color w:val="auto"/>
              </w:rPr>
            </w:pPr>
          </w:p>
        </w:tc>
        <w:tc>
          <w:tcPr>
            <w:tcW w:w="1080" w:type="dxa"/>
            <w:vAlign w:val="bottom"/>
            <w:shd w:val="clear" w:color="auto" w:fill="D4F1F5"/>
          </w:tcPr>
          <w:p>
            <w:pPr>
              <w:jc w:val="right"/>
              <w:spacing w:after="0"/>
              <w:rPr>
                <w:sz w:val="20"/>
                <w:szCs w:val="20"/>
                <w:color w:val="auto"/>
              </w:rPr>
            </w:pPr>
            <w:r>
              <w:rPr>
                <w:rFonts w:ascii="Arial" w:cs="Arial" w:eastAsia="Arial" w:hAnsi="Arial"/>
                <w:sz w:val="16"/>
                <w:szCs w:val="16"/>
                <w:color w:val="auto"/>
              </w:rPr>
              <w:t>(82)</w:t>
            </w:r>
          </w:p>
        </w:tc>
        <w:tc>
          <w:tcPr>
            <w:tcW w:w="320" w:type="dxa"/>
            <w:vAlign w:val="bottom"/>
            <w:shd w:val="clear" w:color="auto" w:fill="D4F1F5"/>
          </w:tcPr>
          <w:p>
            <w:pPr>
              <w:spacing w:after="0"/>
              <w:rPr>
                <w:sz w:val="18"/>
                <w:szCs w:val="18"/>
                <w:color w:val="auto"/>
              </w:rPr>
            </w:pPr>
          </w:p>
        </w:tc>
        <w:tc>
          <w:tcPr>
            <w:tcW w:w="1100" w:type="dxa"/>
            <w:vAlign w:val="bottom"/>
            <w:shd w:val="clear" w:color="auto" w:fill="D4F1F5"/>
          </w:tcPr>
          <w:p>
            <w:pPr>
              <w:spacing w:after="0"/>
              <w:rPr>
                <w:sz w:val="18"/>
                <w:szCs w:val="18"/>
                <w:color w:val="auto"/>
              </w:rPr>
            </w:pPr>
          </w:p>
        </w:tc>
        <w:tc>
          <w:tcPr>
            <w:tcW w:w="260" w:type="dxa"/>
            <w:vAlign w:val="bottom"/>
            <w:shd w:val="clear" w:color="auto" w:fill="D4F1F5"/>
          </w:tcPr>
          <w:p>
            <w:pPr>
              <w:spacing w:after="0"/>
              <w:rPr>
                <w:sz w:val="18"/>
                <w:szCs w:val="18"/>
                <w:color w:val="auto"/>
              </w:rPr>
            </w:pPr>
          </w:p>
        </w:tc>
        <w:tc>
          <w:tcPr>
            <w:tcW w:w="1100" w:type="dxa"/>
            <w:vAlign w:val="bottom"/>
            <w:shd w:val="clear" w:color="auto" w:fill="D4F1F5"/>
          </w:tcPr>
          <w:p>
            <w:pPr>
              <w:spacing w:after="0"/>
              <w:rPr>
                <w:sz w:val="18"/>
                <w:szCs w:val="18"/>
                <w:color w:val="auto"/>
              </w:rPr>
            </w:pPr>
          </w:p>
        </w:tc>
      </w:tr>
      <w:tr>
        <w:trPr>
          <w:trHeight w:val="215"/>
        </w:trPr>
        <w:tc>
          <w:tcPr>
            <w:tcW w:w="7120" w:type="dxa"/>
            <w:vAlign w:val="bottom"/>
          </w:tcPr>
          <w:p>
            <w:pPr>
              <w:ind w:left="20"/>
              <w:spacing w:after="0"/>
              <w:rPr>
                <w:sz w:val="20"/>
                <w:szCs w:val="20"/>
                <w:color w:val="auto"/>
              </w:rPr>
            </w:pPr>
            <w:r>
              <w:rPr>
                <w:rFonts w:ascii="Arial" w:cs="Arial" w:eastAsia="Arial" w:hAnsi="Arial"/>
                <w:sz w:val="16"/>
                <w:szCs w:val="16"/>
                <w:color w:val="auto"/>
              </w:rPr>
              <w:t>Change in GHG obligations, current and noncurrent</w:t>
            </w:r>
          </w:p>
        </w:tc>
        <w:tc>
          <w:tcPr>
            <w:tcW w:w="2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(147)</w:t>
            </w: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(121)</w:t>
            </w:r>
          </w:p>
        </w:tc>
      </w:tr>
      <w:tr>
        <w:trPr>
          <w:trHeight w:val="217"/>
        </w:trPr>
        <w:tc>
          <w:tcPr>
            <w:tcW w:w="7120" w:type="dxa"/>
            <w:vAlign w:val="bottom"/>
            <w:shd w:val="clear" w:color="auto" w:fill="D4F1F5"/>
          </w:tcPr>
          <w:p>
            <w:pPr>
              <w:ind w:left="20"/>
              <w:spacing w:after="0"/>
              <w:rPr>
                <w:sz w:val="20"/>
                <w:szCs w:val="20"/>
                <w:color w:val="auto"/>
              </w:rPr>
            </w:pPr>
            <w:r>
              <w:rPr>
                <w:rFonts w:ascii="Arial" w:cs="Arial" w:eastAsia="Arial" w:hAnsi="Arial"/>
                <w:sz w:val="16"/>
                <w:szCs w:val="16"/>
                <w:color w:val="auto"/>
              </w:rPr>
              <w:t>Change in accounts payable</w:t>
            </w:r>
          </w:p>
        </w:tc>
        <w:tc>
          <w:tcPr>
            <w:tcW w:w="260" w:type="dxa"/>
            <w:vAlign w:val="bottom"/>
            <w:shd w:val="clear" w:color="auto" w:fill="D4F1F5"/>
          </w:tcPr>
          <w:p>
            <w:pPr>
              <w:spacing w:after="0"/>
              <w:rPr>
                <w:sz w:val="18"/>
                <w:szCs w:val="18"/>
                <w:color w:val="auto"/>
              </w:rPr>
            </w:pPr>
          </w:p>
        </w:tc>
        <w:tc>
          <w:tcPr>
            <w:tcW w:w="1080" w:type="dxa"/>
            <w:vAlign w:val="bottom"/>
            <w:shd w:val="clear" w:color="auto" w:fill="D4F1F5"/>
          </w:tcPr>
          <w:p>
            <w:pPr>
              <w:spacing w:after="0"/>
              <w:rPr>
                <w:sz w:val="18"/>
                <w:szCs w:val="18"/>
                <w:color w:val="auto"/>
              </w:rPr>
            </w:pPr>
          </w:p>
        </w:tc>
        <w:tc>
          <w:tcPr>
            <w:tcW w:w="320" w:type="dxa"/>
            <w:vAlign w:val="bottom"/>
            <w:shd w:val="clear" w:color="auto" w:fill="D4F1F5"/>
          </w:tcPr>
          <w:p>
            <w:pPr>
              <w:spacing w:after="0"/>
              <w:rPr>
                <w:sz w:val="18"/>
                <w:szCs w:val="18"/>
                <w:color w:val="auto"/>
              </w:rPr>
            </w:pPr>
          </w:p>
        </w:tc>
        <w:tc>
          <w:tcPr>
            <w:tcW w:w="1100" w:type="dxa"/>
            <w:vAlign w:val="bottom"/>
            <w:shd w:val="clear" w:color="auto" w:fill="D4F1F5"/>
          </w:tcPr>
          <w:p>
            <w:pPr>
              <w:jc w:val="right"/>
              <w:spacing w:after="0"/>
              <w:rPr>
                <w:sz w:val="20"/>
                <w:szCs w:val="20"/>
                <w:color w:val="auto"/>
              </w:rPr>
            </w:pPr>
            <w:r>
              <w:rPr>
                <w:rFonts w:ascii="Arial" w:cs="Arial" w:eastAsia="Arial" w:hAnsi="Arial"/>
                <w:sz w:val="16"/>
                <w:szCs w:val="16"/>
                <w:color w:val="auto"/>
              </w:rPr>
              <w:t>(43)</w:t>
            </w:r>
          </w:p>
        </w:tc>
        <w:tc>
          <w:tcPr>
            <w:tcW w:w="260" w:type="dxa"/>
            <w:vAlign w:val="bottom"/>
            <w:shd w:val="clear" w:color="auto" w:fill="D4F1F5"/>
          </w:tcPr>
          <w:p>
            <w:pPr>
              <w:spacing w:after="0"/>
              <w:rPr>
                <w:sz w:val="18"/>
                <w:szCs w:val="18"/>
                <w:color w:val="auto"/>
              </w:rPr>
            </w:pPr>
          </w:p>
        </w:tc>
        <w:tc>
          <w:tcPr>
            <w:tcW w:w="1100" w:type="dxa"/>
            <w:vAlign w:val="bottom"/>
            <w:shd w:val="clear" w:color="auto" w:fill="D4F1F5"/>
          </w:tcPr>
          <w:p>
            <w:pPr>
              <w:spacing w:after="0"/>
              <w:rPr>
                <w:sz w:val="18"/>
                <w:szCs w:val="18"/>
                <w:color w:val="auto"/>
              </w:rPr>
            </w:pPr>
          </w:p>
        </w:tc>
      </w:tr>
      <w:tr>
        <w:trPr>
          <w:trHeight w:val="215"/>
        </w:trPr>
        <w:tc>
          <w:tcPr>
            <w:tcW w:w="7120" w:type="dxa"/>
            <w:vAlign w:val="bottom"/>
            <w:tcBorders>
              <w:bottom w:val="single" w:sz="8" w:color="D4F1F5"/>
            </w:tcBorders>
          </w:tcPr>
          <w:p>
            <w:pPr>
              <w:ind w:left="20"/>
              <w:spacing w:after="0"/>
              <w:rPr>
                <w:sz w:val="20"/>
                <w:szCs w:val="20"/>
                <w:color w:val="auto"/>
              </w:rPr>
            </w:pPr>
            <w:r>
              <w:rPr>
                <w:rFonts w:ascii="Arial" w:cs="Arial" w:eastAsia="Arial" w:hAnsi="Arial"/>
                <w:sz w:val="16"/>
                <w:szCs w:val="16"/>
                <w:color w:val="auto"/>
              </w:rPr>
              <w:t>Other</w:t>
            </w:r>
          </w:p>
        </w:tc>
        <w:tc>
          <w:tcPr>
            <w:tcW w:w="2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39</w:t>
            </w: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6</w:t>
            </w:r>
          </w:p>
        </w:tc>
        <w:tc>
          <w:tcPr>
            <w:tcW w:w="2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w:t>
            </w:r>
          </w:p>
        </w:tc>
      </w:tr>
      <w:tr>
        <w:trPr>
          <w:trHeight w:val="217"/>
        </w:trPr>
        <w:tc>
          <w:tcPr>
            <w:tcW w:w="7120" w:type="dxa"/>
            <w:vAlign w:val="bottom"/>
            <w:tcBorders>
              <w:bottom w:val="single" w:sz="8" w:color="auto"/>
            </w:tcBorders>
            <w:shd w:val="clear" w:color="auto" w:fill="D4F1F5"/>
          </w:tcPr>
          <w:p>
            <w:pPr>
              <w:spacing w:after="0"/>
              <w:rPr>
                <w:sz w:val="18"/>
                <w:szCs w:val="18"/>
                <w:color w:val="auto"/>
              </w:rPr>
            </w:pPr>
          </w:p>
        </w:tc>
        <w:tc>
          <w:tcPr>
            <w:tcW w:w="260" w:type="dxa"/>
            <w:vAlign w:val="bottom"/>
            <w:tcBorders>
              <w:bottom w:val="single" w:sz="8" w:color="auto"/>
            </w:tcBorders>
            <w:shd w:val="clear" w:color="auto" w:fill="D4F1F5"/>
          </w:tcPr>
          <w:p>
            <w:pPr>
              <w:jc w:val="right"/>
              <w:ind w:right="5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shd w:val="clear" w:color="auto" w:fill="D4F1F5"/>
          </w:tcPr>
          <w:p>
            <w:pPr>
              <w:jc w:val="right"/>
              <w:ind w:right="40"/>
              <w:spacing w:after="0"/>
              <w:rPr>
                <w:sz w:val="20"/>
                <w:szCs w:val="20"/>
                <w:color w:val="auto"/>
              </w:rPr>
            </w:pPr>
            <w:r>
              <w:rPr>
                <w:rFonts w:ascii="Arial" w:cs="Arial" w:eastAsia="Arial" w:hAnsi="Arial"/>
                <w:sz w:val="16"/>
                <w:szCs w:val="16"/>
                <w:color w:val="auto"/>
              </w:rPr>
              <w:t>327</w:t>
            </w:r>
          </w:p>
        </w:tc>
        <w:tc>
          <w:tcPr>
            <w:tcW w:w="320" w:type="dxa"/>
            <w:vAlign w:val="bottom"/>
            <w:tcBorders>
              <w:bottom w:val="single" w:sz="8" w:color="auto"/>
            </w:tcBorders>
            <w:shd w:val="clear" w:color="auto" w:fill="D4F1F5"/>
          </w:tcPr>
          <w:p>
            <w:pPr>
              <w:jc w:val="right"/>
              <w:ind w:right="5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shd w:val="clear" w:color="auto" w:fill="D4F1F5"/>
          </w:tcPr>
          <w:p>
            <w:pPr>
              <w:jc w:val="right"/>
              <w:ind w:right="40"/>
              <w:spacing w:after="0"/>
              <w:rPr>
                <w:sz w:val="20"/>
                <w:szCs w:val="20"/>
                <w:color w:val="auto"/>
              </w:rPr>
            </w:pPr>
            <w:r>
              <w:rPr>
                <w:rFonts w:ascii="Arial" w:cs="Arial" w:eastAsia="Arial" w:hAnsi="Arial"/>
                <w:sz w:val="16"/>
                <w:szCs w:val="16"/>
                <w:color w:val="auto"/>
              </w:rPr>
              <w:t>96</w:t>
            </w:r>
          </w:p>
        </w:tc>
        <w:tc>
          <w:tcPr>
            <w:tcW w:w="260" w:type="dxa"/>
            <w:vAlign w:val="bottom"/>
            <w:tcBorders>
              <w:bottom w:val="single" w:sz="8" w:color="auto"/>
            </w:tcBorders>
            <w:shd w:val="clear" w:color="auto" w:fill="D4F1F5"/>
          </w:tcPr>
          <w:p>
            <w:pPr>
              <w:jc w:val="right"/>
              <w:ind w:right="1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shd w:val="clear" w:color="auto" w:fill="D4F1F5"/>
          </w:tcPr>
          <w:p>
            <w:pPr>
              <w:jc w:val="right"/>
              <w:spacing w:after="0"/>
              <w:rPr>
                <w:sz w:val="20"/>
                <w:szCs w:val="20"/>
                <w:color w:val="auto"/>
              </w:rPr>
            </w:pPr>
            <w:r>
              <w:rPr>
                <w:rFonts w:ascii="Arial" w:cs="Arial" w:eastAsia="Arial" w:hAnsi="Arial"/>
                <w:sz w:val="16"/>
                <w:szCs w:val="16"/>
                <w:color w:val="auto"/>
              </w:rPr>
              <w:t>100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150495</wp:posOffset>
            </wp:positionV>
            <wp:extent cx="7157720" cy="4254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0" w:name="page111"/>
    <w:bookmarkEnd w:id="11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FFFFFF"/>
        </w:rPr>
        <w:t>CASH FLOWS FROM INVESTING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-115570</wp:posOffset>
            </wp:positionV>
            <wp:extent cx="7132320" cy="26606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132320" cy="266065"/>
                    </a:xfrm>
                    <a:prstGeom prst="rect">
                      <a:avLst/>
                    </a:prstGeom>
                    <a:noFill/>
                  </pic:spPr>
                </pic:pic>
              </a:graphicData>
            </a:graphic>
          </wp:anchor>
        </w:drawing>
      </w:r>
    </w:p>
    <w:p>
      <w:pPr>
        <w:spacing w:after="0" w:line="19" w:lineRule="exact"/>
        <w:rPr>
          <w:sz w:val="20"/>
          <w:szCs w:val="20"/>
          <w:color w:val="auto"/>
        </w:rPr>
      </w:pPr>
    </w:p>
    <w:p>
      <w:pPr>
        <w:ind w:left="20"/>
        <w:spacing w:after="0"/>
        <w:rPr>
          <w:sz w:val="20"/>
          <w:szCs w:val="20"/>
          <w:color w:val="auto"/>
        </w:rPr>
      </w:pPr>
      <w:r>
        <w:rPr>
          <w:rFonts w:ascii="Arial" w:cs="Arial" w:eastAsia="Arial" w:hAnsi="Arial"/>
          <w:sz w:val="14"/>
          <w:szCs w:val="14"/>
          <w:i w:val="1"/>
          <w:iCs w:val="1"/>
          <w:color w:val="FFFFFF"/>
        </w:rPr>
        <w:t>(Dollars in millions)</w:t>
      </w:r>
    </w:p>
    <w:p>
      <w:pPr>
        <w:spacing w:after="0" w:line="53" w:lineRule="exact"/>
        <w:rPr>
          <w:sz w:val="20"/>
          <w:szCs w:val="20"/>
          <w:color w:val="auto"/>
        </w:rPr>
      </w:pPr>
    </w:p>
    <w:p>
      <w:pPr>
        <w:ind w:left="20"/>
        <w:spacing w:after="0"/>
        <w:tabs>
          <w:tab w:leader="none" w:pos="7520" w:val="left"/>
          <w:tab w:leader="none" w:pos="8900" w:val="left"/>
          <w:tab w:leader="none" w:pos="10240" w:val="left"/>
        </w:tabs>
        <w:rPr>
          <w:sz w:val="20"/>
          <w:szCs w:val="20"/>
          <w:color w:val="auto"/>
        </w:rPr>
      </w:pPr>
      <w:r>
        <w:rPr>
          <w:rFonts w:ascii="Arial" w:cs="Arial" w:eastAsia="Arial" w:hAnsi="Arial"/>
          <w:sz w:val="14"/>
          <w:szCs w:val="14"/>
          <w:color w:val="auto"/>
        </w:rPr>
        <w:t>Three months ended March 31,</w:t>
      </w:r>
      <w:r>
        <w:rPr>
          <w:sz w:val="20"/>
          <w:szCs w:val="20"/>
          <w:color w:val="auto"/>
        </w:rPr>
        <w:tab/>
      </w:r>
      <w:r>
        <w:rPr>
          <w:rFonts w:ascii="Arial" w:cs="Arial" w:eastAsia="Arial" w:hAnsi="Arial"/>
          <w:sz w:val="14"/>
          <w:szCs w:val="14"/>
          <w:color w:val="auto"/>
        </w:rPr>
        <w:t>Sempra</w:t>
      </w:r>
      <w:r>
        <w:rPr>
          <w:sz w:val="20"/>
          <w:szCs w:val="20"/>
          <w:color w:val="auto"/>
        </w:rPr>
        <w:tab/>
      </w:r>
      <w:r>
        <w:rPr>
          <w:rFonts w:ascii="Arial" w:cs="Arial" w:eastAsia="Arial" w:hAnsi="Arial"/>
          <w:sz w:val="14"/>
          <w:szCs w:val="14"/>
          <w:color w:val="auto"/>
        </w:rPr>
        <w:t>SDG&amp;E</w:t>
      </w:r>
      <w:r>
        <w:rPr>
          <w:sz w:val="20"/>
          <w:szCs w:val="20"/>
          <w:color w:val="auto"/>
        </w:rPr>
        <w:tab/>
      </w:r>
      <w:r>
        <w:rPr>
          <w:rFonts w:ascii="Arial" w:cs="Arial" w:eastAsia="Arial" w:hAnsi="Arial"/>
          <w:sz w:val="14"/>
          <w:szCs w:val="14"/>
          <w:color w:val="auto"/>
        </w:rPr>
        <w:t>SoCalGas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14541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p>
      <w:pPr>
        <w:spacing w:after="0" w:line="50" w:lineRule="exact"/>
        <w:rPr>
          <w:sz w:val="20"/>
          <w:szCs w:val="20"/>
          <w:color w:val="auto"/>
        </w:rPr>
      </w:pPr>
    </w:p>
    <w:p>
      <w:pPr>
        <w:ind w:left="20"/>
        <w:spacing w:after="0"/>
        <w:rPr>
          <w:sz w:val="20"/>
          <w:szCs w:val="20"/>
          <w:color w:val="auto"/>
        </w:rPr>
      </w:pPr>
      <w:r>
        <w:rPr>
          <w:rFonts w:ascii="Arial" w:cs="Arial" w:eastAsia="Arial" w:hAnsi="Arial"/>
          <w:sz w:val="16"/>
          <w:szCs w:val="16"/>
          <w:color w:val="auto"/>
        </w:rPr>
        <w:t>2026</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6"/>
          <w:szCs w:val="16"/>
          <w:color w:val="auto"/>
        </w:rPr>
        <w:t>2025</w:t>
      </w:r>
    </w:p>
    <w:p>
      <w:pPr>
        <w:spacing w:after="0" w:line="59" w:lineRule="exact"/>
        <w:rPr>
          <w:sz w:val="20"/>
          <w:szCs w:val="20"/>
          <w:color w:val="auto"/>
        </w:rPr>
      </w:pPr>
    </w:p>
    <w:p>
      <w:pPr>
        <w:ind w:left="140"/>
        <w:spacing w:after="0"/>
        <w:rPr>
          <w:sz w:val="20"/>
          <w:szCs w:val="20"/>
          <w:color w:val="auto"/>
        </w:rPr>
      </w:pPr>
      <w:r>
        <w:rPr>
          <w:rFonts w:ascii="Arial" w:cs="Arial" w:eastAsia="Arial" w:hAnsi="Arial"/>
          <w:sz w:val="16"/>
          <w:szCs w:val="16"/>
          <w:color w:val="auto"/>
        </w:rPr>
        <w:t>Change</w:t>
      </w:r>
    </w:p>
    <w:p>
      <w:pPr>
        <w:spacing w:after="0" w:line="248" w:lineRule="exact"/>
        <w:rPr>
          <w:sz w:val="20"/>
          <w:szCs w:val="20"/>
          <w:color w:val="auto"/>
        </w:rPr>
      </w:pPr>
    </w:p>
    <w:p>
      <w:pPr>
        <w:ind w:left="20"/>
        <w:spacing w:after="0"/>
        <w:rPr>
          <w:sz w:val="20"/>
          <w:szCs w:val="20"/>
          <w:color w:val="auto"/>
        </w:rPr>
      </w:pPr>
      <w:r>
        <w:rPr>
          <w:rFonts w:ascii="Arial" w:cs="Arial" w:eastAsia="Arial" w:hAnsi="Arial"/>
          <w:sz w:val="16"/>
          <w:szCs w:val="16"/>
          <w:color w:val="auto"/>
        </w:rPr>
        <w:t>Higher contributions to Oncor Holdings</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6"/>
          <w:szCs w:val="16"/>
          <w:color w:val="auto"/>
        </w:rPr>
        <w:t>(Increase) decrease in capital expenditures</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6"/>
          <w:szCs w:val="16"/>
          <w:color w:val="auto"/>
        </w:rPr>
        <w:t>Other</w:t>
      </w:r>
    </w:p>
    <w:p>
      <w:pPr>
        <w:spacing w:after="0" w:line="20" w:lineRule="exact"/>
        <w:rPr>
          <w:sz w:val="20"/>
          <w:szCs w:val="20"/>
          <w:color w:val="auto"/>
        </w:rPr>
      </w:pPr>
      <w:r>
        <w:rPr>
          <w:sz w:val="20"/>
          <w:szCs w:val="20"/>
          <w:color w:val="auto"/>
        </w:rPr>
        <w:br w:type="column"/>
      </w:r>
    </w:p>
    <w:p>
      <w:pPr>
        <w:spacing w:after="0" w:line="3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5"/>
        </w:trPr>
        <w:tc>
          <w:tcPr>
            <w:tcW w:w="420" w:type="dxa"/>
            <w:vAlign w:val="bottom"/>
          </w:tcPr>
          <w:p>
            <w:pPr>
              <w:jc w:val="right"/>
              <w:ind w:right="239"/>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(3,311)</w:t>
            </w:r>
          </w:p>
        </w:tc>
        <w:tc>
          <w:tcPr>
            <w:tcW w:w="560" w:type="dxa"/>
            <w:vAlign w:val="bottom"/>
          </w:tcPr>
          <w:p>
            <w:pPr>
              <w:jc w:val="right"/>
              <w:ind w:right="319"/>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(478)</w:t>
            </w:r>
          </w:p>
        </w:tc>
        <w:tc>
          <w:tcPr>
            <w:tcW w:w="560" w:type="dxa"/>
            <w:vAlign w:val="bottom"/>
          </w:tcPr>
          <w:p>
            <w:pPr>
              <w:jc w:val="right"/>
              <w:ind w:right="319"/>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(481)</w:t>
            </w:r>
          </w:p>
        </w:tc>
      </w:tr>
      <w:tr>
        <w:trPr>
          <w:trHeight w:val="217"/>
        </w:trPr>
        <w:tc>
          <w:tcPr>
            <w:tcW w:w="4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(2,785)</w:t>
            </w:r>
          </w:p>
        </w:tc>
        <w:tc>
          <w:tcPr>
            <w:tcW w:w="5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(523)</w:t>
            </w:r>
          </w:p>
        </w:tc>
        <w:tc>
          <w:tcPr>
            <w:tcW w:w="5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(555)</w:t>
            </w:r>
          </w:p>
        </w:tc>
      </w:tr>
      <w:tr>
        <w:trPr>
          <w:trHeight w:val="218"/>
        </w:trPr>
        <w:tc>
          <w:tcPr>
            <w:tcW w:w="42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(526)</w:t>
            </w:r>
          </w:p>
        </w:tc>
        <w:tc>
          <w:tcPr>
            <w:tcW w:w="56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45</w:t>
            </w:r>
          </w:p>
        </w:tc>
        <w:tc>
          <w:tcPr>
            <w:tcW w:w="56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74</w:t>
            </w:r>
          </w:p>
        </w:tc>
      </w:tr>
      <w:tr>
        <w:trPr>
          <w:trHeight w:val="417"/>
        </w:trPr>
        <w:tc>
          <w:tcPr>
            <w:tcW w:w="420" w:type="dxa"/>
            <w:vAlign w:val="bottom"/>
          </w:tcPr>
          <w:p>
            <w:pPr>
              <w:jc w:val="right"/>
              <w:ind w:right="239"/>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(390)</w:t>
            </w:r>
          </w:p>
        </w:tc>
        <w:tc>
          <w:tcPr>
            <w:tcW w:w="5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216"/>
        </w:trPr>
        <w:tc>
          <w:tcPr>
            <w:tcW w:w="4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(125)</w:t>
            </w:r>
          </w:p>
        </w:tc>
        <w:tc>
          <w:tcPr>
            <w:tcW w:w="560" w:type="dxa"/>
            <w:vAlign w:val="bottom"/>
          </w:tcPr>
          <w:p>
            <w:pPr>
              <w:jc w:val="right"/>
              <w:ind w:right="319"/>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39"/>
              <w:spacing w:after="0"/>
              <w:rPr>
                <w:sz w:val="20"/>
                <w:szCs w:val="20"/>
                <w:color w:val="auto"/>
              </w:rPr>
            </w:pPr>
            <w:r>
              <w:rPr>
                <w:rFonts w:ascii="Arial" w:cs="Arial" w:eastAsia="Arial" w:hAnsi="Arial"/>
                <w:sz w:val="16"/>
                <w:szCs w:val="16"/>
                <w:color w:val="auto"/>
              </w:rPr>
              <w:t>53</w:t>
            </w:r>
          </w:p>
        </w:tc>
        <w:tc>
          <w:tcPr>
            <w:tcW w:w="560" w:type="dxa"/>
            <w:vAlign w:val="bottom"/>
          </w:tcPr>
          <w:p>
            <w:pPr>
              <w:jc w:val="right"/>
              <w:ind w:right="319"/>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74</w:t>
            </w:r>
          </w:p>
        </w:tc>
      </w:tr>
      <w:tr>
        <w:trPr>
          <w:trHeight w:val="217"/>
        </w:trPr>
        <w:tc>
          <w:tcPr>
            <w:tcW w:w="4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w:t>
            </w:r>
          </w:p>
        </w:tc>
        <w:tc>
          <w:tcPr>
            <w:tcW w:w="5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w:t>
            </w:r>
          </w:p>
        </w:tc>
        <w:tc>
          <w:tcPr>
            <w:tcW w:w="5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r>
      <w:tr>
        <w:trPr>
          <w:trHeight w:val="209"/>
        </w:trPr>
        <w:tc>
          <w:tcPr>
            <w:tcW w:w="420" w:type="dxa"/>
            <w:vAlign w:val="bottom"/>
          </w:tcPr>
          <w:p>
            <w:pPr>
              <w:jc w:val="right"/>
              <w:ind w:right="239"/>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(526)</w:t>
            </w:r>
          </w:p>
        </w:tc>
        <w:tc>
          <w:tcPr>
            <w:tcW w:w="560" w:type="dxa"/>
            <w:vAlign w:val="bottom"/>
          </w:tcPr>
          <w:p>
            <w:pPr>
              <w:jc w:val="right"/>
              <w:ind w:right="319"/>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39"/>
              <w:spacing w:after="0"/>
              <w:rPr>
                <w:sz w:val="20"/>
                <w:szCs w:val="20"/>
                <w:color w:val="auto"/>
              </w:rPr>
            </w:pPr>
            <w:r>
              <w:rPr>
                <w:rFonts w:ascii="Arial" w:cs="Arial" w:eastAsia="Arial" w:hAnsi="Arial"/>
                <w:sz w:val="16"/>
                <w:szCs w:val="16"/>
                <w:color w:val="auto"/>
              </w:rPr>
              <w:t>45</w:t>
            </w:r>
          </w:p>
        </w:tc>
        <w:tc>
          <w:tcPr>
            <w:tcW w:w="560" w:type="dxa"/>
            <w:vAlign w:val="bottom"/>
          </w:tcPr>
          <w:p>
            <w:pPr>
              <w:jc w:val="right"/>
              <w:ind w:right="319"/>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74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-4528185</wp:posOffset>
            </wp:positionH>
            <wp:positionV relativeFrom="paragraph">
              <wp:posOffset>-847090</wp:posOffset>
            </wp:positionV>
            <wp:extent cx="7132320" cy="15430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-4528185</wp:posOffset>
            </wp:positionH>
            <wp:positionV relativeFrom="paragraph">
              <wp:posOffset>-555625</wp:posOffset>
            </wp:positionV>
            <wp:extent cx="7132320" cy="13716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-4528185</wp:posOffset>
            </wp:positionH>
            <wp:positionV relativeFrom="paragraph">
              <wp:posOffset>-281305</wp:posOffset>
            </wp:positionV>
            <wp:extent cx="7132320" cy="13716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-4528185</wp:posOffset>
            </wp:positionH>
            <wp:positionV relativeFrom="paragraph">
              <wp:posOffset>635</wp:posOffset>
            </wp:positionV>
            <wp:extent cx="7132320" cy="1714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6420" w:space="720"/>
            <w:col w:w="4100"/>
          </w:cols>
          <w:pgMar w:left="320" w:top="121" w:right="339" w:bottom="1440" w:gutter="0" w:footer="0" w:header="0"/>
          <w:type w:val="continuous"/>
        </w:sectPr>
      </w:pPr>
    </w:p>
    <w:p>
      <w:pPr>
        <w:spacing w:after="0" w:line="111"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FFFFFF"/>
        </w:rPr>
        <w:t>CASH FLOWS FROM FINANCING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-115570</wp:posOffset>
            </wp:positionV>
            <wp:extent cx="7132320" cy="26543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132320" cy="265430"/>
                    </a:xfrm>
                    <a:prstGeom prst="rect">
                      <a:avLst/>
                    </a:prstGeom>
                    <a:noFill/>
                  </pic:spPr>
                </pic:pic>
              </a:graphicData>
            </a:graphic>
          </wp:anchor>
        </w:drawing>
      </w:r>
    </w:p>
    <w:p>
      <w:pPr>
        <w:spacing w:after="0" w:line="19" w:lineRule="exact"/>
        <w:rPr>
          <w:sz w:val="20"/>
          <w:szCs w:val="20"/>
          <w:color w:val="auto"/>
        </w:rPr>
      </w:pPr>
    </w:p>
    <w:p>
      <w:pPr>
        <w:ind w:left="20"/>
        <w:spacing w:after="0"/>
        <w:rPr>
          <w:sz w:val="20"/>
          <w:szCs w:val="20"/>
          <w:color w:val="auto"/>
        </w:rPr>
      </w:pPr>
      <w:r>
        <w:rPr>
          <w:rFonts w:ascii="Arial" w:cs="Arial" w:eastAsia="Arial" w:hAnsi="Arial"/>
          <w:sz w:val="14"/>
          <w:szCs w:val="14"/>
          <w:i w:val="1"/>
          <w:iCs w:val="1"/>
          <w:color w:val="FFFFFF"/>
        </w:rPr>
        <w:t>(Dollars in millions)</w:t>
      </w:r>
    </w:p>
    <w:p>
      <w:pPr>
        <w:spacing w:after="0" w:line="53"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71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Three months ended March 31,</w:t>
            </w:r>
          </w:p>
        </w:tc>
        <w:tc>
          <w:tcPr>
            <w:tcW w:w="2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80"/>
              <w:spacing w:after="0"/>
              <w:rPr>
                <w:sz w:val="20"/>
                <w:szCs w:val="20"/>
                <w:color w:val="auto"/>
              </w:rPr>
            </w:pPr>
            <w:r>
              <w:rPr>
                <w:rFonts w:ascii="Arial" w:cs="Arial" w:eastAsia="Arial" w:hAnsi="Arial"/>
                <w:sz w:val="14"/>
                <w:szCs w:val="14"/>
                <w:color w:val="auto"/>
              </w:rPr>
              <w:t>Sempra</w:t>
            </w:r>
          </w:p>
        </w:tc>
        <w:tc>
          <w:tcPr>
            <w:tcW w:w="3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380"/>
              <w:spacing w:after="0"/>
              <w:rPr>
                <w:sz w:val="20"/>
                <w:szCs w:val="20"/>
                <w:color w:val="auto"/>
              </w:rPr>
            </w:pPr>
            <w:r>
              <w:rPr>
                <w:rFonts w:ascii="Arial" w:cs="Arial" w:eastAsia="Arial" w:hAnsi="Arial"/>
                <w:sz w:val="14"/>
                <w:szCs w:val="14"/>
                <w:color w:val="auto"/>
              </w:rPr>
              <w:t>SDG&amp;E</w:t>
            </w:r>
          </w:p>
        </w:tc>
        <w:tc>
          <w:tcPr>
            <w:tcW w:w="2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240"/>
              <w:spacing w:after="0"/>
              <w:rPr>
                <w:sz w:val="20"/>
                <w:szCs w:val="20"/>
                <w:color w:val="auto"/>
              </w:rPr>
            </w:pPr>
            <w:r>
              <w:rPr>
                <w:rFonts w:ascii="Arial" w:cs="Arial" w:eastAsia="Arial" w:hAnsi="Arial"/>
                <w:sz w:val="14"/>
                <w:szCs w:val="14"/>
                <w:color w:val="auto"/>
              </w:rPr>
              <w:t>SoCalGas</w:t>
            </w:r>
          </w:p>
        </w:tc>
      </w:tr>
      <w:tr>
        <w:trPr>
          <w:trHeight w:val="213"/>
        </w:trPr>
        <w:tc>
          <w:tcPr>
            <w:tcW w:w="7100" w:type="dxa"/>
            <w:vAlign w:val="bottom"/>
            <w:shd w:val="clear" w:color="auto" w:fill="D4F1F5"/>
          </w:tcPr>
          <w:p>
            <w:pPr>
              <w:ind w:left="20"/>
              <w:spacing w:after="0"/>
              <w:rPr>
                <w:sz w:val="20"/>
                <w:szCs w:val="20"/>
                <w:color w:val="auto"/>
              </w:rPr>
            </w:pPr>
            <w:r>
              <w:rPr>
                <w:rFonts w:ascii="Arial" w:cs="Arial" w:eastAsia="Arial" w:hAnsi="Arial"/>
                <w:sz w:val="16"/>
                <w:szCs w:val="16"/>
                <w:color w:val="auto"/>
              </w:rPr>
              <w:t>2026</w:t>
            </w:r>
          </w:p>
        </w:tc>
        <w:tc>
          <w:tcPr>
            <w:tcW w:w="260" w:type="dxa"/>
            <w:vAlign w:val="bottom"/>
            <w:shd w:val="clear" w:color="auto" w:fill="D4F1F5"/>
          </w:tcPr>
          <w:p>
            <w:pPr>
              <w:jc w:val="right"/>
              <w:ind w:right="59"/>
              <w:spacing w:after="0"/>
              <w:rPr>
                <w:sz w:val="20"/>
                <w:szCs w:val="20"/>
                <w:color w:val="auto"/>
              </w:rPr>
            </w:pPr>
            <w:r>
              <w:rPr>
                <w:rFonts w:ascii="Arial" w:cs="Arial" w:eastAsia="Arial" w:hAnsi="Arial"/>
                <w:sz w:val="16"/>
                <w:szCs w:val="16"/>
                <w:color w:val="auto"/>
              </w:rPr>
              <w:t>$</w:t>
            </w:r>
          </w:p>
        </w:tc>
        <w:tc>
          <w:tcPr>
            <w:tcW w:w="1100" w:type="dxa"/>
            <w:vAlign w:val="bottom"/>
            <w:shd w:val="clear" w:color="auto" w:fill="D4F1F5"/>
          </w:tcPr>
          <w:p>
            <w:pPr>
              <w:jc w:val="right"/>
              <w:ind w:right="40"/>
              <w:spacing w:after="0"/>
              <w:rPr>
                <w:sz w:val="20"/>
                <w:szCs w:val="20"/>
                <w:color w:val="auto"/>
              </w:rPr>
            </w:pPr>
            <w:r>
              <w:rPr>
                <w:rFonts w:ascii="Arial" w:cs="Arial" w:eastAsia="Arial" w:hAnsi="Arial"/>
                <w:sz w:val="16"/>
                <w:szCs w:val="16"/>
                <w:color w:val="auto"/>
              </w:rPr>
              <w:t>1,912</w:t>
            </w:r>
          </w:p>
        </w:tc>
        <w:tc>
          <w:tcPr>
            <w:tcW w:w="300" w:type="dxa"/>
            <w:vAlign w:val="bottom"/>
            <w:shd w:val="clear" w:color="auto" w:fill="D4F1F5"/>
          </w:tcPr>
          <w:p>
            <w:pPr>
              <w:jc w:val="right"/>
              <w:ind w:right="59"/>
              <w:spacing w:after="0"/>
              <w:rPr>
                <w:sz w:val="20"/>
                <w:szCs w:val="20"/>
                <w:color w:val="auto"/>
              </w:rPr>
            </w:pPr>
            <w:r>
              <w:rPr>
                <w:rFonts w:ascii="Arial" w:cs="Arial" w:eastAsia="Arial" w:hAnsi="Arial"/>
                <w:sz w:val="16"/>
                <w:szCs w:val="16"/>
                <w:color w:val="auto"/>
              </w:rPr>
              <w:t>$</w:t>
            </w:r>
          </w:p>
        </w:tc>
        <w:tc>
          <w:tcPr>
            <w:tcW w:w="1120" w:type="dxa"/>
            <w:vAlign w:val="bottom"/>
            <w:shd w:val="clear" w:color="auto" w:fill="D4F1F5"/>
          </w:tcPr>
          <w:p>
            <w:pPr>
              <w:jc w:val="right"/>
              <w:ind w:right="40"/>
              <w:spacing w:after="0"/>
              <w:rPr>
                <w:sz w:val="20"/>
                <w:szCs w:val="20"/>
                <w:color w:val="auto"/>
              </w:rPr>
            </w:pPr>
            <w:r>
              <w:rPr>
                <w:rFonts w:ascii="Arial" w:cs="Arial" w:eastAsia="Arial" w:hAnsi="Arial"/>
                <w:sz w:val="16"/>
                <w:szCs w:val="16"/>
                <w:color w:val="auto"/>
              </w:rPr>
              <w:t>544</w:t>
            </w:r>
          </w:p>
        </w:tc>
        <w:tc>
          <w:tcPr>
            <w:tcW w:w="260" w:type="dxa"/>
            <w:vAlign w:val="bottom"/>
            <w:shd w:val="clear" w:color="auto" w:fill="D4F1F5"/>
          </w:tcPr>
          <w:p>
            <w:pPr>
              <w:jc w:val="right"/>
              <w:ind w:right="19"/>
              <w:spacing w:after="0"/>
              <w:rPr>
                <w:sz w:val="20"/>
                <w:szCs w:val="20"/>
                <w:color w:val="auto"/>
              </w:rPr>
            </w:pPr>
            <w:r>
              <w:rPr>
                <w:rFonts w:ascii="Arial" w:cs="Arial" w:eastAsia="Arial" w:hAnsi="Arial"/>
                <w:sz w:val="16"/>
                <w:szCs w:val="16"/>
                <w:color w:val="auto"/>
              </w:rPr>
              <w:t>$</w:t>
            </w:r>
          </w:p>
        </w:tc>
        <w:tc>
          <w:tcPr>
            <w:tcW w:w="1100" w:type="dxa"/>
            <w:vAlign w:val="bottom"/>
            <w:shd w:val="clear" w:color="auto" w:fill="D4F1F5"/>
          </w:tcPr>
          <w:p>
            <w:pPr>
              <w:jc w:val="right"/>
              <w:spacing w:after="0"/>
              <w:rPr>
                <w:sz w:val="20"/>
                <w:szCs w:val="20"/>
                <w:color w:val="auto"/>
              </w:rPr>
            </w:pPr>
            <w:r>
              <w:rPr>
                <w:rFonts w:ascii="Arial" w:cs="Arial" w:eastAsia="Arial" w:hAnsi="Arial"/>
                <w:sz w:val="16"/>
                <w:szCs w:val="16"/>
                <w:color w:val="auto"/>
              </w:rPr>
              <w:t>(411)</w:t>
            </w:r>
          </w:p>
        </w:tc>
      </w:tr>
      <w:tr>
        <w:trPr>
          <w:trHeight w:val="215"/>
        </w:trPr>
        <w:tc>
          <w:tcPr>
            <w:tcW w:w="7100" w:type="dxa"/>
            <w:vAlign w:val="bottom"/>
            <w:tcBorders>
              <w:bottom w:val="single" w:sz="8" w:color="D4F1F5"/>
            </w:tcBorders>
          </w:tcPr>
          <w:p>
            <w:pPr>
              <w:ind w:left="20"/>
              <w:spacing w:after="0"/>
              <w:rPr>
                <w:sz w:val="20"/>
                <w:szCs w:val="20"/>
                <w:color w:val="auto"/>
              </w:rPr>
            </w:pPr>
            <w:r>
              <w:rPr>
                <w:rFonts w:ascii="Arial" w:cs="Arial" w:eastAsia="Arial" w:hAnsi="Arial"/>
                <w:sz w:val="16"/>
                <w:szCs w:val="16"/>
                <w:color w:val="auto"/>
              </w:rPr>
              <w:t>2025</w:t>
            </w:r>
          </w:p>
        </w:tc>
        <w:tc>
          <w:tcPr>
            <w:tcW w:w="2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1,476</w:t>
            </w:r>
          </w:p>
        </w:tc>
        <w:tc>
          <w:tcPr>
            <w:tcW w:w="3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552</w:t>
            </w:r>
          </w:p>
        </w:tc>
        <w:tc>
          <w:tcPr>
            <w:tcW w:w="2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(196)</w:t>
            </w:r>
          </w:p>
        </w:tc>
      </w:tr>
      <w:tr>
        <w:trPr>
          <w:trHeight w:val="217"/>
        </w:trPr>
        <w:tc>
          <w:tcPr>
            <w:tcW w:w="7100" w:type="dxa"/>
            <w:vAlign w:val="bottom"/>
            <w:tcBorders>
              <w:bottom w:val="single" w:sz="8" w:color="D4F1F5"/>
            </w:tcBorders>
            <w:shd w:val="clear" w:color="auto" w:fill="D4F1F5"/>
          </w:tcPr>
          <w:p>
            <w:pPr>
              <w:ind w:left="240"/>
              <w:spacing w:after="0"/>
              <w:rPr>
                <w:sz w:val="20"/>
                <w:szCs w:val="20"/>
                <w:color w:val="auto"/>
              </w:rPr>
            </w:pPr>
            <w:r>
              <w:rPr>
                <w:rFonts w:ascii="Arial" w:cs="Arial" w:eastAsia="Arial" w:hAnsi="Arial"/>
                <w:sz w:val="16"/>
                <w:szCs w:val="16"/>
                <w:color w:val="auto"/>
              </w:rPr>
              <w:t>Change</w:t>
            </w:r>
          </w:p>
        </w:tc>
        <w:tc>
          <w:tcPr>
            <w:tcW w:w="260" w:type="dxa"/>
            <w:vAlign w:val="bottom"/>
            <w:tcBorders>
              <w:bottom w:val="single" w:sz="8" w:color="auto"/>
            </w:tcBorders>
            <w:shd w:val="clear" w:color="auto" w:fill="D4F1F5"/>
          </w:tcPr>
          <w:p>
            <w:pPr>
              <w:jc w:val="right"/>
              <w:ind w:right="5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shd w:val="clear" w:color="auto" w:fill="D4F1F5"/>
          </w:tcPr>
          <w:p>
            <w:pPr>
              <w:jc w:val="right"/>
              <w:ind w:right="40"/>
              <w:spacing w:after="0"/>
              <w:rPr>
                <w:sz w:val="20"/>
                <w:szCs w:val="20"/>
                <w:color w:val="auto"/>
              </w:rPr>
            </w:pPr>
            <w:r>
              <w:rPr>
                <w:rFonts w:ascii="Arial" w:cs="Arial" w:eastAsia="Arial" w:hAnsi="Arial"/>
                <w:sz w:val="16"/>
                <w:szCs w:val="16"/>
                <w:color w:val="auto"/>
              </w:rPr>
              <w:t>436</w:t>
            </w:r>
          </w:p>
        </w:tc>
        <w:tc>
          <w:tcPr>
            <w:tcW w:w="300" w:type="dxa"/>
            <w:vAlign w:val="bottom"/>
            <w:tcBorders>
              <w:bottom w:val="single" w:sz="8" w:color="auto"/>
            </w:tcBorders>
            <w:shd w:val="clear" w:color="auto" w:fill="D4F1F5"/>
          </w:tcPr>
          <w:p>
            <w:pPr>
              <w:jc w:val="right"/>
              <w:ind w:right="5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shd w:val="clear" w:color="auto" w:fill="D4F1F5"/>
          </w:tcPr>
          <w:p>
            <w:pPr>
              <w:jc w:val="right"/>
              <w:spacing w:after="0"/>
              <w:rPr>
                <w:sz w:val="20"/>
                <w:szCs w:val="20"/>
                <w:color w:val="auto"/>
              </w:rPr>
            </w:pPr>
            <w:r>
              <w:rPr>
                <w:rFonts w:ascii="Arial" w:cs="Arial" w:eastAsia="Arial" w:hAnsi="Arial"/>
                <w:sz w:val="16"/>
                <w:szCs w:val="16"/>
                <w:color w:val="auto"/>
              </w:rPr>
              <w:t>(8)</w:t>
            </w:r>
          </w:p>
        </w:tc>
        <w:tc>
          <w:tcPr>
            <w:tcW w:w="260" w:type="dxa"/>
            <w:vAlign w:val="bottom"/>
            <w:tcBorders>
              <w:bottom w:val="single" w:sz="8" w:color="auto"/>
            </w:tcBorders>
            <w:shd w:val="clear" w:color="auto" w:fill="D4F1F5"/>
          </w:tcPr>
          <w:p>
            <w:pPr>
              <w:jc w:val="right"/>
              <w:ind w:right="1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shd w:val="clear" w:color="auto" w:fill="D4F1F5"/>
          </w:tcPr>
          <w:p>
            <w:pPr>
              <w:jc w:val="right"/>
              <w:spacing w:after="0"/>
              <w:rPr>
                <w:sz w:val="20"/>
                <w:szCs w:val="20"/>
                <w:color w:val="auto"/>
              </w:rPr>
            </w:pPr>
            <w:r>
              <w:rPr>
                <w:rFonts w:ascii="Arial" w:cs="Arial" w:eastAsia="Arial" w:hAnsi="Arial"/>
                <w:sz w:val="16"/>
                <w:szCs w:val="16"/>
                <w:color w:val="auto"/>
              </w:rPr>
              <w:t>(215)</w:t>
            </w:r>
          </w:p>
        </w:tc>
      </w:tr>
      <w:tr>
        <w:trPr>
          <w:trHeight w:val="203"/>
        </w:trPr>
        <w:tc>
          <w:tcPr>
            <w:tcW w:w="7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16"/>
        </w:trPr>
        <w:tc>
          <w:tcPr>
            <w:tcW w:w="7100" w:type="dxa"/>
            <w:vAlign w:val="bottom"/>
            <w:shd w:val="clear" w:color="auto" w:fill="D4F1F5"/>
          </w:tcPr>
          <w:p>
            <w:pPr>
              <w:ind w:left="20"/>
              <w:spacing w:after="0"/>
              <w:rPr>
                <w:sz w:val="20"/>
                <w:szCs w:val="20"/>
                <w:color w:val="auto"/>
              </w:rPr>
            </w:pPr>
            <w:r>
              <w:rPr>
                <w:rFonts w:ascii="Arial" w:cs="Arial" w:eastAsia="Arial" w:hAnsi="Arial"/>
                <w:sz w:val="16"/>
                <w:szCs w:val="16"/>
                <w:color w:val="auto"/>
              </w:rPr>
              <w:t>Lower payments on long-term debt and finance leases</w:t>
            </w:r>
          </w:p>
        </w:tc>
        <w:tc>
          <w:tcPr>
            <w:tcW w:w="260" w:type="dxa"/>
            <w:vAlign w:val="bottom"/>
            <w:shd w:val="clear" w:color="auto" w:fill="D4F1F5"/>
          </w:tcPr>
          <w:p>
            <w:pPr>
              <w:jc w:val="right"/>
              <w:ind w:right="59"/>
              <w:spacing w:after="0"/>
              <w:rPr>
                <w:sz w:val="20"/>
                <w:szCs w:val="20"/>
                <w:color w:val="auto"/>
              </w:rPr>
            </w:pPr>
            <w:r>
              <w:rPr>
                <w:rFonts w:ascii="Arial" w:cs="Arial" w:eastAsia="Arial" w:hAnsi="Arial"/>
                <w:sz w:val="16"/>
                <w:szCs w:val="16"/>
                <w:color w:val="auto"/>
              </w:rPr>
              <w:t>$</w:t>
            </w:r>
          </w:p>
        </w:tc>
        <w:tc>
          <w:tcPr>
            <w:tcW w:w="1100" w:type="dxa"/>
            <w:vAlign w:val="bottom"/>
            <w:shd w:val="clear" w:color="auto" w:fill="D4F1F5"/>
          </w:tcPr>
          <w:p>
            <w:pPr>
              <w:jc w:val="right"/>
              <w:ind w:right="40"/>
              <w:spacing w:after="0"/>
              <w:rPr>
                <w:sz w:val="20"/>
                <w:szCs w:val="20"/>
                <w:color w:val="auto"/>
              </w:rPr>
            </w:pPr>
            <w:r>
              <w:rPr>
                <w:rFonts w:ascii="Arial" w:cs="Arial" w:eastAsia="Arial" w:hAnsi="Arial"/>
                <w:sz w:val="16"/>
                <w:szCs w:val="16"/>
                <w:color w:val="auto"/>
              </w:rPr>
              <w:t>734</w:t>
            </w:r>
          </w:p>
        </w:tc>
        <w:tc>
          <w:tcPr>
            <w:tcW w:w="300" w:type="dxa"/>
            <w:vAlign w:val="bottom"/>
            <w:shd w:val="clear" w:color="auto" w:fill="D4F1F5"/>
          </w:tcPr>
          <w:p>
            <w:pPr>
              <w:spacing w:after="0"/>
              <w:rPr>
                <w:sz w:val="18"/>
                <w:szCs w:val="18"/>
                <w:color w:val="auto"/>
              </w:rPr>
            </w:pPr>
          </w:p>
        </w:tc>
        <w:tc>
          <w:tcPr>
            <w:tcW w:w="1120" w:type="dxa"/>
            <w:vAlign w:val="bottom"/>
            <w:shd w:val="clear" w:color="auto" w:fill="D4F1F5"/>
          </w:tcPr>
          <w:p>
            <w:pPr>
              <w:spacing w:after="0"/>
              <w:rPr>
                <w:sz w:val="18"/>
                <w:szCs w:val="18"/>
                <w:color w:val="auto"/>
              </w:rPr>
            </w:pPr>
          </w:p>
        </w:tc>
        <w:tc>
          <w:tcPr>
            <w:tcW w:w="260" w:type="dxa"/>
            <w:vAlign w:val="bottom"/>
            <w:shd w:val="clear" w:color="auto" w:fill="D4F1F5"/>
          </w:tcPr>
          <w:p>
            <w:pPr>
              <w:spacing w:after="0"/>
              <w:rPr>
                <w:sz w:val="18"/>
                <w:szCs w:val="18"/>
                <w:color w:val="auto"/>
              </w:rPr>
            </w:pPr>
          </w:p>
        </w:tc>
        <w:tc>
          <w:tcPr>
            <w:tcW w:w="1100" w:type="dxa"/>
            <w:vAlign w:val="bottom"/>
            <w:shd w:val="clear" w:color="auto" w:fill="D4F1F5"/>
          </w:tcPr>
          <w:p>
            <w:pPr>
              <w:spacing w:after="0"/>
              <w:rPr>
                <w:sz w:val="18"/>
                <w:szCs w:val="18"/>
                <w:color w:val="auto"/>
              </w:rPr>
            </w:pPr>
          </w:p>
        </w:tc>
      </w:tr>
      <w:tr>
        <w:trPr>
          <w:trHeight w:val="215"/>
        </w:trPr>
        <w:tc>
          <w:tcPr>
            <w:tcW w:w="7100" w:type="dxa"/>
            <w:vAlign w:val="bottom"/>
          </w:tcPr>
          <w:p>
            <w:pPr>
              <w:ind w:left="20"/>
              <w:spacing w:after="0"/>
              <w:rPr>
                <w:sz w:val="20"/>
                <w:szCs w:val="20"/>
                <w:color w:val="auto"/>
              </w:rPr>
            </w:pPr>
            <w:r>
              <w:rPr>
                <w:rFonts w:ascii="Arial" w:cs="Arial" w:eastAsia="Arial" w:hAnsi="Arial"/>
                <w:sz w:val="16"/>
                <w:szCs w:val="16"/>
                <w:color w:val="auto"/>
              </w:rPr>
              <w:t>Higher issuances of short-term debt with maturities greater than 90 days</w:t>
            </w:r>
          </w:p>
        </w:tc>
        <w:tc>
          <w:tcPr>
            <w:tcW w:w="260" w:type="dxa"/>
            <w:vAlign w:val="bottom"/>
          </w:tcPr>
          <w:p>
            <w:pPr>
              <w:spacing w:after="0"/>
              <w:rPr>
                <w:sz w:val="18"/>
                <w:szCs w:val="18"/>
                <w:color w:val="auto"/>
              </w:rPr>
            </w:pPr>
          </w:p>
        </w:tc>
        <w:tc>
          <w:tcPr>
            <w:tcW w:w="1100" w:type="dxa"/>
            <w:vAlign w:val="bottom"/>
          </w:tcPr>
          <w:p>
            <w:pPr>
              <w:jc w:val="right"/>
              <w:ind w:right="40"/>
              <w:spacing w:after="0"/>
              <w:rPr>
                <w:sz w:val="20"/>
                <w:szCs w:val="20"/>
                <w:color w:val="auto"/>
              </w:rPr>
            </w:pPr>
            <w:r>
              <w:rPr>
                <w:rFonts w:ascii="Arial" w:cs="Arial" w:eastAsia="Arial" w:hAnsi="Arial"/>
                <w:sz w:val="16"/>
                <w:szCs w:val="16"/>
                <w:color w:val="auto"/>
              </w:rPr>
              <w:t>328</w:t>
            </w:r>
          </w:p>
        </w:tc>
        <w:tc>
          <w:tcPr>
            <w:tcW w:w="3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7"/>
        </w:trPr>
        <w:tc>
          <w:tcPr>
            <w:tcW w:w="7100" w:type="dxa"/>
            <w:vAlign w:val="bottom"/>
            <w:shd w:val="clear" w:color="auto" w:fill="D4F1F5"/>
          </w:tcPr>
          <w:p>
            <w:pPr>
              <w:ind w:left="20"/>
              <w:spacing w:after="0"/>
              <w:rPr>
                <w:sz w:val="20"/>
                <w:szCs w:val="20"/>
                <w:color w:val="auto"/>
              </w:rPr>
            </w:pPr>
            <w:r>
              <w:rPr>
                <w:rFonts w:ascii="Arial" w:cs="Arial" w:eastAsia="Arial" w:hAnsi="Arial"/>
                <w:sz w:val="16"/>
                <w:szCs w:val="16"/>
                <w:color w:val="auto"/>
              </w:rPr>
              <w:t>Termination of interest rate swaps, net of transaction costs</w:t>
            </w:r>
          </w:p>
        </w:tc>
        <w:tc>
          <w:tcPr>
            <w:tcW w:w="260" w:type="dxa"/>
            <w:vAlign w:val="bottom"/>
            <w:shd w:val="clear" w:color="auto" w:fill="D4F1F5"/>
          </w:tcPr>
          <w:p>
            <w:pPr>
              <w:spacing w:after="0"/>
              <w:rPr>
                <w:sz w:val="18"/>
                <w:szCs w:val="18"/>
                <w:color w:val="auto"/>
              </w:rPr>
            </w:pPr>
          </w:p>
        </w:tc>
        <w:tc>
          <w:tcPr>
            <w:tcW w:w="1100" w:type="dxa"/>
            <w:vAlign w:val="bottom"/>
            <w:shd w:val="clear" w:color="auto" w:fill="D4F1F5"/>
          </w:tcPr>
          <w:p>
            <w:pPr>
              <w:jc w:val="right"/>
              <w:ind w:right="40"/>
              <w:spacing w:after="0"/>
              <w:rPr>
                <w:sz w:val="20"/>
                <w:szCs w:val="20"/>
                <w:color w:val="auto"/>
              </w:rPr>
            </w:pPr>
            <w:r>
              <w:rPr>
                <w:rFonts w:ascii="Arial" w:cs="Arial" w:eastAsia="Arial" w:hAnsi="Arial"/>
                <w:sz w:val="16"/>
                <w:szCs w:val="16"/>
                <w:color w:val="auto"/>
              </w:rPr>
              <w:t>96</w:t>
            </w:r>
          </w:p>
        </w:tc>
        <w:tc>
          <w:tcPr>
            <w:tcW w:w="300" w:type="dxa"/>
            <w:vAlign w:val="bottom"/>
            <w:shd w:val="clear" w:color="auto" w:fill="D4F1F5"/>
          </w:tcPr>
          <w:p>
            <w:pPr>
              <w:spacing w:after="0"/>
              <w:rPr>
                <w:sz w:val="18"/>
                <w:szCs w:val="18"/>
                <w:color w:val="auto"/>
              </w:rPr>
            </w:pPr>
          </w:p>
        </w:tc>
        <w:tc>
          <w:tcPr>
            <w:tcW w:w="1120" w:type="dxa"/>
            <w:vAlign w:val="bottom"/>
            <w:shd w:val="clear" w:color="auto" w:fill="D4F1F5"/>
          </w:tcPr>
          <w:p>
            <w:pPr>
              <w:spacing w:after="0"/>
              <w:rPr>
                <w:sz w:val="18"/>
                <w:szCs w:val="18"/>
                <w:color w:val="auto"/>
              </w:rPr>
            </w:pPr>
          </w:p>
        </w:tc>
        <w:tc>
          <w:tcPr>
            <w:tcW w:w="260" w:type="dxa"/>
            <w:vAlign w:val="bottom"/>
            <w:shd w:val="clear" w:color="auto" w:fill="D4F1F5"/>
          </w:tcPr>
          <w:p>
            <w:pPr>
              <w:spacing w:after="0"/>
              <w:rPr>
                <w:sz w:val="18"/>
                <w:szCs w:val="18"/>
                <w:color w:val="auto"/>
              </w:rPr>
            </w:pPr>
          </w:p>
        </w:tc>
        <w:tc>
          <w:tcPr>
            <w:tcW w:w="1100" w:type="dxa"/>
            <w:vAlign w:val="bottom"/>
            <w:shd w:val="clear" w:color="auto" w:fill="D4F1F5"/>
          </w:tcPr>
          <w:p>
            <w:pPr>
              <w:spacing w:after="0"/>
              <w:rPr>
                <w:sz w:val="18"/>
                <w:szCs w:val="18"/>
                <w:color w:val="auto"/>
              </w:rPr>
            </w:pPr>
          </w:p>
        </w:tc>
      </w:tr>
      <w:tr>
        <w:trPr>
          <w:trHeight w:val="215"/>
        </w:trPr>
        <w:tc>
          <w:tcPr>
            <w:tcW w:w="7100" w:type="dxa"/>
            <w:vAlign w:val="bottom"/>
          </w:tcPr>
          <w:p>
            <w:pPr>
              <w:ind w:left="20"/>
              <w:spacing w:after="0"/>
              <w:rPr>
                <w:sz w:val="20"/>
                <w:szCs w:val="20"/>
                <w:color w:val="auto"/>
              </w:rPr>
            </w:pPr>
            <w:r>
              <w:rPr>
                <w:rFonts w:ascii="Arial" w:cs="Arial" w:eastAsia="Arial" w:hAnsi="Arial"/>
                <w:sz w:val="16"/>
                <w:szCs w:val="16"/>
                <w:color w:val="auto"/>
              </w:rPr>
              <w:t>Higher issuances of long-term debt</w:t>
            </w:r>
          </w:p>
        </w:tc>
        <w:tc>
          <w:tcPr>
            <w:tcW w:w="260" w:type="dxa"/>
            <w:vAlign w:val="bottom"/>
          </w:tcPr>
          <w:p>
            <w:pPr>
              <w:spacing w:after="0"/>
              <w:rPr>
                <w:sz w:val="18"/>
                <w:szCs w:val="18"/>
                <w:color w:val="auto"/>
              </w:rPr>
            </w:pPr>
          </w:p>
        </w:tc>
        <w:tc>
          <w:tcPr>
            <w:tcW w:w="1100" w:type="dxa"/>
            <w:vAlign w:val="bottom"/>
          </w:tcPr>
          <w:p>
            <w:pPr>
              <w:jc w:val="right"/>
              <w:ind w:right="40"/>
              <w:spacing w:after="0"/>
              <w:rPr>
                <w:sz w:val="20"/>
                <w:szCs w:val="20"/>
                <w:color w:val="auto"/>
              </w:rPr>
            </w:pPr>
            <w:r>
              <w:rPr>
                <w:rFonts w:ascii="Arial" w:cs="Arial" w:eastAsia="Arial" w:hAnsi="Arial"/>
                <w:sz w:val="16"/>
                <w:szCs w:val="16"/>
                <w:color w:val="auto"/>
              </w:rPr>
              <w:t>76</w:t>
            </w:r>
          </w:p>
        </w:tc>
        <w:tc>
          <w:tcPr>
            <w:tcW w:w="30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40"/>
              <w:spacing w:after="0"/>
              <w:rPr>
                <w:sz w:val="20"/>
                <w:szCs w:val="20"/>
                <w:color w:val="auto"/>
              </w:rPr>
            </w:pPr>
            <w:r>
              <w:rPr>
                <w:rFonts w:ascii="Arial" w:cs="Arial" w:eastAsia="Arial" w:hAnsi="Arial"/>
                <w:sz w:val="16"/>
                <w:szCs w:val="16"/>
                <w:color w:val="auto"/>
              </w:rPr>
              <w:t>248</w:t>
            </w: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7"/>
        </w:trPr>
        <w:tc>
          <w:tcPr>
            <w:tcW w:w="7100" w:type="dxa"/>
            <w:vAlign w:val="bottom"/>
            <w:shd w:val="clear" w:color="auto" w:fill="D4F1F5"/>
          </w:tcPr>
          <w:p>
            <w:pPr>
              <w:ind w:left="20"/>
              <w:spacing w:after="0"/>
              <w:rPr>
                <w:sz w:val="20"/>
                <w:szCs w:val="20"/>
                <w:color w:val="auto"/>
              </w:rPr>
            </w:pPr>
            <w:r>
              <w:rPr>
                <w:rFonts w:ascii="Arial" w:cs="Arial" w:eastAsia="Arial" w:hAnsi="Arial"/>
                <w:sz w:val="16"/>
                <w:szCs w:val="16"/>
                <w:color w:val="auto"/>
              </w:rPr>
              <w:t>Change in borrowings and repayments of short-term debt, net</w:t>
            </w:r>
          </w:p>
        </w:tc>
        <w:tc>
          <w:tcPr>
            <w:tcW w:w="260" w:type="dxa"/>
            <w:vAlign w:val="bottom"/>
            <w:shd w:val="clear" w:color="auto" w:fill="D4F1F5"/>
          </w:tcPr>
          <w:p>
            <w:pPr>
              <w:spacing w:after="0"/>
              <w:rPr>
                <w:sz w:val="18"/>
                <w:szCs w:val="18"/>
                <w:color w:val="auto"/>
              </w:rPr>
            </w:pPr>
          </w:p>
        </w:tc>
        <w:tc>
          <w:tcPr>
            <w:tcW w:w="1100" w:type="dxa"/>
            <w:vAlign w:val="bottom"/>
            <w:shd w:val="clear" w:color="auto" w:fill="D4F1F5"/>
          </w:tcPr>
          <w:p>
            <w:pPr>
              <w:jc w:val="right"/>
              <w:spacing w:after="0"/>
              <w:rPr>
                <w:sz w:val="20"/>
                <w:szCs w:val="20"/>
                <w:color w:val="auto"/>
              </w:rPr>
            </w:pPr>
            <w:r>
              <w:rPr>
                <w:rFonts w:ascii="Arial" w:cs="Arial" w:eastAsia="Arial" w:hAnsi="Arial"/>
                <w:sz w:val="16"/>
                <w:szCs w:val="16"/>
                <w:color w:val="auto"/>
              </w:rPr>
              <w:t>(388)</w:t>
            </w:r>
          </w:p>
        </w:tc>
        <w:tc>
          <w:tcPr>
            <w:tcW w:w="300" w:type="dxa"/>
            <w:vAlign w:val="bottom"/>
            <w:shd w:val="clear" w:color="auto" w:fill="D4F1F5"/>
          </w:tcPr>
          <w:p>
            <w:pPr>
              <w:spacing w:after="0"/>
              <w:rPr>
                <w:sz w:val="18"/>
                <w:szCs w:val="18"/>
                <w:color w:val="auto"/>
              </w:rPr>
            </w:pPr>
          </w:p>
        </w:tc>
        <w:tc>
          <w:tcPr>
            <w:tcW w:w="1120" w:type="dxa"/>
            <w:vAlign w:val="bottom"/>
            <w:shd w:val="clear" w:color="auto" w:fill="D4F1F5"/>
          </w:tcPr>
          <w:p>
            <w:pPr>
              <w:jc w:val="right"/>
              <w:spacing w:after="0"/>
              <w:rPr>
                <w:sz w:val="20"/>
                <w:szCs w:val="20"/>
                <w:color w:val="auto"/>
              </w:rPr>
            </w:pPr>
            <w:r>
              <w:rPr>
                <w:rFonts w:ascii="Arial" w:cs="Arial" w:eastAsia="Arial" w:hAnsi="Arial"/>
                <w:sz w:val="16"/>
                <w:szCs w:val="16"/>
                <w:color w:val="auto"/>
              </w:rPr>
              <w:t>(251)</w:t>
            </w:r>
          </w:p>
        </w:tc>
        <w:tc>
          <w:tcPr>
            <w:tcW w:w="260" w:type="dxa"/>
            <w:vAlign w:val="bottom"/>
            <w:shd w:val="clear" w:color="auto" w:fill="D4F1F5"/>
          </w:tcPr>
          <w:p>
            <w:pPr>
              <w:jc w:val="right"/>
              <w:ind w:right="19"/>
              <w:spacing w:after="0"/>
              <w:rPr>
                <w:sz w:val="20"/>
                <w:szCs w:val="20"/>
                <w:color w:val="auto"/>
              </w:rPr>
            </w:pPr>
            <w:r>
              <w:rPr>
                <w:rFonts w:ascii="Arial" w:cs="Arial" w:eastAsia="Arial" w:hAnsi="Arial"/>
                <w:sz w:val="16"/>
                <w:szCs w:val="16"/>
                <w:color w:val="auto"/>
              </w:rPr>
              <w:t>$</w:t>
            </w:r>
          </w:p>
        </w:tc>
        <w:tc>
          <w:tcPr>
            <w:tcW w:w="1100" w:type="dxa"/>
            <w:vAlign w:val="bottom"/>
            <w:shd w:val="clear" w:color="auto" w:fill="D4F1F5"/>
          </w:tcPr>
          <w:p>
            <w:pPr>
              <w:jc w:val="right"/>
              <w:spacing w:after="0"/>
              <w:rPr>
                <w:sz w:val="20"/>
                <w:szCs w:val="20"/>
                <w:color w:val="auto"/>
              </w:rPr>
            </w:pPr>
            <w:r>
              <w:rPr>
                <w:rFonts w:ascii="Arial" w:cs="Arial" w:eastAsia="Arial" w:hAnsi="Arial"/>
                <w:sz w:val="16"/>
                <w:szCs w:val="16"/>
                <w:color w:val="auto"/>
              </w:rPr>
              <w:t>(214)</w:t>
            </w:r>
          </w:p>
        </w:tc>
      </w:tr>
      <w:tr>
        <w:trPr>
          <w:trHeight w:val="215"/>
        </w:trPr>
        <w:tc>
          <w:tcPr>
            <w:tcW w:w="7100" w:type="dxa"/>
            <w:vAlign w:val="bottom"/>
          </w:tcPr>
          <w:p>
            <w:pPr>
              <w:ind w:left="20"/>
              <w:spacing w:after="0"/>
              <w:rPr>
                <w:sz w:val="20"/>
                <w:szCs w:val="20"/>
                <w:color w:val="auto"/>
              </w:rPr>
            </w:pPr>
            <w:r>
              <w:rPr>
                <w:rFonts w:ascii="Arial" w:cs="Arial" w:eastAsia="Arial" w:hAnsi="Arial"/>
                <w:sz w:val="16"/>
                <w:szCs w:val="16"/>
                <w:color w:val="auto"/>
              </w:rPr>
              <w:t>Higher payments on short-term debt with maturities greater than 90 days</w:t>
            </w:r>
          </w:p>
        </w:tc>
        <w:tc>
          <w:tcPr>
            <w:tcW w:w="2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(413)</w:t>
            </w:r>
          </w:p>
        </w:tc>
        <w:tc>
          <w:tcPr>
            <w:tcW w:w="3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6"/>
        </w:trPr>
        <w:tc>
          <w:tcPr>
            <w:tcW w:w="7100" w:type="dxa"/>
            <w:vAlign w:val="bottom"/>
            <w:shd w:val="clear" w:color="auto" w:fill="D4F1F5"/>
          </w:tcPr>
          <w:p>
            <w:pPr>
              <w:ind w:left="20"/>
              <w:spacing w:after="0"/>
              <w:rPr>
                <w:sz w:val="20"/>
                <w:szCs w:val="20"/>
                <w:color w:val="auto"/>
              </w:rPr>
            </w:pPr>
            <w:r>
              <w:rPr>
                <w:rFonts w:ascii="Arial" w:cs="Arial" w:eastAsia="Arial" w:hAnsi="Arial"/>
                <w:sz w:val="16"/>
                <w:szCs w:val="16"/>
                <w:color w:val="auto"/>
              </w:rPr>
              <w:t>Other</w:t>
            </w:r>
          </w:p>
        </w:tc>
        <w:tc>
          <w:tcPr>
            <w:tcW w:w="260" w:type="dxa"/>
            <w:vAlign w:val="bottom"/>
            <w:tcBorders>
              <w:bottom w:val="single" w:sz="8" w:color="auto"/>
            </w:tcBorders>
            <w:shd w:val="clear" w:color="auto" w:fill="D4F1F5"/>
          </w:tcPr>
          <w:p>
            <w:pPr>
              <w:spacing w:after="0"/>
              <w:rPr>
                <w:sz w:val="18"/>
                <w:szCs w:val="18"/>
                <w:color w:val="auto"/>
              </w:rPr>
            </w:pPr>
          </w:p>
        </w:tc>
        <w:tc>
          <w:tcPr>
            <w:tcW w:w="1100" w:type="dxa"/>
            <w:vAlign w:val="bottom"/>
            <w:tcBorders>
              <w:bottom w:val="single" w:sz="8" w:color="auto"/>
            </w:tcBorders>
            <w:shd w:val="clear" w:color="auto" w:fill="D4F1F5"/>
          </w:tcPr>
          <w:p>
            <w:pPr>
              <w:jc w:val="right"/>
              <w:ind w:right="40"/>
              <w:spacing w:after="0"/>
              <w:rPr>
                <w:sz w:val="20"/>
                <w:szCs w:val="20"/>
                <w:color w:val="auto"/>
              </w:rPr>
            </w:pPr>
            <w:r>
              <w:rPr>
                <w:rFonts w:ascii="Arial" w:cs="Arial" w:eastAsia="Arial" w:hAnsi="Arial"/>
                <w:sz w:val="16"/>
                <w:szCs w:val="16"/>
                <w:color w:val="auto"/>
              </w:rPr>
              <w:t>3</w:t>
            </w:r>
          </w:p>
        </w:tc>
        <w:tc>
          <w:tcPr>
            <w:tcW w:w="300" w:type="dxa"/>
            <w:vAlign w:val="bottom"/>
            <w:tcBorders>
              <w:bottom w:val="single" w:sz="8" w:color="auto"/>
            </w:tcBorders>
            <w:shd w:val="clear" w:color="auto" w:fill="D4F1F5"/>
          </w:tcPr>
          <w:p>
            <w:pPr>
              <w:spacing w:after="0"/>
              <w:rPr>
                <w:sz w:val="18"/>
                <w:szCs w:val="18"/>
                <w:color w:val="auto"/>
              </w:rPr>
            </w:pPr>
          </w:p>
        </w:tc>
        <w:tc>
          <w:tcPr>
            <w:tcW w:w="1120" w:type="dxa"/>
            <w:vAlign w:val="bottom"/>
            <w:tcBorders>
              <w:bottom w:val="single" w:sz="8" w:color="auto"/>
            </w:tcBorders>
            <w:shd w:val="clear" w:color="auto" w:fill="D4F1F5"/>
          </w:tcPr>
          <w:p>
            <w:pPr>
              <w:jc w:val="right"/>
              <w:spacing w:after="0"/>
              <w:rPr>
                <w:sz w:val="20"/>
                <w:szCs w:val="20"/>
                <w:color w:val="auto"/>
              </w:rPr>
            </w:pPr>
            <w:r>
              <w:rPr>
                <w:rFonts w:ascii="Arial" w:cs="Arial" w:eastAsia="Arial" w:hAnsi="Arial"/>
                <w:sz w:val="16"/>
                <w:szCs w:val="16"/>
                <w:color w:val="auto"/>
              </w:rPr>
              <w:t>(5)</w:t>
            </w:r>
          </w:p>
        </w:tc>
        <w:tc>
          <w:tcPr>
            <w:tcW w:w="260" w:type="dxa"/>
            <w:vAlign w:val="bottom"/>
            <w:tcBorders>
              <w:bottom w:val="single" w:sz="8" w:color="auto"/>
            </w:tcBorders>
            <w:shd w:val="clear" w:color="auto" w:fill="D4F1F5"/>
          </w:tcPr>
          <w:p>
            <w:pPr>
              <w:spacing w:after="0"/>
              <w:rPr>
                <w:sz w:val="18"/>
                <w:szCs w:val="18"/>
                <w:color w:val="auto"/>
              </w:rPr>
            </w:pPr>
          </w:p>
        </w:tc>
        <w:tc>
          <w:tcPr>
            <w:tcW w:w="1100" w:type="dxa"/>
            <w:vAlign w:val="bottom"/>
            <w:tcBorders>
              <w:bottom w:val="single" w:sz="8" w:color="auto"/>
            </w:tcBorders>
            <w:shd w:val="clear" w:color="auto" w:fill="D4F1F5"/>
          </w:tcPr>
          <w:p>
            <w:pPr>
              <w:jc w:val="right"/>
              <w:spacing w:after="0"/>
              <w:rPr>
                <w:sz w:val="20"/>
                <w:szCs w:val="20"/>
                <w:color w:val="auto"/>
              </w:rPr>
            </w:pPr>
            <w:r>
              <w:rPr>
                <w:rFonts w:ascii="Arial" w:cs="Arial" w:eastAsia="Arial" w:hAnsi="Arial"/>
                <w:sz w:val="16"/>
                <w:szCs w:val="16"/>
                <w:color w:val="auto"/>
              </w:rPr>
              <w:t>(1)</w:t>
            </w:r>
          </w:p>
        </w:tc>
      </w:tr>
      <w:tr>
        <w:trPr>
          <w:trHeight w:val="217"/>
        </w:trPr>
        <w:tc>
          <w:tcPr>
            <w:tcW w:w="71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436</w:t>
            </w:r>
          </w:p>
        </w:tc>
        <w:tc>
          <w:tcPr>
            <w:tcW w:w="3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w:t>
            </w:r>
          </w:p>
        </w:tc>
        <w:tc>
          <w:tcPr>
            <w:tcW w:w="2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(215)</w:t>
            </w:r>
          </w:p>
        </w:tc>
      </w:tr>
    </w:tbl>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Capital Expenditures for PP&amp;E and Investments</w:t>
      </w:r>
    </w:p>
    <w:p>
      <w:pPr>
        <w:spacing w:after="0" w:line="147"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FFFFFF"/>
        </w:rPr>
        <w:t>CAPITAL EXPENDITURES FOR PP&amp;E AND INVESTMENTS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-115570</wp:posOffset>
            </wp:positionV>
            <wp:extent cx="7115175" cy="26543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115175" cy="265430"/>
                    </a:xfrm>
                    <a:prstGeom prst="rect">
                      <a:avLst/>
                    </a:prstGeom>
                    <a:noFill/>
                  </pic:spPr>
                </pic:pic>
              </a:graphicData>
            </a:graphic>
          </wp:anchor>
        </w:drawing>
      </w:r>
    </w:p>
    <w:p>
      <w:pPr>
        <w:spacing w:after="0" w:line="19" w:lineRule="exact"/>
        <w:rPr>
          <w:sz w:val="20"/>
          <w:szCs w:val="20"/>
          <w:color w:val="auto"/>
        </w:rPr>
      </w:pPr>
    </w:p>
    <w:p>
      <w:pPr>
        <w:ind w:left="20"/>
        <w:spacing w:after="0"/>
        <w:rPr>
          <w:sz w:val="20"/>
          <w:szCs w:val="20"/>
          <w:color w:val="auto"/>
        </w:rPr>
      </w:pPr>
      <w:r>
        <w:rPr>
          <w:rFonts w:ascii="Arial" w:cs="Arial" w:eastAsia="Arial" w:hAnsi="Arial"/>
          <w:sz w:val="14"/>
          <w:szCs w:val="14"/>
          <w:i w:val="1"/>
          <w:iCs w:val="1"/>
          <w:color w:val="FFFFFF"/>
        </w:rPr>
        <w:t>(Dollars in millions)</w:t>
      </w:r>
    </w:p>
    <w:p>
      <w:pPr>
        <w:spacing w:after="0" w:line="53"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8320" w:type="dxa"/>
            <w:vAlign w:val="bottom"/>
          </w:tcPr>
          <w:p>
            <w:pPr>
              <w:spacing w:after="0"/>
              <w:rPr>
                <w:sz w:val="16"/>
                <w:szCs w:val="16"/>
                <w:color w:val="auto"/>
              </w:rPr>
            </w:pPr>
          </w:p>
        </w:tc>
        <w:tc>
          <w:tcPr>
            <w:tcW w:w="2900" w:type="dxa"/>
            <w:vAlign w:val="bottom"/>
            <w:tcBorders>
              <w:bottom w:val="single" w:sz="8" w:color="auto"/>
            </w:tcBorders>
            <w:gridSpan w:val="4"/>
          </w:tcPr>
          <w:p>
            <w:pPr>
              <w:jc w:val="right"/>
              <w:ind w:right="360"/>
              <w:spacing w:after="0"/>
              <w:rPr>
                <w:sz w:val="20"/>
                <w:szCs w:val="20"/>
                <w:color w:val="auto"/>
              </w:rPr>
            </w:pPr>
            <w:r>
              <w:rPr>
                <w:rFonts w:ascii="Arial" w:cs="Arial" w:eastAsia="Arial" w:hAnsi="Arial"/>
                <w:sz w:val="14"/>
                <w:szCs w:val="14"/>
                <w:color w:val="auto"/>
              </w:rPr>
              <w:t>Three months ended March 31,</w:t>
            </w:r>
          </w:p>
        </w:tc>
      </w:tr>
      <w:tr>
        <w:trPr>
          <w:trHeight w:val="210"/>
        </w:trPr>
        <w:tc>
          <w:tcPr>
            <w:tcW w:w="83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2026</w:t>
            </w:r>
          </w:p>
        </w:tc>
        <w:tc>
          <w:tcPr>
            <w:tcW w:w="54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460"/>
              <w:spacing w:after="0"/>
              <w:rPr>
                <w:sz w:val="20"/>
                <w:szCs w:val="20"/>
                <w:color w:val="auto"/>
              </w:rPr>
            </w:pPr>
            <w:r>
              <w:rPr>
                <w:rFonts w:ascii="Arial" w:cs="Arial" w:eastAsia="Arial" w:hAnsi="Arial"/>
                <w:sz w:val="14"/>
                <w:szCs w:val="14"/>
                <w:color w:val="auto"/>
              </w:rPr>
              <w:t>2025</w:t>
            </w:r>
          </w:p>
        </w:tc>
      </w:tr>
      <w:tr>
        <w:trPr>
          <w:trHeight w:val="213"/>
        </w:trPr>
        <w:tc>
          <w:tcPr>
            <w:tcW w:w="8320" w:type="dxa"/>
            <w:vAlign w:val="bottom"/>
            <w:shd w:val="clear" w:color="auto" w:fill="D4F1F5"/>
          </w:tcPr>
          <w:p>
            <w:pPr>
              <w:ind w:left="20"/>
              <w:spacing w:after="0"/>
              <w:rPr>
                <w:sz w:val="20"/>
                <w:szCs w:val="20"/>
                <w:color w:val="auto"/>
              </w:rPr>
            </w:pPr>
            <w:r>
              <w:rPr>
                <w:rFonts w:ascii="Arial" w:cs="Arial" w:eastAsia="Arial" w:hAnsi="Arial"/>
                <w:sz w:val="16"/>
                <w:szCs w:val="16"/>
                <w:b w:val="1"/>
                <w:bCs w:val="1"/>
                <w:color w:val="auto"/>
              </w:rPr>
              <w:t>Sempra:</w:t>
            </w:r>
          </w:p>
        </w:tc>
        <w:tc>
          <w:tcPr>
            <w:tcW w:w="880" w:type="dxa"/>
            <w:vAlign w:val="bottom"/>
            <w:shd w:val="clear" w:color="auto" w:fill="D4F1F5"/>
          </w:tcPr>
          <w:p>
            <w:pPr>
              <w:spacing w:after="0"/>
              <w:rPr>
                <w:sz w:val="18"/>
                <w:szCs w:val="18"/>
                <w:color w:val="auto"/>
              </w:rPr>
            </w:pPr>
          </w:p>
        </w:tc>
        <w:tc>
          <w:tcPr>
            <w:tcW w:w="540" w:type="dxa"/>
            <w:vAlign w:val="bottom"/>
            <w:shd w:val="clear" w:color="auto" w:fill="D4F1F5"/>
          </w:tcPr>
          <w:p>
            <w:pPr>
              <w:spacing w:after="0"/>
              <w:rPr>
                <w:sz w:val="18"/>
                <w:szCs w:val="18"/>
                <w:color w:val="auto"/>
              </w:rPr>
            </w:pPr>
          </w:p>
        </w:tc>
        <w:tc>
          <w:tcPr>
            <w:tcW w:w="400" w:type="dxa"/>
            <w:vAlign w:val="bottom"/>
            <w:shd w:val="clear" w:color="auto" w:fill="D4F1F5"/>
          </w:tcPr>
          <w:p>
            <w:pPr>
              <w:spacing w:after="0"/>
              <w:rPr>
                <w:sz w:val="18"/>
                <w:szCs w:val="18"/>
                <w:color w:val="auto"/>
              </w:rPr>
            </w:pPr>
          </w:p>
        </w:tc>
        <w:tc>
          <w:tcPr>
            <w:tcW w:w="1080" w:type="dxa"/>
            <w:vAlign w:val="bottom"/>
            <w:shd w:val="clear" w:color="auto" w:fill="D4F1F5"/>
          </w:tcPr>
          <w:p>
            <w:pPr>
              <w:spacing w:after="0"/>
              <w:rPr>
                <w:sz w:val="18"/>
                <w:szCs w:val="18"/>
                <w:color w:val="auto"/>
              </w:rPr>
            </w:pPr>
          </w:p>
        </w:tc>
      </w:tr>
      <w:tr>
        <w:trPr>
          <w:trHeight w:val="216"/>
        </w:trPr>
        <w:tc>
          <w:tcPr>
            <w:tcW w:w="8320" w:type="dxa"/>
            <w:vAlign w:val="bottom"/>
          </w:tcPr>
          <w:p>
            <w:pPr>
              <w:ind w:left="20"/>
              <w:spacing w:after="0" w:line="216" w:lineRule="exact"/>
              <w:rPr>
                <w:sz w:val="20"/>
                <w:szCs w:val="20"/>
                <w:color w:val="auto"/>
              </w:rPr>
            </w:pPr>
            <w:r>
              <w:rPr>
                <w:rFonts w:ascii="Arial" w:cs="Arial" w:eastAsia="Arial" w:hAnsi="Arial"/>
                <w:sz w:val="16"/>
                <w:szCs w:val="16"/>
                <w:color w:val="auto"/>
              </w:rPr>
              <w:t>Sempra California</w:t>
            </w:r>
            <w:r>
              <w:rPr>
                <w:rFonts w:ascii="Arial" w:cs="Arial" w:eastAsia="Arial" w:hAnsi="Arial"/>
                <w:sz w:val="21"/>
                <w:szCs w:val="21"/>
                <w:color w:val="auto"/>
                <w:vertAlign w:val="superscript"/>
              </w:rPr>
              <w:t>(1)</w:t>
            </w:r>
          </w:p>
        </w:tc>
        <w:tc>
          <w:tcPr>
            <w:tcW w:w="880" w:type="dxa"/>
            <w:vAlign w:val="bottom"/>
          </w:tcPr>
          <w:p>
            <w:pPr>
              <w:jc w:val="right"/>
              <w:ind w:right="684"/>
              <w:spacing w:after="0"/>
              <w:rPr>
                <w:sz w:val="20"/>
                <w:szCs w:val="20"/>
                <w:color w:val="auto"/>
              </w:rPr>
            </w:pPr>
            <w:r>
              <w:rPr>
                <w:rFonts w:ascii="Arial" w:cs="Arial" w:eastAsia="Arial" w:hAnsi="Arial"/>
                <w:sz w:val="16"/>
                <w:szCs w:val="16"/>
                <w:color w:val="auto"/>
              </w:rPr>
              <w:t>$</w:t>
            </w:r>
          </w:p>
        </w:tc>
        <w:tc>
          <w:tcPr>
            <w:tcW w:w="540" w:type="dxa"/>
            <w:vAlign w:val="bottom"/>
          </w:tcPr>
          <w:p>
            <w:pPr>
              <w:jc w:val="right"/>
              <w:ind w:right="19"/>
              <w:spacing w:after="0"/>
              <w:rPr>
                <w:sz w:val="20"/>
                <w:szCs w:val="20"/>
                <w:color w:val="auto"/>
              </w:rPr>
            </w:pPr>
            <w:r>
              <w:rPr>
                <w:rFonts w:ascii="Arial" w:cs="Arial" w:eastAsia="Arial" w:hAnsi="Arial"/>
                <w:sz w:val="16"/>
                <w:szCs w:val="16"/>
                <w:color w:val="auto"/>
              </w:rPr>
              <w:t>967</w:t>
            </w:r>
          </w:p>
        </w:tc>
        <w:tc>
          <w:tcPr>
            <w:tcW w:w="40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1,094</w:t>
            </w:r>
          </w:p>
        </w:tc>
      </w:tr>
      <w:tr>
        <w:trPr>
          <w:trHeight w:val="216"/>
        </w:trPr>
        <w:tc>
          <w:tcPr>
            <w:tcW w:w="8320" w:type="dxa"/>
            <w:vAlign w:val="bottom"/>
            <w:shd w:val="clear" w:color="auto" w:fill="D4F1F5"/>
          </w:tcPr>
          <w:p>
            <w:pPr>
              <w:ind w:left="20"/>
              <w:spacing w:after="0"/>
              <w:rPr>
                <w:sz w:val="20"/>
                <w:szCs w:val="20"/>
                <w:color w:val="auto"/>
              </w:rPr>
            </w:pPr>
            <w:r>
              <w:rPr>
                <w:rFonts w:ascii="Arial" w:cs="Arial" w:eastAsia="Arial" w:hAnsi="Arial"/>
                <w:sz w:val="16"/>
                <w:szCs w:val="16"/>
                <w:color w:val="auto"/>
              </w:rPr>
              <w:t>Sempra Texas Utilities</w:t>
            </w:r>
          </w:p>
        </w:tc>
        <w:tc>
          <w:tcPr>
            <w:tcW w:w="880" w:type="dxa"/>
            <w:vAlign w:val="bottom"/>
            <w:shd w:val="clear" w:color="auto" w:fill="D4F1F5"/>
          </w:tcPr>
          <w:p>
            <w:pPr>
              <w:spacing w:after="0"/>
              <w:rPr>
                <w:sz w:val="18"/>
                <w:szCs w:val="18"/>
                <w:color w:val="auto"/>
              </w:rPr>
            </w:pPr>
          </w:p>
        </w:tc>
        <w:tc>
          <w:tcPr>
            <w:tcW w:w="540" w:type="dxa"/>
            <w:vAlign w:val="bottom"/>
            <w:shd w:val="clear" w:color="auto" w:fill="D4F1F5"/>
          </w:tcPr>
          <w:p>
            <w:pPr>
              <w:jc w:val="right"/>
              <w:ind w:right="19"/>
              <w:spacing w:after="0"/>
              <w:rPr>
                <w:sz w:val="20"/>
                <w:szCs w:val="20"/>
                <w:color w:val="auto"/>
              </w:rPr>
            </w:pPr>
            <w:r>
              <w:rPr>
                <w:rFonts w:ascii="Arial" w:cs="Arial" w:eastAsia="Arial" w:hAnsi="Arial"/>
                <w:sz w:val="16"/>
                <w:szCs w:val="16"/>
                <w:color w:val="auto"/>
              </w:rPr>
              <w:t>876</w:t>
            </w:r>
          </w:p>
        </w:tc>
        <w:tc>
          <w:tcPr>
            <w:tcW w:w="400" w:type="dxa"/>
            <w:vAlign w:val="bottom"/>
            <w:shd w:val="clear" w:color="auto" w:fill="D4F1F5"/>
          </w:tcPr>
          <w:p>
            <w:pPr>
              <w:spacing w:after="0"/>
              <w:rPr>
                <w:sz w:val="18"/>
                <w:szCs w:val="18"/>
                <w:color w:val="auto"/>
              </w:rPr>
            </w:pPr>
          </w:p>
        </w:tc>
        <w:tc>
          <w:tcPr>
            <w:tcW w:w="1080" w:type="dxa"/>
            <w:vAlign w:val="bottom"/>
            <w:shd w:val="clear" w:color="auto" w:fill="D4F1F5"/>
          </w:tcPr>
          <w:p>
            <w:pPr>
              <w:jc w:val="right"/>
              <w:spacing w:after="0"/>
              <w:rPr>
                <w:sz w:val="20"/>
                <w:szCs w:val="20"/>
                <w:color w:val="auto"/>
              </w:rPr>
            </w:pPr>
            <w:r>
              <w:rPr>
                <w:rFonts w:ascii="Arial" w:cs="Arial" w:eastAsia="Arial" w:hAnsi="Arial"/>
                <w:sz w:val="16"/>
                <w:szCs w:val="16"/>
                <w:color w:val="auto"/>
              </w:rPr>
              <w:t>486</w:t>
            </w:r>
          </w:p>
        </w:tc>
      </w:tr>
      <w:tr>
        <w:trPr>
          <w:trHeight w:val="215"/>
        </w:trPr>
        <w:tc>
          <w:tcPr>
            <w:tcW w:w="8320" w:type="dxa"/>
            <w:vAlign w:val="bottom"/>
            <w:tcBorders>
              <w:bottom w:val="single" w:sz="8" w:color="D4F1F5"/>
            </w:tcBorders>
          </w:tcPr>
          <w:p>
            <w:pPr>
              <w:ind w:left="20"/>
              <w:spacing w:after="0"/>
              <w:rPr>
                <w:sz w:val="20"/>
                <w:szCs w:val="20"/>
                <w:color w:val="auto"/>
              </w:rPr>
            </w:pPr>
            <w:r>
              <w:rPr>
                <w:rFonts w:ascii="Arial" w:cs="Arial" w:eastAsia="Arial" w:hAnsi="Arial"/>
                <w:sz w:val="16"/>
                <w:szCs w:val="16"/>
                <w:color w:val="auto"/>
              </w:rPr>
              <w:t>Sempra Infrastructure</w:t>
            </w:r>
          </w:p>
        </w:tc>
        <w:tc>
          <w:tcPr>
            <w:tcW w:w="88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1,493</w:t>
            </w:r>
          </w:p>
        </w:tc>
        <w:tc>
          <w:tcPr>
            <w:tcW w:w="4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1,241</w:t>
            </w:r>
          </w:p>
        </w:tc>
      </w:tr>
      <w:tr>
        <w:trPr>
          <w:trHeight w:val="210"/>
        </w:trPr>
        <w:tc>
          <w:tcPr>
            <w:tcW w:w="8320" w:type="dxa"/>
            <w:vAlign w:val="bottom"/>
            <w:shd w:val="clear" w:color="auto" w:fill="D4F1F5"/>
          </w:tcPr>
          <w:p>
            <w:pPr>
              <w:ind w:left="140"/>
              <w:spacing w:after="0"/>
              <w:rPr>
                <w:sz w:val="20"/>
                <w:szCs w:val="20"/>
                <w:color w:val="auto"/>
              </w:rPr>
            </w:pPr>
            <w:r>
              <w:rPr>
                <w:rFonts w:ascii="Arial" w:cs="Arial" w:eastAsia="Arial" w:hAnsi="Arial"/>
                <w:sz w:val="16"/>
                <w:szCs w:val="16"/>
                <w:color w:val="auto"/>
              </w:rPr>
              <w:t>Segment totals</w:t>
            </w:r>
          </w:p>
        </w:tc>
        <w:tc>
          <w:tcPr>
            <w:tcW w:w="880" w:type="dxa"/>
            <w:vAlign w:val="bottom"/>
            <w:shd w:val="clear" w:color="auto" w:fill="D4F1F5"/>
          </w:tcPr>
          <w:p>
            <w:pPr>
              <w:spacing w:after="0"/>
              <w:rPr>
                <w:sz w:val="18"/>
                <w:szCs w:val="18"/>
                <w:color w:val="auto"/>
              </w:rPr>
            </w:pPr>
          </w:p>
        </w:tc>
        <w:tc>
          <w:tcPr>
            <w:tcW w:w="540" w:type="dxa"/>
            <w:vAlign w:val="bottom"/>
            <w:shd w:val="clear" w:color="auto" w:fill="D4F1F5"/>
          </w:tcPr>
          <w:p>
            <w:pPr>
              <w:jc w:val="right"/>
              <w:ind w:right="19"/>
              <w:spacing w:after="0"/>
              <w:rPr>
                <w:sz w:val="20"/>
                <w:szCs w:val="20"/>
                <w:color w:val="auto"/>
              </w:rPr>
            </w:pPr>
            <w:r>
              <w:rPr>
                <w:rFonts w:ascii="Arial" w:cs="Arial" w:eastAsia="Arial" w:hAnsi="Arial"/>
                <w:sz w:val="16"/>
                <w:szCs w:val="16"/>
                <w:color w:val="auto"/>
              </w:rPr>
              <w:t>3,336</w:t>
            </w:r>
          </w:p>
        </w:tc>
        <w:tc>
          <w:tcPr>
            <w:tcW w:w="400" w:type="dxa"/>
            <w:vAlign w:val="bottom"/>
            <w:shd w:val="clear" w:color="auto" w:fill="D4F1F5"/>
          </w:tcPr>
          <w:p>
            <w:pPr>
              <w:spacing w:after="0"/>
              <w:rPr>
                <w:sz w:val="18"/>
                <w:szCs w:val="18"/>
                <w:color w:val="auto"/>
              </w:rPr>
            </w:pPr>
          </w:p>
        </w:tc>
        <w:tc>
          <w:tcPr>
            <w:tcW w:w="1080" w:type="dxa"/>
            <w:vAlign w:val="bottom"/>
            <w:shd w:val="clear" w:color="auto" w:fill="D4F1F5"/>
          </w:tcPr>
          <w:p>
            <w:pPr>
              <w:jc w:val="right"/>
              <w:spacing w:after="0"/>
              <w:rPr>
                <w:sz w:val="20"/>
                <w:szCs w:val="20"/>
                <w:color w:val="auto"/>
              </w:rPr>
            </w:pPr>
            <w:r>
              <w:rPr>
                <w:rFonts w:ascii="Arial" w:cs="Arial" w:eastAsia="Arial" w:hAnsi="Arial"/>
                <w:sz w:val="16"/>
                <w:szCs w:val="16"/>
                <w:color w:val="auto"/>
              </w:rPr>
              <w:t>2,821</w:t>
            </w:r>
          </w:p>
        </w:tc>
      </w:tr>
      <w:tr>
        <w:trPr>
          <w:trHeight w:val="215"/>
        </w:trPr>
        <w:tc>
          <w:tcPr>
            <w:tcW w:w="8320" w:type="dxa"/>
            <w:vAlign w:val="bottom"/>
            <w:tcBorders>
              <w:bottom w:val="single" w:sz="8" w:color="D4F1F5"/>
            </w:tcBorders>
          </w:tcPr>
          <w:p>
            <w:pPr>
              <w:ind w:left="20"/>
              <w:spacing w:after="0"/>
              <w:rPr>
                <w:sz w:val="20"/>
                <w:szCs w:val="20"/>
                <w:color w:val="auto"/>
              </w:rPr>
            </w:pPr>
            <w:r>
              <w:rPr>
                <w:rFonts w:ascii="Arial" w:cs="Arial" w:eastAsia="Arial" w:hAnsi="Arial"/>
                <w:sz w:val="16"/>
                <w:szCs w:val="16"/>
                <w:color w:val="auto"/>
              </w:rPr>
              <w:t>Parent and other</w:t>
            </w:r>
          </w:p>
        </w:tc>
        <w:tc>
          <w:tcPr>
            <w:tcW w:w="88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w:t>
            </w:r>
          </w:p>
        </w:tc>
        <w:tc>
          <w:tcPr>
            <w:tcW w:w="4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r>
      <w:tr>
        <w:trPr>
          <w:trHeight w:val="217"/>
        </w:trPr>
        <w:tc>
          <w:tcPr>
            <w:tcW w:w="8320" w:type="dxa"/>
            <w:vAlign w:val="bottom"/>
            <w:tcBorders>
              <w:bottom w:val="single" w:sz="8" w:color="auto"/>
            </w:tcBorders>
            <w:shd w:val="clear" w:color="auto" w:fill="D4F1F5"/>
          </w:tcPr>
          <w:p>
            <w:pPr>
              <w:ind w:left="140"/>
              <w:spacing w:after="0"/>
              <w:rPr>
                <w:sz w:val="20"/>
                <w:szCs w:val="20"/>
                <w:color w:val="auto"/>
              </w:rPr>
            </w:pPr>
            <w:r>
              <w:rPr>
                <w:rFonts w:ascii="Arial" w:cs="Arial" w:eastAsia="Arial" w:hAnsi="Arial"/>
                <w:sz w:val="16"/>
                <w:szCs w:val="16"/>
                <w:color w:val="auto"/>
              </w:rPr>
              <w:t>Total Sempra</w:t>
            </w:r>
          </w:p>
        </w:tc>
        <w:tc>
          <w:tcPr>
            <w:tcW w:w="880" w:type="dxa"/>
            <w:vAlign w:val="bottom"/>
            <w:tcBorders>
              <w:bottom w:val="single" w:sz="8" w:color="auto"/>
            </w:tcBorders>
            <w:shd w:val="clear" w:color="auto" w:fill="D4F1F5"/>
          </w:tcPr>
          <w:p>
            <w:pPr>
              <w:jc w:val="right"/>
              <w:ind w:right="684"/>
              <w:spacing w:after="0"/>
              <w:rPr>
                <w:sz w:val="20"/>
                <w:szCs w:val="20"/>
                <w:color w:val="auto"/>
              </w:rPr>
            </w:pPr>
            <w:r>
              <w:rPr>
                <w:rFonts w:ascii="Arial" w:cs="Arial" w:eastAsia="Arial" w:hAnsi="Arial"/>
                <w:sz w:val="16"/>
                <w:szCs w:val="16"/>
                <w:color w:val="auto"/>
              </w:rPr>
              <w:t>$</w:t>
            </w:r>
          </w:p>
        </w:tc>
        <w:tc>
          <w:tcPr>
            <w:tcW w:w="540" w:type="dxa"/>
            <w:vAlign w:val="bottom"/>
            <w:tcBorders>
              <w:bottom w:val="single" w:sz="8" w:color="auto"/>
            </w:tcBorders>
            <w:shd w:val="clear" w:color="auto" w:fill="D4F1F5"/>
          </w:tcPr>
          <w:p>
            <w:pPr>
              <w:jc w:val="right"/>
              <w:ind w:right="19"/>
              <w:spacing w:after="0"/>
              <w:rPr>
                <w:sz w:val="20"/>
                <w:szCs w:val="20"/>
                <w:color w:val="auto"/>
              </w:rPr>
            </w:pPr>
            <w:r>
              <w:rPr>
                <w:rFonts w:ascii="Arial" w:cs="Arial" w:eastAsia="Arial" w:hAnsi="Arial"/>
                <w:sz w:val="16"/>
                <w:szCs w:val="16"/>
                <w:color w:val="auto"/>
              </w:rPr>
              <w:t>3,337</w:t>
            </w:r>
          </w:p>
        </w:tc>
        <w:tc>
          <w:tcPr>
            <w:tcW w:w="400" w:type="dxa"/>
            <w:vAlign w:val="bottom"/>
            <w:tcBorders>
              <w:bottom w:val="single" w:sz="8" w:color="auto"/>
            </w:tcBorders>
            <w:shd w:val="clear" w:color="auto" w:fill="D4F1F5"/>
          </w:tcPr>
          <w:p>
            <w:pPr>
              <w:jc w:val="right"/>
              <w:ind w:right="11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shd w:val="clear" w:color="auto" w:fill="D4F1F5"/>
          </w:tcPr>
          <w:p>
            <w:pPr>
              <w:jc w:val="right"/>
              <w:spacing w:after="0"/>
              <w:rPr>
                <w:sz w:val="20"/>
                <w:szCs w:val="20"/>
                <w:color w:val="auto"/>
              </w:rPr>
            </w:pPr>
            <w:r>
              <w:rPr>
                <w:rFonts w:ascii="Arial" w:cs="Arial" w:eastAsia="Arial" w:hAnsi="Arial"/>
                <w:sz w:val="16"/>
                <w:szCs w:val="16"/>
                <w:color w:val="auto"/>
              </w:rPr>
              <w:t>2,822</w:t>
            </w:r>
          </w:p>
        </w:tc>
      </w:tr>
    </w:tbl>
    <w:p>
      <w:pPr>
        <w:spacing w:after="0" w:line="138" w:lineRule="exact"/>
        <w:rPr>
          <w:sz w:val="20"/>
          <w:szCs w:val="20"/>
          <w:color w:val="auto"/>
        </w:rPr>
      </w:pPr>
    </w:p>
    <w:p>
      <w:pPr>
        <w:ind w:left="220" w:hanging="212"/>
        <w:spacing w:after="0"/>
        <w:tabs>
          <w:tab w:leader="none" w:pos="220" w:val="left"/>
        </w:tabs>
        <w:numPr>
          <w:ilvl w:val="0"/>
          <w:numId w:val="100"/>
        </w:numPr>
        <w:rPr>
          <w:rFonts w:ascii="Arial" w:cs="Arial" w:eastAsia="Arial" w:hAnsi="Arial"/>
          <w:sz w:val="19"/>
          <w:szCs w:val="19"/>
          <w:i w:val="1"/>
          <w:iCs w:val="1"/>
          <w:color w:val="auto"/>
          <w:vertAlign w:val="superscript"/>
        </w:rPr>
      </w:pPr>
      <w:r>
        <w:rPr>
          <w:rFonts w:ascii="Arial" w:cs="Arial" w:eastAsia="Arial" w:hAnsi="Arial"/>
          <w:sz w:val="14"/>
          <w:szCs w:val="14"/>
          <w:i w:val="1"/>
          <w:iCs w:val="1"/>
          <w:color w:val="auto"/>
        </w:rPr>
        <w:t>Includes capital expenditures for PP&amp;E of $486 and $539 at SDG&amp;E and $481 and $555 at SoCalGas for 2026 and 2025, respectively.</w:t>
      </w:r>
    </w:p>
    <w:p>
      <w:pPr>
        <w:spacing w:after="0" w:line="152"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18"/>
          <w:szCs w:val="18"/>
          <w:color w:val="auto"/>
        </w:rPr>
        <w:t>Our level of capital expenditures for PP&amp;E and investments will depend on, among other things, the cost and availability of financing, regulatory approvals, changes in tax law and business opportunities providing desirable rates of return, among various other factors described in this MD&amp;A and in “Part I – Item 1A. Risk Factors” in the Annual Report. We aim to finance our capital expenditures for PP&amp;E and investments in a manner that will maintain our investment-grade credit ratings and capital structure, but we may not be able to do so.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309245</wp:posOffset>
            </wp:positionV>
            <wp:extent cx="7132320" cy="889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color w:val="auto"/>
        </w:rPr>
        <w:t>CRITICAL ACCOUNTING ESTIMATES</w:t>
      </w:r>
    </w:p>
    <w:p>
      <w:pPr>
        <w:spacing w:after="0" w:line="118" w:lineRule="exact"/>
        <w:rPr>
          <w:sz w:val="20"/>
          <w:szCs w:val="20"/>
          <w:color w:val="auto"/>
        </w:rPr>
      </w:pPr>
    </w:p>
    <w:p>
      <w:pPr>
        <w:ind w:right="400"/>
        <w:spacing w:after="0" w:line="281" w:lineRule="auto"/>
        <w:rPr>
          <w:sz w:val="20"/>
          <w:szCs w:val="20"/>
          <w:color w:val="auto"/>
        </w:rPr>
      </w:pPr>
      <w:r>
        <w:rPr>
          <w:rFonts w:ascii="Times New Roman" w:cs="Times New Roman" w:eastAsia="Times New Roman" w:hAnsi="Times New Roman"/>
          <w:sz w:val="18"/>
          <w:szCs w:val="18"/>
          <w:color w:val="auto"/>
        </w:rPr>
        <w:t>Management views certain accounting estimates as critical because their application is the most relevant, judgmental and/or material to our financial position and results of operations, and/or because they require the use of material judgments and estimates. We discuss critical accounting estimates in “Part II – Item 7. MD&amp;A” in the Annual Report.</w:t>
      </w:r>
    </w:p>
    <w:p>
      <w:pPr>
        <w:sectPr>
          <w:pgSz w:w="11900" w:h="16838" w:orient="portrait"/>
          <w:cols w:equalWidth="0" w:num="1">
            <w:col w:w="11240"/>
          </w:cols>
          <w:pgMar w:left="320" w:top="121" w:right="339" w:bottom="1440" w:gutter="0" w:footer="0" w:header="0"/>
          <w:type w:val="continuous"/>
        </w:sectPr>
      </w:pPr>
    </w:p>
    <w:p>
      <w:pPr>
        <w:spacing w:after="0" w:line="200" w:lineRule="exact"/>
        <w:rPr>
          <w:sz w:val="20"/>
          <w:szCs w:val="20"/>
          <w:color w:val="auto"/>
        </w:rPr>
      </w:pPr>
    </w:p>
    <w:p>
      <w:pPr>
        <w:spacing w:after="0" w:line="3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149225</wp:posOffset>
            </wp:positionV>
            <wp:extent cx="7157720" cy="4254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11" w:name="page112"/>
    <w:bookmarkEnd w:id="1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711835</wp:posOffset>
            </wp:positionV>
            <wp:extent cx="7132320" cy="825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color w:val="auto"/>
        </w:rPr>
        <w:t>NEW ACCOUNTING STANDARDS</w:t>
      </w:r>
    </w:p>
    <w:p>
      <w:pPr>
        <w:spacing w:after="0" w:line="118"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We discuss any recent accounting pronouncements that have had or may have a significant effect on our financial statements and/or disclosures in Note 2 of the Notes to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234315</wp:posOffset>
            </wp:positionV>
            <wp:extent cx="7132320" cy="825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20"/>
          <w:szCs w:val="20"/>
          <w:color w:val="auto"/>
        </w:rPr>
        <w:t>ITEM 3. QUANTITATIVE AND QUALITATIVE DISCLOSURES ABOUT MARKET RISK</w:t>
      </w:r>
    </w:p>
    <w:p>
      <w:pPr>
        <w:spacing w:after="0" w:line="97"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We provide disclosure regarding derivative activity in Note 8 of the Notes to Condensed Consolidated Financial Statements. We discuss our market risk and risk policies in detail in “Part II – Item 7A. Quantitative and Qualitative Disclosures About Market Risk” in the Annual Report.</w:t>
      </w: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COMMODITY PRICE RISK</w:t>
      </w:r>
    </w:p>
    <w:p>
      <w:pPr>
        <w:spacing w:after="0" w:line="118" w:lineRule="exact"/>
        <w:rPr>
          <w:sz w:val="20"/>
          <w:szCs w:val="20"/>
          <w:color w:val="auto"/>
        </w:rPr>
      </w:pPr>
    </w:p>
    <w:p>
      <w:pPr>
        <w:jc w:val="both"/>
        <w:ind w:right="60"/>
        <w:spacing w:after="0" w:line="274" w:lineRule="auto"/>
        <w:rPr>
          <w:sz w:val="20"/>
          <w:szCs w:val="20"/>
          <w:color w:val="auto"/>
        </w:rPr>
      </w:pPr>
      <w:r>
        <w:rPr>
          <w:rFonts w:ascii="Times New Roman" w:cs="Times New Roman" w:eastAsia="Times New Roman" w:hAnsi="Times New Roman"/>
          <w:sz w:val="18"/>
          <w:szCs w:val="18"/>
          <w:color w:val="auto"/>
        </w:rPr>
        <w:t>SI Partners is exposed to commodity price risk indirectly through its LNG, natural gas pipelines and storage, and power-generating assets. In the first three months of 2026, a hypothetical 10% change in commodity prices would have resulted in a change in the fair value of our commodity-based natural gas and electricity derivatives of $8 million at March 31, 2026 compared to $11 million at December 31, 2025.</w:t>
      </w:r>
    </w:p>
    <w:p>
      <w:pPr>
        <w:spacing w:after="0" w:line="74" w:lineRule="exact"/>
        <w:rPr>
          <w:sz w:val="20"/>
          <w:szCs w:val="20"/>
          <w:color w:val="auto"/>
        </w:rPr>
      </w:pPr>
    </w:p>
    <w:p>
      <w:pPr>
        <w:jc w:val="both"/>
        <w:ind w:right="40"/>
        <w:spacing w:after="0" w:line="297" w:lineRule="auto"/>
        <w:rPr>
          <w:sz w:val="20"/>
          <w:szCs w:val="20"/>
          <w:color w:val="auto"/>
        </w:rPr>
      </w:pPr>
      <w:r>
        <w:rPr>
          <w:rFonts w:ascii="Times New Roman" w:cs="Times New Roman" w:eastAsia="Times New Roman" w:hAnsi="Times New Roman"/>
          <w:sz w:val="18"/>
          <w:szCs w:val="18"/>
          <w:color w:val="auto"/>
        </w:rPr>
        <w:t>The one-day value at risk for SDG&amp;E’s and SoCalGas’ commodity positions are $3 million and negligible, respectively, at March 31, 2026 compared to $2 million and $6 million, respectively, at December 31, 2025.</w:t>
      </w:r>
    </w:p>
    <w:p>
      <w:pPr>
        <w:spacing w:after="0" w:line="3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 below shows the nominal amount of our debt:</w:t>
      </w:r>
    </w:p>
    <w:p>
      <w:pPr>
        <w:spacing w:after="0" w:line="169"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FFFFFF"/>
        </w:rPr>
        <w:t>NOMINAL AMOUNT OF DEBT</w:t>
      </w:r>
      <w:r>
        <w:rPr>
          <w:rFonts w:ascii="Arial" w:cs="Arial" w:eastAsia="Arial" w:hAnsi="Arial"/>
          <w:sz w:val="21"/>
          <w:szCs w:val="21"/>
          <w:b w:val="1"/>
          <w:bCs w:val="1"/>
          <w:color w:val="FFFFFF"/>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-147955</wp:posOffset>
            </wp:positionV>
            <wp:extent cx="7132320" cy="26543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132320" cy="265430"/>
                    </a:xfrm>
                    <a:prstGeom prst="rect">
                      <a:avLst/>
                    </a:prstGeom>
                    <a:noFill/>
                  </pic:spPr>
                </pic:pic>
              </a:graphicData>
            </a:graphic>
          </wp:anchor>
        </w:drawing>
      </w:r>
    </w:p>
    <w:p>
      <w:pPr>
        <w:ind w:left="20"/>
        <w:spacing w:after="0"/>
        <w:rPr>
          <w:sz w:val="20"/>
          <w:szCs w:val="20"/>
          <w:color w:val="auto"/>
        </w:rPr>
      </w:pPr>
      <w:r>
        <w:rPr>
          <w:rFonts w:ascii="Arial" w:cs="Arial" w:eastAsia="Arial" w:hAnsi="Arial"/>
          <w:sz w:val="14"/>
          <w:szCs w:val="14"/>
          <w:i w:val="1"/>
          <w:iCs w:val="1"/>
          <w:color w:val="FFFFFF"/>
        </w:rPr>
        <w:t>(Dollars in millions)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31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2"/>
          </w:tcPr>
          <w:p>
            <w:pPr>
              <w:jc w:val="right"/>
              <w:ind w:right="121"/>
              <w:spacing w:after="0"/>
              <w:rPr>
                <w:sz w:val="20"/>
                <w:szCs w:val="20"/>
                <w:color w:val="auto"/>
              </w:rPr>
            </w:pPr>
            <w:r>
              <w:rPr>
                <w:rFonts w:ascii="Arial" w:cs="Arial" w:eastAsia="Arial" w:hAnsi="Arial"/>
                <w:sz w:val="14"/>
                <w:szCs w:val="14"/>
                <w:color w:val="auto"/>
              </w:rPr>
              <w:t>March 31, 2026</w:t>
            </w:r>
          </w:p>
        </w:tc>
        <w:tc>
          <w:tcPr>
            <w:tcW w:w="2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2"/>
          </w:tcPr>
          <w:p>
            <w:pPr>
              <w:jc w:val="right"/>
              <w:ind w:right="1"/>
              <w:spacing w:after="0"/>
              <w:rPr>
                <w:sz w:val="20"/>
                <w:szCs w:val="20"/>
                <w:color w:val="auto"/>
              </w:rPr>
            </w:pPr>
            <w:r>
              <w:rPr>
                <w:rFonts w:ascii="Arial" w:cs="Arial" w:eastAsia="Arial" w:hAnsi="Arial"/>
                <w:sz w:val="14"/>
                <w:szCs w:val="14"/>
                <w:color w:val="auto"/>
              </w:rPr>
              <w:t>December 31, 2025</w:t>
            </w:r>
          </w:p>
        </w:tc>
        <w:tc>
          <w:tcPr>
            <w:tcW w:w="2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r>
      <w:tr>
        <w:trPr>
          <w:trHeight w:val="210"/>
        </w:trPr>
        <w:tc>
          <w:tcPr>
            <w:tcW w:w="316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361"/>
              <w:spacing w:after="0"/>
              <w:rPr>
                <w:sz w:val="20"/>
                <w:szCs w:val="20"/>
                <w:color w:val="auto"/>
              </w:rPr>
            </w:pPr>
            <w:r>
              <w:rPr>
                <w:rFonts w:ascii="Arial" w:cs="Arial" w:eastAsia="Arial" w:hAnsi="Arial"/>
                <w:sz w:val="14"/>
                <w:szCs w:val="14"/>
                <w:color w:val="auto"/>
              </w:rPr>
              <w:t>Sempra</w:t>
            </w: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01"/>
              <w:spacing w:after="0"/>
              <w:rPr>
                <w:sz w:val="20"/>
                <w:szCs w:val="20"/>
                <w:color w:val="auto"/>
              </w:rPr>
            </w:pPr>
            <w:r>
              <w:rPr>
                <w:rFonts w:ascii="Arial" w:cs="Arial" w:eastAsia="Arial" w:hAnsi="Arial"/>
                <w:sz w:val="14"/>
                <w:szCs w:val="14"/>
                <w:color w:val="auto"/>
              </w:rPr>
              <w:t>SDG&amp;E</w:t>
            </w:r>
          </w:p>
        </w:tc>
        <w:tc>
          <w:tcPr>
            <w:tcW w:w="280" w:type="dxa"/>
            <w:vAlign w:val="bottom"/>
            <w:tcBorders>
              <w:bottom w:val="single" w:sz="8" w:color="auto"/>
            </w:tcBorders>
          </w:tcPr>
          <w:p>
            <w:pPr>
              <w:spacing w:after="0"/>
              <w:rPr>
                <w:sz w:val="18"/>
                <w:szCs w:val="18"/>
                <w:color w:val="auto"/>
              </w:rPr>
            </w:pPr>
          </w:p>
        </w:tc>
        <w:tc>
          <w:tcPr>
            <w:tcW w:w="1040" w:type="dxa"/>
            <w:vAlign w:val="bottom"/>
            <w:tcBorders>
              <w:bottom w:val="single" w:sz="8" w:color="auto"/>
              <w:right w:val="single" w:sz="8" w:color="auto"/>
            </w:tcBorders>
          </w:tcPr>
          <w:p>
            <w:pPr>
              <w:jc w:val="right"/>
              <w:ind w:right="221"/>
              <w:spacing w:after="0"/>
              <w:rPr>
                <w:sz w:val="20"/>
                <w:szCs w:val="20"/>
                <w:color w:val="auto"/>
              </w:rPr>
            </w:pPr>
            <w:r>
              <w:rPr>
                <w:rFonts w:ascii="Arial" w:cs="Arial" w:eastAsia="Arial" w:hAnsi="Arial"/>
                <w:sz w:val="14"/>
                <w:szCs w:val="14"/>
                <w:color w:val="auto"/>
              </w:rPr>
              <w:t>SoCalGas</w:t>
            </w:r>
          </w:p>
        </w:tc>
        <w:tc>
          <w:tcPr>
            <w:tcW w:w="3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321"/>
              <w:spacing w:after="0"/>
              <w:rPr>
                <w:sz w:val="20"/>
                <w:szCs w:val="20"/>
                <w:color w:val="auto"/>
              </w:rPr>
            </w:pPr>
            <w:r>
              <w:rPr>
                <w:rFonts w:ascii="Arial" w:cs="Arial" w:eastAsia="Arial" w:hAnsi="Arial"/>
                <w:sz w:val="14"/>
                <w:szCs w:val="14"/>
                <w:color w:val="auto"/>
              </w:rPr>
              <w:t>Sempra</w:t>
            </w:r>
          </w:p>
        </w:tc>
        <w:tc>
          <w:tcPr>
            <w:tcW w:w="3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41"/>
              <w:spacing w:after="0"/>
              <w:rPr>
                <w:sz w:val="20"/>
                <w:szCs w:val="20"/>
                <w:color w:val="auto"/>
              </w:rPr>
            </w:pPr>
            <w:r>
              <w:rPr>
                <w:rFonts w:ascii="Arial" w:cs="Arial" w:eastAsia="Arial" w:hAnsi="Arial"/>
                <w:sz w:val="14"/>
                <w:szCs w:val="14"/>
                <w:color w:val="auto"/>
              </w:rPr>
              <w:t>SDG&amp;E</w:t>
            </w:r>
          </w:p>
        </w:tc>
        <w:tc>
          <w:tcPr>
            <w:tcW w:w="2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201"/>
              <w:spacing w:after="0"/>
              <w:rPr>
                <w:sz w:val="20"/>
                <w:szCs w:val="20"/>
                <w:color w:val="auto"/>
              </w:rPr>
            </w:pPr>
            <w:r>
              <w:rPr>
                <w:rFonts w:ascii="Arial" w:cs="Arial" w:eastAsia="Arial" w:hAnsi="Arial"/>
                <w:sz w:val="14"/>
                <w:szCs w:val="14"/>
                <w:color w:val="auto"/>
              </w:rPr>
              <w:t>SoCalGas</w:t>
            </w:r>
          </w:p>
        </w:tc>
      </w:tr>
      <w:tr>
        <w:trPr>
          <w:trHeight w:val="214"/>
        </w:trPr>
        <w:tc>
          <w:tcPr>
            <w:tcW w:w="3160" w:type="dxa"/>
            <w:vAlign w:val="bottom"/>
            <w:shd w:val="clear" w:color="auto" w:fill="D4F1F5"/>
          </w:tcPr>
          <w:p>
            <w:pPr>
              <w:ind w:left="20"/>
              <w:spacing w:after="0"/>
              <w:rPr>
                <w:sz w:val="20"/>
                <w:szCs w:val="20"/>
                <w:color w:val="auto"/>
              </w:rPr>
            </w:pPr>
            <w:r>
              <w:rPr>
                <w:rFonts w:ascii="Arial" w:cs="Arial" w:eastAsia="Arial" w:hAnsi="Arial"/>
                <w:sz w:val="16"/>
                <w:szCs w:val="16"/>
                <w:color w:val="auto"/>
              </w:rPr>
              <w:t>Short-term:</w:t>
            </w:r>
          </w:p>
        </w:tc>
        <w:tc>
          <w:tcPr>
            <w:tcW w:w="260" w:type="dxa"/>
            <w:vAlign w:val="bottom"/>
            <w:shd w:val="clear" w:color="auto" w:fill="D4F1F5"/>
          </w:tcPr>
          <w:p>
            <w:pPr>
              <w:spacing w:after="0"/>
              <w:rPr>
                <w:sz w:val="18"/>
                <w:szCs w:val="18"/>
                <w:color w:val="auto"/>
              </w:rPr>
            </w:pPr>
          </w:p>
        </w:tc>
        <w:tc>
          <w:tcPr>
            <w:tcW w:w="1100" w:type="dxa"/>
            <w:vAlign w:val="bottom"/>
            <w:shd w:val="clear" w:color="auto" w:fill="D4F1F5"/>
          </w:tcPr>
          <w:p>
            <w:pPr>
              <w:spacing w:after="0"/>
              <w:rPr>
                <w:sz w:val="18"/>
                <w:szCs w:val="18"/>
                <w:color w:val="auto"/>
              </w:rPr>
            </w:pPr>
          </w:p>
        </w:tc>
        <w:tc>
          <w:tcPr>
            <w:tcW w:w="300" w:type="dxa"/>
            <w:vAlign w:val="bottom"/>
            <w:shd w:val="clear" w:color="auto" w:fill="D4F1F5"/>
          </w:tcPr>
          <w:p>
            <w:pPr>
              <w:spacing w:after="0"/>
              <w:rPr>
                <w:sz w:val="18"/>
                <w:szCs w:val="18"/>
                <w:color w:val="auto"/>
              </w:rPr>
            </w:pPr>
          </w:p>
        </w:tc>
        <w:tc>
          <w:tcPr>
            <w:tcW w:w="1020" w:type="dxa"/>
            <w:vAlign w:val="bottom"/>
            <w:shd w:val="clear" w:color="auto" w:fill="D4F1F5"/>
          </w:tcPr>
          <w:p>
            <w:pPr>
              <w:spacing w:after="0"/>
              <w:rPr>
                <w:sz w:val="18"/>
                <w:szCs w:val="18"/>
                <w:color w:val="auto"/>
              </w:rPr>
            </w:pPr>
          </w:p>
        </w:tc>
        <w:tc>
          <w:tcPr>
            <w:tcW w:w="280" w:type="dxa"/>
            <w:vAlign w:val="bottom"/>
            <w:shd w:val="clear" w:color="auto" w:fill="D4F1F5"/>
          </w:tcPr>
          <w:p>
            <w:pPr>
              <w:spacing w:after="0"/>
              <w:rPr>
                <w:sz w:val="18"/>
                <w:szCs w:val="18"/>
                <w:color w:val="auto"/>
              </w:rPr>
            </w:pPr>
          </w:p>
        </w:tc>
        <w:tc>
          <w:tcPr>
            <w:tcW w:w="1040" w:type="dxa"/>
            <w:vAlign w:val="bottom"/>
            <w:tcBorders>
              <w:right w:val="single" w:sz="8" w:color="auto"/>
            </w:tcBorders>
            <w:shd w:val="clear" w:color="auto" w:fill="D4F1F5"/>
          </w:tcPr>
          <w:p>
            <w:pPr>
              <w:spacing w:after="0"/>
              <w:rPr>
                <w:sz w:val="18"/>
                <w:szCs w:val="18"/>
                <w:color w:val="auto"/>
              </w:rPr>
            </w:pPr>
          </w:p>
        </w:tc>
        <w:tc>
          <w:tcPr>
            <w:tcW w:w="340" w:type="dxa"/>
            <w:vAlign w:val="bottom"/>
            <w:shd w:val="clear" w:color="auto" w:fill="D4F1F5"/>
          </w:tcPr>
          <w:p>
            <w:pPr>
              <w:spacing w:after="0"/>
              <w:rPr>
                <w:sz w:val="18"/>
                <w:szCs w:val="18"/>
                <w:color w:val="auto"/>
              </w:rPr>
            </w:pPr>
          </w:p>
        </w:tc>
        <w:tc>
          <w:tcPr>
            <w:tcW w:w="1060" w:type="dxa"/>
            <w:vAlign w:val="bottom"/>
            <w:shd w:val="clear" w:color="auto" w:fill="D4F1F5"/>
          </w:tcPr>
          <w:p>
            <w:pPr>
              <w:spacing w:after="0"/>
              <w:rPr>
                <w:sz w:val="18"/>
                <w:szCs w:val="18"/>
                <w:color w:val="auto"/>
              </w:rPr>
            </w:pPr>
          </w:p>
        </w:tc>
        <w:tc>
          <w:tcPr>
            <w:tcW w:w="360" w:type="dxa"/>
            <w:vAlign w:val="bottom"/>
            <w:shd w:val="clear" w:color="auto" w:fill="D4F1F5"/>
          </w:tcPr>
          <w:p>
            <w:pPr>
              <w:spacing w:after="0"/>
              <w:rPr>
                <w:sz w:val="18"/>
                <w:szCs w:val="18"/>
                <w:color w:val="auto"/>
              </w:rPr>
            </w:pPr>
          </w:p>
        </w:tc>
        <w:tc>
          <w:tcPr>
            <w:tcW w:w="1040" w:type="dxa"/>
            <w:vAlign w:val="bottom"/>
            <w:shd w:val="clear" w:color="auto" w:fill="D4F1F5"/>
          </w:tcPr>
          <w:p>
            <w:pPr>
              <w:spacing w:after="0"/>
              <w:rPr>
                <w:sz w:val="18"/>
                <w:szCs w:val="18"/>
                <w:color w:val="auto"/>
              </w:rPr>
            </w:pPr>
          </w:p>
        </w:tc>
        <w:tc>
          <w:tcPr>
            <w:tcW w:w="240" w:type="dxa"/>
            <w:vAlign w:val="bottom"/>
            <w:shd w:val="clear" w:color="auto" w:fill="D4F1F5"/>
          </w:tcPr>
          <w:p>
            <w:pPr>
              <w:spacing w:after="0"/>
              <w:rPr>
                <w:sz w:val="18"/>
                <w:szCs w:val="18"/>
                <w:color w:val="auto"/>
              </w:rPr>
            </w:pPr>
          </w:p>
        </w:tc>
        <w:tc>
          <w:tcPr>
            <w:tcW w:w="1040" w:type="dxa"/>
            <w:vAlign w:val="bottom"/>
            <w:shd w:val="clear" w:color="auto" w:fill="D4F1F5"/>
          </w:tcPr>
          <w:p>
            <w:pPr>
              <w:spacing w:after="0"/>
              <w:rPr>
                <w:sz w:val="18"/>
                <w:szCs w:val="18"/>
                <w:color w:val="auto"/>
              </w:rPr>
            </w:pPr>
          </w:p>
        </w:tc>
      </w:tr>
      <w:tr>
        <w:trPr>
          <w:trHeight w:val="215"/>
        </w:trPr>
        <w:tc>
          <w:tcPr>
            <w:tcW w:w="3160" w:type="dxa"/>
            <w:vAlign w:val="bottom"/>
          </w:tcPr>
          <w:p>
            <w:pPr>
              <w:ind w:left="180"/>
              <w:spacing w:after="0"/>
              <w:rPr>
                <w:sz w:val="20"/>
                <w:szCs w:val="20"/>
                <w:color w:val="auto"/>
              </w:rPr>
            </w:pPr>
            <w:r>
              <w:rPr>
                <w:rFonts w:ascii="Arial" w:cs="Arial" w:eastAsia="Arial" w:hAnsi="Arial"/>
                <w:sz w:val="16"/>
                <w:szCs w:val="16"/>
                <w:color w:val="auto"/>
              </w:rPr>
              <w:t>Sempra California</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ind w:right="21"/>
              <w:spacing w:after="0"/>
              <w:rPr>
                <w:sz w:val="20"/>
                <w:szCs w:val="20"/>
                <w:color w:val="auto"/>
              </w:rPr>
            </w:pPr>
            <w:r>
              <w:rPr>
                <w:rFonts w:ascii="Arial" w:cs="Arial" w:eastAsia="Arial" w:hAnsi="Arial"/>
                <w:sz w:val="16"/>
                <w:szCs w:val="16"/>
                <w:color w:val="auto"/>
              </w:rPr>
              <w:t>499</w:t>
            </w:r>
          </w:p>
        </w:tc>
        <w:tc>
          <w:tcPr>
            <w:tcW w:w="300" w:type="dxa"/>
            <w:vAlign w:val="bottom"/>
          </w:tcPr>
          <w:p>
            <w:pPr>
              <w:jc w:val="right"/>
              <w:ind w:right="42"/>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2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040" w:type="dxa"/>
            <w:vAlign w:val="bottom"/>
            <w:tcBorders>
              <w:right w:val="single" w:sz="8" w:color="auto"/>
            </w:tcBorders>
          </w:tcPr>
          <w:p>
            <w:pPr>
              <w:jc w:val="right"/>
              <w:ind w:right="21"/>
              <w:spacing w:after="0"/>
              <w:rPr>
                <w:sz w:val="20"/>
                <w:szCs w:val="20"/>
                <w:color w:val="auto"/>
              </w:rPr>
            </w:pPr>
            <w:r>
              <w:rPr>
                <w:rFonts w:ascii="Arial" w:cs="Arial" w:eastAsia="Arial" w:hAnsi="Arial"/>
                <w:sz w:val="16"/>
                <w:szCs w:val="16"/>
                <w:color w:val="auto"/>
              </w:rPr>
              <w:t>499</w:t>
            </w:r>
          </w:p>
        </w:tc>
        <w:tc>
          <w:tcPr>
            <w:tcW w:w="34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1,436</w:t>
            </w:r>
          </w:p>
        </w:tc>
        <w:tc>
          <w:tcPr>
            <w:tcW w:w="360" w:type="dxa"/>
            <w:vAlign w:val="bottom"/>
          </w:tcPr>
          <w:p>
            <w:pPr>
              <w:jc w:val="right"/>
              <w:ind w:right="42"/>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41"/>
              <w:spacing w:after="0"/>
              <w:rPr>
                <w:sz w:val="20"/>
                <w:szCs w:val="20"/>
                <w:color w:val="auto"/>
              </w:rPr>
            </w:pPr>
            <w:r>
              <w:rPr>
                <w:rFonts w:ascii="Arial" w:cs="Arial" w:eastAsia="Arial" w:hAnsi="Arial"/>
                <w:sz w:val="16"/>
                <w:szCs w:val="16"/>
                <w:color w:val="auto"/>
              </w:rPr>
              <w:t>532</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1"/>
              <w:spacing w:after="0"/>
              <w:rPr>
                <w:sz w:val="20"/>
                <w:szCs w:val="20"/>
                <w:color w:val="auto"/>
              </w:rPr>
            </w:pPr>
            <w:r>
              <w:rPr>
                <w:rFonts w:ascii="Arial" w:cs="Arial" w:eastAsia="Arial" w:hAnsi="Arial"/>
                <w:sz w:val="16"/>
                <w:szCs w:val="16"/>
                <w:color w:val="auto"/>
              </w:rPr>
              <w:t>904</w:t>
            </w:r>
          </w:p>
        </w:tc>
      </w:tr>
      <w:tr>
        <w:trPr>
          <w:trHeight w:val="217"/>
        </w:trPr>
        <w:tc>
          <w:tcPr>
            <w:tcW w:w="3160" w:type="dxa"/>
            <w:vAlign w:val="bottom"/>
            <w:shd w:val="clear" w:color="auto" w:fill="D4F1F5"/>
          </w:tcPr>
          <w:p>
            <w:pPr>
              <w:ind w:left="180"/>
              <w:spacing w:after="0"/>
              <w:rPr>
                <w:sz w:val="20"/>
                <w:szCs w:val="20"/>
                <w:color w:val="auto"/>
              </w:rPr>
            </w:pPr>
            <w:r>
              <w:rPr>
                <w:rFonts w:ascii="Arial" w:cs="Arial" w:eastAsia="Arial" w:hAnsi="Arial"/>
                <w:sz w:val="16"/>
                <w:szCs w:val="16"/>
                <w:color w:val="auto"/>
              </w:rPr>
              <w:t>Other</w:t>
            </w:r>
          </w:p>
        </w:tc>
        <w:tc>
          <w:tcPr>
            <w:tcW w:w="260" w:type="dxa"/>
            <w:vAlign w:val="bottom"/>
            <w:shd w:val="clear" w:color="auto" w:fill="D4F1F5"/>
          </w:tcPr>
          <w:p>
            <w:pPr>
              <w:spacing w:after="0"/>
              <w:rPr>
                <w:sz w:val="18"/>
                <w:szCs w:val="18"/>
                <w:color w:val="auto"/>
              </w:rPr>
            </w:pPr>
          </w:p>
        </w:tc>
        <w:tc>
          <w:tcPr>
            <w:tcW w:w="1100" w:type="dxa"/>
            <w:vAlign w:val="bottom"/>
            <w:shd w:val="clear" w:color="auto" w:fill="D4F1F5"/>
          </w:tcPr>
          <w:p>
            <w:pPr>
              <w:jc w:val="right"/>
              <w:ind w:right="21"/>
              <w:spacing w:after="0"/>
              <w:rPr>
                <w:sz w:val="20"/>
                <w:szCs w:val="20"/>
                <w:color w:val="auto"/>
              </w:rPr>
            </w:pPr>
            <w:r>
              <w:rPr>
                <w:rFonts w:ascii="Arial" w:cs="Arial" w:eastAsia="Arial" w:hAnsi="Arial"/>
                <w:sz w:val="16"/>
                <w:szCs w:val="16"/>
                <w:color w:val="auto"/>
              </w:rPr>
              <w:t>3,211</w:t>
            </w:r>
          </w:p>
        </w:tc>
        <w:tc>
          <w:tcPr>
            <w:tcW w:w="300" w:type="dxa"/>
            <w:vAlign w:val="bottom"/>
            <w:shd w:val="clear" w:color="auto" w:fill="D4F1F5"/>
          </w:tcPr>
          <w:p>
            <w:pPr>
              <w:spacing w:after="0"/>
              <w:rPr>
                <w:sz w:val="18"/>
                <w:szCs w:val="18"/>
                <w:color w:val="auto"/>
              </w:rPr>
            </w:pPr>
          </w:p>
        </w:tc>
        <w:tc>
          <w:tcPr>
            <w:tcW w:w="1020" w:type="dxa"/>
            <w:vAlign w:val="bottom"/>
            <w:shd w:val="clear" w:color="auto" w:fill="D4F1F5"/>
          </w:tcPr>
          <w:p>
            <w:pPr>
              <w:jc w:val="right"/>
              <w:ind w:right="21"/>
              <w:spacing w:after="0"/>
              <w:rPr>
                <w:sz w:val="20"/>
                <w:szCs w:val="20"/>
                <w:color w:val="auto"/>
              </w:rPr>
            </w:pPr>
            <w:r>
              <w:rPr>
                <w:rFonts w:ascii="Arial" w:cs="Arial" w:eastAsia="Arial" w:hAnsi="Arial"/>
                <w:sz w:val="16"/>
                <w:szCs w:val="16"/>
                <w:color w:val="auto"/>
              </w:rPr>
              <w:t>—</w:t>
            </w:r>
          </w:p>
        </w:tc>
        <w:tc>
          <w:tcPr>
            <w:tcW w:w="280" w:type="dxa"/>
            <w:vAlign w:val="bottom"/>
            <w:shd w:val="clear" w:color="auto" w:fill="D4F1F5"/>
          </w:tcPr>
          <w:p>
            <w:pPr>
              <w:spacing w:after="0"/>
              <w:rPr>
                <w:sz w:val="18"/>
                <w:szCs w:val="18"/>
                <w:color w:val="auto"/>
              </w:rPr>
            </w:pPr>
          </w:p>
        </w:tc>
        <w:tc>
          <w:tcPr>
            <w:tcW w:w="1040" w:type="dxa"/>
            <w:vAlign w:val="bottom"/>
            <w:tcBorders>
              <w:right w:val="single" w:sz="8" w:color="auto"/>
            </w:tcBorders>
            <w:shd w:val="clear" w:color="auto" w:fill="D4F1F5"/>
          </w:tcPr>
          <w:p>
            <w:pPr>
              <w:jc w:val="right"/>
              <w:ind w:right="21"/>
              <w:spacing w:after="0"/>
              <w:rPr>
                <w:sz w:val="20"/>
                <w:szCs w:val="20"/>
                <w:color w:val="auto"/>
              </w:rPr>
            </w:pPr>
            <w:r>
              <w:rPr>
                <w:rFonts w:ascii="Arial" w:cs="Arial" w:eastAsia="Arial" w:hAnsi="Arial"/>
                <w:sz w:val="16"/>
                <w:szCs w:val="16"/>
                <w:color w:val="auto"/>
              </w:rPr>
              <w:t>—</w:t>
            </w:r>
          </w:p>
        </w:tc>
        <w:tc>
          <w:tcPr>
            <w:tcW w:w="340" w:type="dxa"/>
            <w:vAlign w:val="bottom"/>
            <w:shd w:val="clear" w:color="auto" w:fill="D4F1F5"/>
          </w:tcPr>
          <w:p>
            <w:pPr>
              <w:spacing w:after="0"/>
              <w:rPr>
                <w:sz w:val="18"/>
                <w:szCs w:val="18"/>
                <w:color w:val="auto"/>
              </w:rPr>
            </w:pPr>
          </w:p>
        </w:tc>
        <w:tc>
          <w:tcPr>
            <w:tcW w:w="1060" w:type="dxa"/>
            <w:vAlign w:val="bottom"/>
            <w:shd w:val="clear" w:color="auto" w:fill="D4F1F5"/>
          </w:tcPr>
          <w:p>
            <w:pPr>
              <w:jc w:val="right"/>
              <w:spacing w:after="0"/>
              <w:rPr>
                <w:sz w:val="20"/>
                <w:szCs w:val="20"/>
                <w:color w:val="auto"/>
              </w:rPr>
            </w:pPr>
            <w:r>
              <w:rPr>
                <w:rFonts w:ascii="Arial" w:cs="Arial" w:eastAsia="Arial" w:hAnsi="Arial"/>
                <w:sz w:val="16"/>
                <w:szCs w:val="16"/>
                <w:color w:val="auto"/>
              </w:rPr>
              <w:t>2,733</w:t>
            </w:r>
          </w:p>
        </w:tc>
        <w:tc>
          <w:tcPr>
            <w:tcW w:w="360" w:type="dxa"/>
            <w:vAlign w:val="bottom"/>
            <w:shd w:val="clear" w:color="auto" w:fill="D4F1F5"/>
          </w:tcPr>
          <w:p>
            <w:pPr>
              <w:spacing w:after="0"/>
              <w:rPr>
                <w:sz w:val="18"/>
                <w:szCs w:val="18"/>
                <w:color w:val="auto"/>
              </w:rPr>
            </w:pPr>
          </w:p>
        </w:tc>
        <w:tc>
          <w:tcPr>
            <w:tcW w:w="1040" w:type="dxa"/>
            <w:vAlign w:val="bottom"/>
            <w:shd w:val="clear" w:color="auto" w:fill="D4F1F5"/>
          </w:tcPr>
          <w:p>
            <w:pPr>
              <w:jc w:val="right"/>
              <w:ind w:right="41"/>
              <w:spacing w:after="0"/>
              <w:rPr>
                <w:sz w:val="20"/>
                <w:szCs w:val="20"/>
                <w:color w:val="auto"/>
              </w:rPr>
            </w:pPr>
            <w:r>
              <w:rPr>
                <w:rFonts w:ascii="Arial" w:cs="Arial" w:eastAsia="Arial" w:hAnsi="Arial"/>
                <w:sz w:val="16"/>
                <w:szCs w:val="16"/>
                <w:color w:val="auto"/>
              </w:rPr>
              <w:t>—</w:t>
            </w:r>
          </w:p>
        </w:tc>
        <w:tc>
          <w:tcPr>
            <w:tcW w:w="240" w:type="dxa"/>
            <w:vAlign w:val="bottom"/>
            <w:shd w:val="clear" w:color="auto" w:fill="D4F1F5"/>
          </w:tcPr>
          <w:p>
            <w:pPr>
              <w:spacing w:after="0"/>
              <w:rPr>
                <w:sz w:val="18"/>
                <w:szCs w:val="18"/>
                <w:color w:val="auto"/>
              </w:rPr>
            </w:pPr>
          </w:p>
        </w:tc>
        <w:tc>
          <w:tcPr>
            <w:tcW w:w="1040" w:type="dxa"/>
            <w:vAlign w:val="bottom"/>
            <w:shd w:val="clear" w:color="auto" w:fill="D4F1F5"/>
          </w:tcPr>
          <w:p>
            <w:pPr>
              <w:jc w:val="right"/>
              <w:ind w:right="1"/>
              <w:spacing w:after="0"/>
              <w:rPr>
                <w:sz w:val="20"/>
                <w:szCs w:val="20"/>
                <w:color w:val="auto"/>
              </w:rPr>
            </w:pPr>
            <w:r>
              <w:rPr>
                <w:rFonts w:ascii="Arial" w:cs="Arial" w:eastAsia="Arial" w:hAnsi="Arial"/>
                <w:sz w:val="16"/>
                <w:szCs w:val="16"/>
                <w:color w:val="auto"/>
              </w:rPr>
              <w:t>—</w:t>
            </w:r>
          </w:p>
        </w:tc>
      </w:tr>
      <w:tr>
        <w:trPr>
          <w:trHeight w:val="215"/>
        </w:trPr>
        <w:tc>
          <w:tcPr>
            <w:tcW w:w="3160" w:type="dxa"/>
            <w:vAlign w:val="bottom"/>
          </w:tcPr>
          <w:p>
            <w:pPr>
              <w:ind w:left="20"/>
              <w:spacing w:after="0"/>
              <w:rPr>
                <w:sz w:val="20"/>
                <w:szCs w:val="20"/>
                <w:color w:val="auto"/>
              </w:rPr>
            </w:pPr>
            <w:r>
              <w:rPr>
                <w:rFonts w:ascii="Arial" w:cs="Arial" w:eastAsia="Arial" w:hAnsi="Arial"/>
                <w:sz w:val="16"/>
                <w:szCs w:val="16"/>
                <w:color w:val="auto"/>
              </w:rPr>
              <w:t>Long-term:</w:t>
            </w: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Borders>
              <w:right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17"/>
        </w:trPr>
        <w:tc>
          <w:tcPr>
            <w:tcW w:w="3160" w:type="dxa"/>
            <w:vAlign w:val="bottom"/>
            <w:shd w:val="clear" w:color="auto" w:fill="D4F1F5"/>
          </w:tcPr>
          <w:p>
            <w:pPr>
              <w:ind w:left="180"/>
              <w:spacing w:after="0"/>
              <w:rPr>
                <w:sz w:val="20"/>
                <w:szCs w:val="20"/>
                <w:color w:val="auto"/>
              </w:rPr>
            </w:pPr>
            <w:r>
              <w:rPr>
                <w:rFonts w:ascii="Arial" w:cs="Arial" w:eastAsia="Arial" w:hAnsi="Arial"/>
                <w:sz w:val="16"/>
                <w:szCs w:val="16"/>
                <w:color w:val="auto"/>
              </w:rPr>
              <w:t>Sempra California fixed-rate</w:t>
            </w:r>
          </w:p>
        </w:tc>
        <w:tc>
          <w:tcPr>
            <w:tcW w:w="260" w:type="dxa"/>
            <w:vAlign w:val="bottom"/>
            <w:shd w:val="clear" w:color="auto" w:fill="D4F1F5"/>
          </w:tcPr>
          <w:p>
            <w:pPr>
              <w:jc w:val="right"/>
              <w:ind w:right="79"/>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D4F1F5"/>
          </w:tcPr>
          <w:p>
            <w:pPr>
              <w:jc w:val="right"/>
              <w:ind w:right="21"/>
              <w:spacing w:after="0"/>
              <w:rPr>
                <w:sz w:val="20"/>
                <w:szCs w:val="20"/>
                <w:color w:val="auto"/>
              </w:rPr>
            </w:pPr>
            <w:r>
              <w:rPr>
                <w:rFonts w:ascii="Arial" w:cs="Arial" w:eastAsia="Arial" w:hAnsi="Arial"/>
                <w:sz w:val="16"/>
                <w:szCs w:val="16"/>
                <w:color w:val="auto"/>
              </w:rPr>
              <w:t>19,009</w:t>
            </w:r>
          </w:p>
        </w:tc>
        <w:tc>
          <w:tcPr>
            <w:tcW w:w="300" w:type="dxa"/>
            <w:vAlign w:val="bottom"/>
            <w:shd w:val="clear" w:color="auto" w:fill="D4F1F5"/>
          </w:tcPr>
          <w:p>
            <w:pPr>
              <w:jc w:val="right"/>
              <w:ind w:right="42"/>
              <w:spacing w:after="0"/>
              <w:rPr>
                <w:sz w:val="20"/>
                <w:szCs w:val="20"/>
                <w:color w:val="auto"/>
              </w:rPr>
            </w:pPr>
            <w:r>
              <w:rPr>
                <w:rFonts w:ascii="Arial" w:cs="Arial" w:eastAsia="Arial" w:hAnsi="Arial"/>
                <w:sz w:val="16"/>
                <w:szCs w:val="16"/>
                <w:color w:val="auto"/>
              </w:rPr>
              <w:t>$</w:t>
            </w:r>
          </w:p>
        </w:tc>
        <w:tc>
          <w:tcPr>
            <w:tcW w:w="1020" w:type="dxa"/>
            <w:vAlign w:val="bottom"/>
            <w:shd w:val="clear" w:color="auto" w:fill="D4F1F5"/>
          </w:tcPr>
          <w:p>
            <w:pPr>
              <w:jc w:val="right"/>
              <w:ind w:right="21"/>
              <w:spacing w:after="0"/>
              <w:rPr>
                <w:sz w:val="20"/>
                <w:szCs w:val="20"/>
                <w:color w:val="auto"/>
              </w:rPr>
            </w:pPr>
            <w:r>
              <w:rPr>
                <w:rFonts w:ascii="Arial" w:cs="Arial" w:eastAsia="Arial" w:hAnsi="Arial"/>
                <w:sz w:val="16"/>
                <w:szCs w:val="16"/>
                <w:color w:val="auto"/>
              </w:rPr>
              <w:t>10,900</w:t>
            </w:r>
          </w:p>
        </w:tc>
        <w:tc>
          <w:tcPr>
            <w:tcW w:w="280" w:type="dxa"/>
            <w:vAlign w:val="bottom"/>
            <w:shd w:val="clear" w:color="auto" w:fill="D4F1F5"/>
          </w:tcPr>
          <w:p>
            <w:pPr>
              <w:jc w:val="right"/>
              <w:ind w:right="19"/>
              <w:spacing w:after="0"/>
              <w:rPr>
                <w:sz w:val="20"/>
                <w:szCs w:val="20"/>
                <w:color w:val="auto"/>
              </w:rPr>
            </w:pPr>
            <w:r>
              <w:rPr>
                <w:rFonts w:ascii="Arial" w:cs="Arial" w:eastAsia="Arial" w:hAnsi="Arial"/>
                <w:sz w:val="16"/>
                <w:szCs w:val="16"/>
                <w:color w:val="auto"/>
              </w:rPr>
              <w:t>$</w:t>
            </w:r>
          </w:p>
        </w:tc>
        <w:tc>
          <w:tcPr>
            <w:tcW w:w="1040" w:type="dxa"/>
            <w:vAlign w:val="bottom"/>
            <w:tcBorders>
              <w:right w:val="single" w:sz="8" w:color="auto"/>
            </w:tcBorders>
            <w:shd w:val="clear" w:color="auto" w:fill="D4F1F5"/>
          </w:tcPr>
          <w:p>
            <w:pPr>
              <w:jc w:val="right"/>
              <w:ind w:right="21"/>
              <w:spacing w:after="0"/>
              <w:rPr>
                <w:sz w:val="20"/>
                <w:szCs w:val="20"/>
                <w:color w:val="auto"/>
              </w:rPr>
            </w:pPr>
            <w:r>
              <w:rPr>
                <w:rFonts w:ascii="Arial" w:cs="Arial" w:eastAsia="Arial" w:hAnsi="Arial"/>
                <w:sz w:val="16"/>
                <w:szCs w:val="16"/>
                <w:color w:val="auto"/>
              </w:rPr>
              <w:t>8,109</w:t>
            </w:r>
          </w:p>
        </w:tc>
        <w:tc>
          <w:tcPr>
            <w:tcW w:w="340" w:type="dxa"/>
            <w:vAlign w:val="bottom"/>
            <w:shd w:val="clear" w:color="auto" w:fill="D4F1F5"/>
          </w:tcPr>
          <w:p>
            <w:pPr>
              <w:jc w:val="right"/>
              <w:ind w:right="59"/>
              <w:spacing w:after="0"/>
              <w:rPr>
                <w:sz w:val="20"/>
                <w:szCs w:val="20"/>
                <w:color w:val="auto"/>
              </w:rPr>
            </w:pPr>
            <w:r>
              <w:rPr>
                <w:rFonts w:ascii="Arial" w:cs="Arial" w:eastAsia="Arial" w:hAnsi="Arial"/>
                <w:sz w:val="16"/>
                <w:szCs w:val="16"/>
                <w:color w:val="auto"/>
              </w:rPr>
              <w:t>$</w:t>
            </w:r>
          </w:p>
        </w:tc>
        <w:tc>
          <w:tcPr>
            <w:tcW w:w="1060" w:type="dxa"/>
            <w:vAlign w:val="bottom"/>
            <w:shd w:val="clear" w:color="auto" w:fill="D4F1F5"/>
          </w:tcPr>
          <w:p>
            <w:pPr>
              <w:jc w:val="right"/>
              <w:spacing w:after="0"/>
              <w:rPr>
                <w:sz w:val="20"/>
                <w:szCs w:val="20"/>
                <w:color w:val="auto"/>
              </w:rPr>
            </w:pPr>
            <w:r>
              <w:rPr>
                <w:rFonts w:ascii="Arial" w:cs="Arial" w:eastAsia="Arial" w:hAnsi="Arial"/>
                <w:sz w:val="16"/>
                <w:szCs w:val="16"/>
                <w:color w:val="auto"/>
              </w:rPr>
              <w:t>17,909</w:t>
            </w:r>
          </w:p>
        </w:tc>
        <w:tc>
          <w:tcPr>
            <w:tcW w:w="360" w:type="dxa"/>
            <w:vAlign w:val="bottom"/>
            <w:shd w:val="clear" w:color="auto" w:fill="D4F1F5"/>
          </w:tcPr>
          <w:p>
            <w:pPr>
              <w:jc w:val="right"/>
              <w:ind w:right="42"/>
              <w:spacing w:after="0"/>
              <w:rPr>
                <w:sz w:val="20"/>
                <w:szCs w:val="20"/>
                <w:color w:val="auto"/>
              </w:rPr>
            </w:pPr>
            <w:r>
              <w:rPr>
                <w:rFonts w:ascii="Arial" w:cs="Arial" w:eastAsia="Arial" w:hAnsi="Arial"/>
                <w:sz w:val="16"/>
                <w:szCs w:val="16"/>
                <w:color w:val="auto"/>
              </w:rPr>
              <w:t>$</w:t>
            </w:r>
          </w:p>
        </w:tc>
        <w:tc>
          <w:tcPr>
            <w:tcW w:w="1040" w:type="dxa"/>
            <w:vAlign w:val="bottom"/>
            <w:shd w:val="clear" w:color="auto" w:fill="D4F1F5"/>
          </w:tcPr>
          <w:p>
            <w:pPr>
              <w:jc w:val="right"/>
              <w:ind w:right="41"/>
              <w:spacing w:after="0"/>
              <w:rPr>
                <w:sz w:val="20"/>
                <w:szCs w:val="20"/>
                <w:color w:val="auto"/>
              </w:rPr>
            </w:pPr>
            <w:r>
              <w:rPr>
                <w:rFonts w:ascii="Arial" w:cs="Arial" w:eastAsia="Arial" w:hAnsi="Arial"/>
                <w:sz w:val="16"/>
                <w:szCs w:val="16"/>
                <w:color w:val="auto"/>
              </w:rPr>
              <w:t>9,800</w:t>
            </w:r>
          </w:p>
        </w:tc>
        <w:tc>
          <w:tcPr>
            <w:tcW w:w="240" w:type="dxa"/>
            <w:vAlign w:val="bottom"/>
            <w:shd w:val="clear" w:color="auto" w:fill="D4F1F5"/>
          </w:tcPr>
          <w:p>
            <w:pPr>
              <w:jc w:val="right"/>
              <w:spacing w:after="0"/>
              <w:rPr>
                <w:sz w:val="20"/>
                <w:szCs w:val="20"/>
                <w:color w:val="auto"/>
              </w:rPr>
            </w:pPr>
            <w:r>
              <w:rPr>
                <w:rFonts w:ascii="Arial" w:cs="Arial" w:eastAsia="Arial" w:hAnsi="Arial"/>
                <w:sz w:val="16"/>
                <w:szCs w:val="16"/>
                <w:color w:val="auto"/>
              </w:rPr>
              <w:t>$</w:t>
            </w:r>
          </w:p>
        </w:tc>
        <w:tc>
          <w:tcPr>
            <w:tcW w:w="1040" w:type="dxa"/>
            <w:vAlign w:val="bottom"/>
            <w:shd w:val="clear" w:color="auto" w:fill="D4F1F5"/>
          </w:tcPr>
          <w:p>
            <w:pPr>
              <w:jc w:val="right"/>
              <w:ind w:right="1"/>
              <w:spacing w:after="0"/>
              <w:rPr>
                <w:sz w:val="20"/>
                <w:szCs w:val="20"/>
                <w:color w:val="auto"/>
              </w:rPr>
            </w:pPr>
            <w:r>
              <w:rPr>
                <w:rFonts w:ascii="Arial" w:cs="Arial" w:eastAsia="Arial" w:hAnsi="Arial"/>
                <w:sz w:val="16"/>
                <w:szCs w:val="16"/>
                <w:color w:val="auto"/>
              </w:rPr>
              <w:t>8,109</w:t>
            </w:r>
          </w:p>
        </w:tc>
      </w:tr>
      <w:tr>
        <w:trPr>
          <w:trHeight w:val="223"/>
        </w:trPr>
        <w:tc>
          <w:tcPr>
            <w:tcW w:w="3160" w:type="dxa"/>
            <w:vAlign w:val="bottom"/>
            <w:tcBorders>
              <w:bottom w:val="single" w:sz="8" w:color="ACACAC"/>
            </w:tcBorders>
          </w:tcPr>
          <w:p>
            <w:pPr>
              <w:ind w:left="180"/>
              <w:spacing w:after="0"/>
              <w:rPr>
                <w:sz w:val="20"/>
                <w:szCs w:val="20"/>
                <w:color w:val="auto"/>
              </w:rPr>
            </w:pPr>
            <w:r>
              <w:rPr>
                <w:rFonts w:ascii="Arial" w:cs="Arial" w:eastAsia="Arial" w:hAnsi="Arial"/>
                <w:sz w:val="16"/>
                <w:szCs w:val="16"/>
                <w:color w:val="auto"/>
              </w:rPr>
              <w:t>Other fixed-rate</w:t>
            </w:r>
          </w:p>
        </w:tc>
        <w:tc>
          <w:tcPr>
            <w:tcW w:w="260" w:type="dxa"/>
            <w:vAlign w:val="bottom"/>
            <w:tcBorders>
              <w:bottom w:val="single" w:sz="8" w:color="ACACAC"/>
            </w:tcBorders>
          </w:tcPr>
          <w:p>
            <w:pPr>
              <w:spacing w:after="0"/>
              <w:rPr>
                <w:sz w:val="19"/>
                <w:szCs w:val="19"/>
                <w:color w:val="auto"/>
              </w:rPr>
            </w:pPr>
          </w:p>
        </w:tc>
        <w:tc>
          <w:tcPr>
            <w:tcW w:w="1100" w:type="dxa"/>
            <w:vAlign w:val="bottom"/>
            <w:tcBorders>
              <w:bottom w:val="single" w:sz="8" w:color="ACACAC"/>
            </w:tcBorders>
          </w:tcPr>
          <w:p>
            <w:pPr>
              <w:jc w:val="right"/>
              <w:ind w:right="21"/>
              <w:spacing w:after="0"/>
              <w:rPr>
                <w:sz w:val="20"/>
                <w:szCs w:val="20"/>
                <w:color w:val="auto"/>
              </w:rPr>
            </w:pPr>
            <w:r>
              <w:rPr>
                <w:rFonts w:ascii="Arial" w:cs="Arial" w:eastAsia="Arial" w:hAnsi="Arial"/>
                <w:sz w:val="16"/>
                <w:szCs w:val="16"/>
                <w:color w:val="auto"/>
              </w:rPr>
              <w:t>12,758</w:t>
            </w:r>
          </w:p>
        </w:tc>
        <w:tc>
          <w:tcPr>
            <w:tcW w:w="300" w:type="dxa"/>
            <w:vAlign w:val="bottom"/>
            <w:tcBorders>
              <w:bottom w:val="single" w:sz="8" w:color="ACACAC"/>
            </w:tcBorders>
          </w:tcPr>
          <w:p>
            <w:pPr>
              <w:spacing w:after="0"/>
              <w:rPr>
                <w:sz w:val="19"/>
                <w:szCs w:val="19"/>
                <w:color w:val="auto"/>
              </w:rPr>
            </w:pPr>
          </w:p>
        </w:tc>
        <w:tc>
          <w:tcPr>
            <w:tcW w:w="1020" w:type="dxa"/>
            <w:vAlign w:val="bottom"/>
            <w:tcBorders>
              <w:bottom w:val="single" w:sz="8" w:color="ACACAC"/>
            </w:tcBorders>
          </w:tcPr>
          <w:p>
            <w:pPr>
              <w:jc w:val="right"/>
              <w:ind w:right="21"/>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ACACAC"/>
            </w:tcBorders>
          </w:tcPr>
          <w:p>
            <w:pPr>
              <w:spacing w:after="0"/>
              <w:rPr>
                <w:sz w:val="19"/>
                <w:szCs w:val="19"/>
                <w:color w:val="auto"/>
              </w:rPr>
            </w:pPr>
          </w:p>
        </w:tc>
        <w:tc>
          <w:tcPr>
            <w:tcW w:w="1040" w:type="dxa"/>
            <w:vAlign w:val="bottom"/>
            <w:tcBorders>
              <w:bottom w:val="single" w:sz="8" w:color="ACACAC"/>
              <w:right w:val="single" w:sz="8" w:color="auto"/>
            </w:tcBorders>
          </w:tcPr>
          <w:p>
            <w:pPr>
              <w:jc w:val="right"/>
              <w:ind w:right="21"/>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ACACAC"/>
            </w:tcBorders>
          </w:tcPr>
          <w:p>
            <w:pPr>
              <w:spacing w:after="0"/>
              <w:rPr>
                <w:sz w:val="19"/>
                <w:szCs w:val="19"/>
                <w:color w:val="auto"/>
              </w:rPr>
            </w:pPr>
          </w:p>
        </w:tc>
        <w:tc>
          <w:tcPr>
            <w:tcW w:w="1060" w:type="dxa"/>
            <w:vAlign w:val="bottom"/>
            <w:tcBorders>
              <w:bottom w:val="single" w:sz="8" w:color="ACACAC"/>
            </w:tcBorders>
          </w:tcPr>
          <w:p>
            <w:pPr>
              <w:jc w:val="right"/>
              <w:spacing w:after="0"/>
              <w:rPr>
                <w:sz w:val="20"/>
                <w:szCs w:val="20"/>
                <w:color w:val="auto"/>
              </w:rPr>
            </w:pPr>
            <w:r>
              <w:rPr>
                <w:rFonts w:ascii="Arial" w:cs="Arial" w:eastAsia="Arial" w:hAnsi="Arial"/>
                <w:sz w:val="16"/>
                <w:szCs w:val="16"/>
                <w:color w:val="auto"/>
              </w:rPr>
              <w:t>11,958</w:t>
            </w:r>
          </w:p>
        </w:tc>
        <w:tc>
          <w:tcPr>
            <w:tcW w:w="360" w:type="dxa"/>
            <w:vAlign w:val="bottom"/>
            <w:tcBorders>
              <w:bottom w:val="single" w:sz="8" w:color="ACACAC"/>
            </w:tcBorders>
          </w:tcPr>
          <w:p>
            <w:pPr>
              <w:spacing w:after="0"/>
              <w:rPr>
                <w:sz w:val="19"/>
                <w:szCs w:val="19"/>
                <w:color w:val="auto"/>
              </w:rPr>
            </w:pPr>
          </w:p>
        </w:tc>
        <w:tc>
          <w:tcPr>
            <w:tcW w:w="1040" w:type="dxa"/>
            <w:vAlign w:val="bottom"/>
            <w:tcBorders>
              <w:bottom w:val="single" w:sz="8" w:color="ACACAC"/>
            </w:tcBorders>
          </w:tcPr>
          <w:p>
            <w:pPr>
              <w:jc w:val="right"/>
              <w:ind w:right="41"/>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ACACAC"/>
            </w:tcBorders>
          </w:tcPr>
          <w:p>
            <w:pPr>
              <w:spacing w:after="0"/>
              <w:rPr>
                <w:sz w:val="19"/>
                <w:szCs w:val="19"/>
                <w:color w:val="auto"/>
              </w:rPr>
            </w:pPr>
          </w:p>
        </w:tc>
        <w:tc>
          <w:tcPr>
            <w:tcW w:w="1040" w:type="dxa"/>
            <w:vAlign w:val="bottom"/>
            <w:tcBorders>
              <w:bottom w:val="single" w:sz="8" w:color="ACACAC"/>
            </w:tcBorders>
          </w:tcPr>
          <w:p>
            <w:pPr>
              <w:jc w:val="right"/>
              <w:ind w:right="1"/>
              <w:spacing w:after="0"/>
              <w:rPr>
                <w:sz w:val="20"/>
                <w:szCs w:val="20"/>
                <w:color w:val="auto"/>
              </w:rPr>
            </w:pPr>
            <w:r>
              <w:rPr>
                <w:rFonts w:ascii="Arial" w:cs="Arial" w:eastAsia="Arial" w:hAnsi="Arial"/>
                <w:sz w:val="16"/>
                <w:szCs w:val="16"/>
                <w:color w:val="auto"/>
              </w:rPr>
              <w:t>—</w:t>
            </w:r>
          </w:p>
        </w:tc>
      </w:tr>
    </w:tbl>
    <w:p>
      <w:pPr>
        <w:spacing w:after="0" w:line="61" w:lineRule="exact"/>
        <w:rPr>
          <w:sz w:val="20"/>
          <w:szCs w:val="20"/>
          <w:color w:val="auto"/>
        </w:rPr>
      </w:pPr>
    </w:p>
    <w:p>
      <w:pPr>
        <w:ind w:left="320" w:hanging="312"/>
        <w:spacing w:after="0"/>
        <w:tabs>
          <w:tab w:leader="none" w:pos="320" w:val="left"/>
        </w:tabs>
        <w:numPr>
          <w:ilvl w:val="0"/>
          <w:numId w:val="101"/>
        </w:numPr>
        <w:rPr>
          <w:rFonts w:ascii="Arial" w:cs="Arial" w:eastAsia="Arial" w:hAnsi="Arial"/>
          <w:sz w:val="21"/>
          <w:szCs w:val="21"/>
          <w:i w:val="1"/>
          <w:iCs w:val="1"/>
          <w:color w:val="auto"/>
          <w:vertAlign w:val="superscript"/>
        </w:rPr>
      </w:pPr>
      <w:r>
        <w:rPr>
          <w:rFonts w:ascii="Arial" w:cs="Arial" w:eastAsia="Arial" w:hAnsi="Arial"/>
          <w:sz w:val="14"/>
          <w:szCs w:val="14"/>
          <w:i w:val="1"/>
          <w:iCs w:val="1"/>
          <w:color w:val="auto"/>
        </w:rPr>
        <w:t>Before reductions for unamortized discounts and debt issuance costs and excluding finance lease obligations.</w:t>
      </w:r>
    </w:p>
    <w:p>
      <w:pPr>
        <w:spacing w:after="0" w:line="152" w:lineRule="exact"/>
        <w:rPr>
          <w:sz w:val="20"/>
          <w:szCs w:val="20"/>
          <w:color w:val="auto"/>
        </w:rPr>
      </w:pPr>
    </w:p>
    <w:p>
      <w:pPr>
        <w:jc w:val="both"/>
        <w:ind w:right="140"/>
        <w:spacing w:after="0" w:line="236" w:lineRule="exact"/>
        <w:rPr>
          <w:sz w:val="20"/>
          <w:szCs w:val="20"/>
          <w:color w:val="auto"/>
        </w:rPr>
      </w:pPr>
      <w:r>
        <w:rPr>
          <w:rFonts w:ascii="Times New Roman" w:cs="Times New Roman" w:eastAsia="Times New Roman" w:hAnsi="Times New Roman"/>
          <w:sz w:val="18"/>
          <w:szCs w:val="18"/>
          <w:color w:val="auto"/>
        </w:rPr>
        <w:t>At March 31, 2026 and December 31, 2025, the nominal amount of debt of $9,085 million and $8,287 million, respectively, is included in Liabilities Held for Sale on the Sempra Condensed Consolidated Balance Sheets, which consists of $444 million and $362 million of short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term debt, $4,941 million and $5,766 million of long</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term fixed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rate debt, and $3,700 million and $2,159 million of long</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term variable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rate debt, respectively.</w:t>
      </w:r>
    </w:p>
    <w:p>
      <w:pPr>
        <w:spacing w:after="0" w:line="77" w:lineRule="exact"/>
        <w:rPr>
          <w:sz w:val="20"/>
          <w:szCs w:val="20"/>
          <w:color w:val="auto"/>
        </w:rPr>
      </w:pPr>
    </w:p>
    <w:p>
      <w:pPr>
        <w:ind w:right="60"/>
        <w:spacing w:after="0" w:line="263" w:lineRule="auto"/>
        <w:rPr>
          <w:sz w:val="20"/>
          <w:szCs w:val="20"/>
          <w:color w:val="auto"/>
        </w:rPr>
      </w:pPr>
      <w:r>
        <w:rPr>
          <w:rFonts w:ascii="Times New Roman" w:cs="Times New Roman" w:eastAsia="Times New Roman" w:hAnsi="Times New Roman"/>
          <w:sz w:val="18"/>
          <w:szCs w:val="18"/>
          <w:color w:val="auto"/>
        </w:rPr>
        <w:t>An interest rate risk sensitivity analysis measures interest rate risk by calculating the estimated changes in earnings attributable to common shares (but disregarding capitalized interest and impacts on equity earnings from debt at our equity method investees) that would result from a hypothetical change in market interest rates. Earnings attributable to common shares are affected by changes in interest rates on short-term debt and variable-rate long-term debt. If weighted-average interest rates on short-term debt outstanding at March 31, 2026, including short-term debt classified as held for sale, increased or decreased by 10%, the change in earnings attributable to common shares over the 12-month period ending March 31, 2027 would be approximately $13 million. If interest rates increased or decreased by 10% on all variable-rate long-term debt outstanding at March 31, 2026, all of which relates to variable-rate long-term debt classified as held for sale, after considering the effects of interest rate swaps, the change in earnings attributable to common shares over the 12-month period ending March 31, 2027 would be approximately $6 million.</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150495</wp:posOffset>
            </wp:positionV>
            <wp:extent cx="7157720" cy="4254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2" w:name="page113"/>
    <w:bookmarkEnd w:id="11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EXCHANGE RATE RISK AND INFLATION EXPOSURE</w:t>
      </w:r>
    </w:p>
    <w:p>
      <w:pPr>
        <w:spacing w:after="0" w:line="172"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At March 31, 2026, SI Partners, which holds our foreign operations, is classified as held for sale. Upon completion of the sale, which we expect to occur in the second or third quarter of 2026, we will deconsolidate SI Partners and account for our remaining 25% interest under the equity method, which we expect will reduce volatility in our results of operations associated with foreign currency exchange rate fluctuations and Mexican inflation. We discuss our foreign currency exchange rate risk and inflation exposure in “Part I – Item 2. MD&amp;A – Impact of Foreign Currency and Inflation Rates on Results of Operations” in this report and in “Part II – Item 7. MD&amp;A – Impact of Foreign Currency and Inflation Rates on Results of Operations” in the Annual Report. At March 31, 2026, there were no significant changes to our exposure to foreign currency exchange rate risk since December 31, 2025.</w:t>
      </w:r>
    </w:p>
    <w:p>
      <w:pPr>
        <w:spacing w:after="0" w:line="82"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In 2025 and 2026 to date, SDG&amp;E and SoCalGas experienced inflationary pressures from increases in various costs, including the cost of natural gas, electric fuel and purchased power, labor, materials, equipment and supplies, as well as decreased availability of many of these items. During this period, Sempra Texas Utilities experienced increased costs, including labor and contractor-related costs, materials, equipment and supplies, and does not have specific regulatory mechanisms that allow for recovery of higher non-reconcilable costs due to inflation; rather, recovery is limited to rate updates through capital trackers, UTM filings and base rate reviews, which may result in partial non-recovery due to regulatory lag. If such costs continue to be subject to inflationary pressures and we are not able to fully recover such higher costs in rates or there is a delay in recovery, these increased costs may have a significant effect on Sempra’s, SDG&amp;E’s and SoCalGas’ results of operations, financial condition, cash flows and/or prospects.</w:t>
      </w:r>
    </w:p>
    <w:p>
      <w:pPr>
        <w:spacing w:after="0" w:line="82"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In 2025 and 2026 to date, SI Partners experienced inflationary pressures from increases in various costs, including the cost of commodities, labor, materials, equipment and supplies, as well as decreased availability of many of these items. SI Partners generally secures long-term contracts that are U.S. dollar-denominated or referenced and are periodically adjusted for market factors, including inflation, and SI Partners generally enters into lump-sum contracts for its large construction projects in which much of the risk during construction is absorbed or hedged by the EPC contractor. If additional costs become subject to inflationary pressures, we may not be able to fully recover such higher costs through contractual adjustments for inflation, which may have a significant effect on Sempra’s results of operations, financial condition, cash flows and/or prospects.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303530</wp:posOffset>
            </wp:positionV>
            <wp:extent cx="7132320" cy="825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Arial" w:cs="Arial" w:eastAsia="Arial" w:hAnsi="Arial"/>
          <w:sz w:val="20"/>
          <w:szCs w:val="20"/>
          <w:color w:val="auto"/>
        </w:rPr>
        <w:t>ITEM 4. CONTROLS AND PROCEDURES</w:t>
      </w:r>
    </w:p>
    <w:p>
      <w:pPr>
        <w:spacing w:after="0" w:line="3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18"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Sempra, SDG&amp;E and SoCalGas maintain disclosure controls and procedures designed to ensure that information required to be disclosed in their respective reports filed or submitted under the Exchange Act is recorded, processed, summarized and reported within the time periods specified in the rules and forms of the SEC and is accumulated and communicated to the management of each company, including each respective principal executive officer and principal financial officer, to allow timely decisions regarding required disclosure. In designing and evaluating these controls and procedures, the management of each company recognizes that any system of controls and procedures, no matter how well designed and operated, can provide only reasonable assurance of achieving the desired control objectives; therefore, the management of each company applies judgment in evaluating the cost-benefit relationship of possible controls and procedures.</w:t>
      </w:r>
    </w:p>
    <w:p>
      <w:pPr>
        <w:spacing w:after="0" w:line="82"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Under the supervision and with the participation of the principal executive officers and principal financial officers of Sempra, SDG&amp;E and SoCalGas, each such company’s management evaluated the effectiveness of the design and operation of its disclosure controls and procedures as of March 31, 2026, the end of the period covered by this report. Based on these evaluations, the principal executive officers and principal financial officers of Sempra, SDG&amp;E and SoCalGas concluded that their respective company’s disclosure controls and procedures were effective at the reasonable assurance level as of such date.</w:t>
      </w: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150495</wp:posOffset>
            </wp:positionV>
            <wp:extent cx="7157720" cy="4254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13" w:name="page114"/>
    <w:bookmarkEnd w:id="11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INTERNAL CONTROL OVER FINANCIAL REPORTING</w:t>
      </w:r>
    </w:p>
    <w:p>
      <w:pPr>
        <w:spacing w:after="0" w:line="118"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In January 2026, SI Partners implemented a new enterprise resource planning system (ERP platform) to replace its legacy system, which has affected business processes that are part of our internal control over financial reporting, including the revenue, expenditure, payroll and reporting cycles, that we consider to be material to Sempra. Management has taken steps to help ensure that controls were appropriately designed and implemented in connection with the integration of and transition to the new ERP platform. SI Partners continues to review and enhance the design and related documentation of its internal control over financial reporting in connection with its implementation of the new ERP platform in order to maintain an effective control framework.</w:t>
      </w:r>
    </w:p>
    <w:p>
      <w:pPr>
        <w:spacing w:after="0" w:line="82" w:lineRule="exact"/>
        <w:rPr>
          <w:sz w:val="20"/>
          <w:szCs w:val="20"/>
          <w:color w:val="auto"/>
        </w:rPr>
      </w:pPr>
    </w:p>
    <w:p>
      <w:pPr>
        <w:jc w:val="both"/>
        <w:ind w:right="100"/>
        <w:spacing w:after="0" w:line="274" w:lineRule="auto"/>
        <w:rPr>
          <w:sz w:val="20"/>
          <w:szCs w:val="20"/>
          <w:color w:val="auto"/>
        </w:rPr>
      </w:pPr>
      <w:r>
        <w:rPr>
          <w:rFonts w:ascii="Times New Roman" w:cs="Times New Roman" w:eastAsia="Times New Roman" w:hAnsi="Times New Roman"/>
          <w:sz w:val="18"/>
          <w:szCs w:val="18"/>
          <w:color w:val="auto"/>
        </w:rPr>
        <w:t>Other than SI Partners’ implementation of a new ERP platform, there have been no changes in Sempra’s, SDG&amp;E’s or SoCalGas’ internal control over financial reporting during the most recent fiscal quarter that have materially affected, or are reasonably likely to materially affect, any such company’s internal control over financial reporting.</w:t>
      </w:r>
    </w:p>
    <w:p>
      <w:pPr>
        <w:spacing w:after="0" w:line="200" w:lineRule="exact"/>
        <w:rPr>
          <w:sz w:val="20"/>
          <w:szCs w:val="20"/>
          <w:color w:val="auto"/>
        </w:rPr>
      </w:pPr>
    </w:p>
    <w:p>
      <w:pPr>
        <w:spacing w:after="0" w:line="347"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150495</wp:posOffset>
            </wp:positionV>
            <wp:extent cx="7157720" cy="4254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80"/>
          </w:cols>
          <w:pgMar w:left="320" w:top="121" w:right="599" w:bottom="1440" w:gutter="0" w:footer="0" w:header="0"/>
        </w:sectPr>
      </w:pPr>
    </w:p>
    <w:bookmarkStart w:id="114" w:name="page115"/>
    <w:bookmarkEnd w:id="11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711835</wp:posOffset>
            </wp:positionV>
            <wp:extent cx="7132320" cy="825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Arial" w:cs="Arial" w:eastAsia="Arial" w:hAnsi="Arial"/>
          <w:sz w:val="23"/>
          <w:szCs w:val="23"/>
          <w:color w:val="auto"/>
        </w:rPr>
        <w:t>PART II – OTHER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340360</wp:posOffset>
            </wp:positionV>
            <wp:extent cx="7132320" cy="889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20"/>
          <w:szCs w:val="20"/>
          <w:color w:val="auto"/>
        </w:rPr>
        <w:t>ITEM 1. LEGAL PROCEEDINGS</w:t>
      </w:r>
    </w:p>
    <w:p>
      <w:pPr>
        <w:spacing w:after="0" w:line="97" w:lineRule="exact"/>
        <w:rPr>
          <w:sz w:val="20"/>
          <w:szCs w:val="20"/>
          <w:color w:val="auto"/>
        </w:rPr>
      </w:pPr>
    </w:p>
    <w:p>
      <w:pPr>
        <w:ind w:right="160"/>
        <w:spacing w:after="0" w:line="270" w:lineRule="auto"/>
        <w:rPr>
          <w:sz w:val="20"/>
          <w:szCs w:val="20"/>
          <w:color w:val="auto"/>
        </w:rPr>
      </w:pPr>
      <w:r>
        <w:rPr>
          <w:rFonts w:ascii="Times New Roman" w:cs="Times New Roman" w:eastAsia="Times New Roman" w:hAnsi="Times New Roman"/>
          <w:sz w:val="18"/>
          <w:szCs w:val="18"/>
          <w:color w:val="auto"/>
        </w:rPr>
        <w:t>We are not party to, and our property is not the subject of, any material pending legal proceedings (other than ordinary routine litigation incidental to our businesses), including, environmental proceedings described in Item 103(c)(3) of SEC Regulation S-K, except for the matters (1) described in Note 13 of the Notes to Condensed Consolidated Financial Statements in this report and in Note 16 of the Notes to Consolidated Financial Statements in the Annual Report, or (2) referred to in “Part I – Item 2. MD&amp;A” in this report or in “Part I – Item 1A. Risk Factors” or “Part II – Item 7. MD&amp;A” in the Annual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309880</wp:posOffset>
            </wp:positionV>
            <wp:extent cx="7115175" cy="825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spacing w:after="0"/>
        <w:rPr>
          <w:sz w:val="20"/>
          <w:szCs w:val="20"/>
          <w:color w:val="auto"/>
        </w:rPr>
      </w:pPr>
      <w:r>
        <w:rPr>
          <w:rFonts w:ascii="Arial" w:cs="Arial" w:eastAsia="Arial" w:hAnsi="Arial"/>
          <w:sz w:val="20"/>
          <w:szCs w:val="20"/>
          <w:color w:val="auto"/>
        </w:rPr>
        <w:t>ITEM 1A. RISK FACTORS</w:t>
      </w:r>
    </w:p>
    <w:p>
      <w:pPr>
        <w:spacing w:after="0" w:line="97"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When evaluating our company and its businesses and any investment in our or their securities, you should carefully consider the risk factors and all other information contained in this report and the other documents we file with the SEC (including those filed subsequent to this report), including the factors discussed in “Part I – Item 2. MD&amp;A” in this report and “Part I – Item 1A. Risk Factors” and “Part II – Item 7. MD&amp;A” in the Annual Report. Any of the risks and other information discussed in this report or any of the risk factors discussed in “Part I – Item 1A. Risk Factors” or “Part II – Item 7. MD&amp;A” in the Annual Report, as well as additional risks and uncertainties not currently known to us or that we currently consider immaterial, could materially adversely affect our results of operations, financial condition, cash flows, prospects and/or the trading prices of our securities or those of our consolidated entities.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243205</wp:posOffset>
            </wp:positionV>
            <wp:extent cx="7115175" cy="889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20"/>
          <w:szCs w:val="20"/>
          <w:color w:val="auto"/>
        </w:rPr>
        <w:t>ITEM 5. OTHER INFORMATION</w:t>
      </w:r>
    </w:p>
    <w:p>
      <w:pPr>
        <w:spacing w:after="0" w:line="97" w:lineRule="exact"/>
        <w:rPr>
          <w:sz w:val="20"/>
          <w:szCs w:val="20"/>
          <w:color w:val="auto"/>
        </w:rPr>
      </w:pPr>
    </w:p>
    <w:p>
      <w:pPr>
        <w:ind w:left="320" w:hanging="312"/>
        <w:spacing w:after="0"/>
        <w:tabs>
          <w:tab w:leader="none" w:pos="32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w:t>
      </w:r>
    </w:p>
    <w:p>
      <w:pPr>
        <w:spacing w:after="0" w:line="130"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w:t>
      </w:r>
    </w:p>
    <w:p>
      <w:pPr>
        <w:spacing w:after="0" w:line="130" w:lineRule="exact"/>
        <w:rPr>
          <w:rFonts w:ascii="Times New Roman" w:cs="Times New Roman" w:eastAsia="Times New Roman" w:hAnsi="Times New Roman"/>
          <w:sz w:val="18"/>
          <w:szCs w:val="18"/>
          <w:color w:val="auto"/>
        </w:rPr>
      </w:pPr>
    </w:p>
    <w:p>
      <w:pPr>
        <w:ind w:left="340" w:hanging="332"/>
        <w:spacing w:after="0" w:line="271" w:lineRule="auto"/>
        <w:tabs>
          <w:tab w:leader="none" w:pos="337"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last fiscal quarter, no individual who was at the time a Sempra, SDG&amp;E or SoCalGas director or officer adopted or terminated a Rule 10b5-1 trading arrangement or a non-Rule 10b5-1 trading arrangement with respect to the securities of each such Registrant. As used herein, directors and officers are as defined in Rule 16a-1(f) under the Exchange Act, a Rule 10b5-1 trading arrangement is as defined in Item 408(a) of SEC Regulation S-K, and a non-Rule 10b5-1 trading arrangement is as defined in Item 408(c) of SEC Regulation S-K.</w:t>
      </w:r>
    </w:p>
    <w:p>
      <w:pPr>
        <w:spacing w:after="0" w:line="200" w:lineRule="exact"/>
        <w:rPr>
          <w:sz w:val="20"/>
          <w:szCs w:val="20"/>
          <w:color w:val="auto"/>
        </w:rPr>
      </w:pPr>
    </w:p>
    <w:p>
      <w:pPr>
        <w:spacing w:after="0" w:line="24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115" w:name="page116"/>
    <w:bookmarkEnd w:id="11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934720</wp:posOffset>
            </wp:positionV>
            <wp:extent cx="7115175" cy="825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Arial" w:cs="Arial" w:eastAsia="Arial" w:hAnsi="Arial"/>
          <w:sz w:val="20"/>
          <w:szCs w:val="20"/>
          <w:color w:val="auto"/>
        </w:rPr>
        <w:t>ITEM 6. EXHIBITS</w:t>
      </w:r>
    </w:p>
    <w:p>
      <w:pPr>
        <w:spacing w:after="0" w:line="97" w:lineRule="exact"/>
        <w:rPr>
          <w:sz w:val="20"/>
          <w:szCs w:val="20"/>
          <w:color w:val="auto"/>
        </w:rPr>
      </w:pPr>
    </w:p>
    <w:p>
      <w:pPr>
        <w:ind w:right="40"/>
        <w:spacing w:after="0" w:line="271" w:lineRule="auto"/>
        <w:rPr>
          <w:sz w:val="20"/>
          <w:szCs w:val="20"/>
          <w:color w:val="auto"/>
        </w:rPr>
      </w:pPr>
      <w:r>
        <w:rPr>
          <w:rFonts w:ascii="Times New Roman" w:cs="Times New Roman" w:eastAsia="Times New Roman" w:hAnsi="Times New Roman"/>
          <w:sz w:val="18"/>
          <w:szCs w:val="18"/>
          <w:color w:val="auto"/>
        </w:rPr>
        <w:t>The exhibits listed below relate to each Registrant as indicated. Unless otherwise indicated, the exhibits that are incorporated by reference herein were filed under File Number 1-14201 (Sempra), File Number 1-40 (Pacific Lighting Corporation), File Number 1-03779 (San Diego Gas &amp; Electric Company) and/or File Number 1-01402 (Southern California Gas Company). All exhibits to which Sempra is a party have been named in this Exhibit Index with Sempra’s current legal name (Sempra) rather than its former legal name (Sempra Energy) regardless of the date of the exhibit.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69215</wp:posOffset>
            </wp:positionV>
            <wp:extent cx="7132320" cy="15430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02"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FFFFFF"/>
        </w:rPr>
        <w:t>EXHIBIT INDEX</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6660" w:type="dxa"/>
            <w:vAlign w:val="bottom"/>
          </w:tcPr>
          <w:p>
            <w:pPr>
              <w:spacing w:after="0"/>
              <w:rPr>
                <w:sz w:val="16"/>
                <w:szCs w:val="16"/>
                <w:color w:val="auto"/>
              </w:rPr>
            </w:pPr>
          </w:p>
        </w:tc>
        <w:tc>
          <w:tcPr>
            <w:tcW w:w="2220" w:type="dxa"/>
            <w:vAlign w:val="bottom"/>
          </w:tcPr>
          <w:p>
            <w:pPr>
              <w:spacing w:after="0"/>
              <w:rPr>
                <w:sz w:val="16"/>
                <w:szCs w:val="16"/>
                <w:color w:val="auto"/>
              </w:rPr>
            </w:pPr>
          </w:p>
        </w:tc>
        <w:tc>
          <w:tcPr>
            <w:tcW w:w="2360" w:type="dxa"/>
            <w:vAlign w:val="bottom"/>
          </w:tcPr>
          <w:p>
            <w:pPr>
              <w:ind w:left="420"/>
              <w:spacing w:after="0"/>
              <w:rPr>
                <w:sz w:val="20"/>
                <w:szCs w:val="20"/>
                <w:color w:val="auto"/>
              </w:rPr>
            </w:pPr>
            <w:r>
              <w:rPr>
                <w:rFonts w:ascii="Times New Roman" w:cs="Times New Roman" w:eastAsia="Times New Roman" w:hAnsi="Times New Roman"/>
                <w:sz w:val="14"/>
                <w:szCs w:val="14"/>
                <w:color w:val="auto"/>
              </w:rPr>
              <w:t>Incorporated by Reference</w:t>
            </w:r>
          </w:p>
        </w:tc>
        <w:tc>
          <w:tcPr>
            <w:tcW w:w="0" w:type="dxa"/>
            <w:vAlign w:val="bottom"/>
          </w:tcPr>
          <w:p>
            <w:pPr>
              <w:spacing w:after="0"/>
              <w:rPr>
                <w:sz w:val="1"/>
                <w:szCs w:val="1"/>
                <w:color w:val="auto"/>
              </w:rPr>
            </w:pPr>
          </w:p>
        </w:tc>
      </w:tr>
      <w:tr>
        <w:trPr>
          <w:trHeight w:val="22"/>
        </w:trPr>
        <w:tc>
          <w:tcPr>
            <w:tcW w:w="6660" w:type="dxa"/>
            <w:vAlign w:val="bottom"/>
          </w:tcPr>
          <w:p>
            <w:pPr>
              <w:spacing w:after="0" w:line="20" w:lineRule="exact"/>
              <w:rPr>
                <w:sz w:val="1"/>
                <w:szCs w:val="1"/>
                <w:color w:val="auto"/>
              </w:rPr>
            </w:pPr>
          </w:p>
        </w:tc>
        <w:tc>
          <w:tcPr>
            <w:tcW w:w="2220" w:type="dxa"/>
            <w:vAlign w:val="bottom"/>
            <w:vMerge w:val="restart"/>
          </w:tcPr>
          <w:p>
            <w:pPr>
              <w:jc w:val="center"/>
              <w:ind w:left="1328"/>
              <w:spacing w:after="0"/>
              <w:rPr>
                <w:sz w:val="20"/>
                <w:szCs w:val="20"/>
                <w:color w:val="auto"/>
              </w:rPr>
            </w:pPr>
            <w:r>
              <w:rPr>
                <w:rFonts w:ascii="Times New Roman" w:cs="Times New Roman" w:eastAsia="Times New Roman" w:hAnsi="Times New Roman"/>
                <w:sz w:val="14"/>
                <w:szCs w:val="14"/>
                <w:color w:val="auto"/>
              </w:rPr>
              <w:t>Filed or</w:t>
            </w:r>
          </w:p>
        </w:tc>
        <w:tc>
          <w:tcPr>
            <w:tcW w:w="2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19"/>
        </w:trPr>
        <w:tc>
          <w:tcPr>
            <w:tcW w:w="6660" w:type="dxa"/>
            <w:vAlign w:val="bottom"/>
            <w:vMerge w:val="restart"/>
          </w:tcPr>
          <w:p>
            <w:pPr>
              <w:ind w:left="220"/>
              <w:spacing w:after="0"/>
              <w:rPr>
                <w:sz w:val="20"/>
                <w:szCs w:val="20"/>
                <w:color w:val="auto"/>
              </w:rPr>
            </w:pPr>
            <w:r>
              <w:rPr>
                <w:rFonts w:ascii="Times New Roman" w:cs="Times New Roman" w:eastAsia="Times New Roman" w:hAnsi="Times New Roman"/>
                <w:sz w:val="14"/>
                <w:szCs w:val="14"/>
                <w:color w:val="auto"/>
              </w:rPr>
              <w:t>Exhibit</w:t>
            </w:r>
          </w:p>
        </w:tc>
        <w:tc>
          <w:tcPr>
            <w:tcW w:w="2220" w:type="dxa"/>
            <w:vAlign w:val="bottom"/>
            <w:vMerge w:val="continue"/>
          </w:tcPr>
          <w:p>
            <w:pPr>
              <w:spacing w:after="0"/>
              <w:rPr>
                <w:sz w:val="10"/>
                <w:szCs w:val="10"/>
                <w:color w:val="auto"/>
              </w:rPr>
            </w:pPr>
          </w:p>
        </w:tc>
        <w:tc>
          <w:tcPr>
            <w:tcW w:w="2360" w:type="dxa"/>
            <w:vAlign w:val="bottom"/>
            <w:vMerge w:val="restart"/>
          </w:tcPr>
          <w:p>
            <w:pPr>
              <w:ind w:left="840"/>
              <w:spacing w:after="0"/>
              <w:rPr>
                <w:sz w:val="20"/>
                <w:szCs w:val="20"/>
                <w:color w:val="auto"/>
              </w:rPr>
            </w:pPr>
            <w:r>
              <w:rPr>
                <w:rFonts w:ascii="Times New Roman" w:cs="Times New Roman" w:eastAsia="Times New Roman" w:hAnsi="Times New Roman"/>
                <w:sz w:val="14"/>
                <w:szCs w:val="14"/>
                <w:color w:val="auto"/>
              </w:rPr>
              <w:t>Exhibit or</w:t>
            </w:r>
          </w:p>
        </w:tc>
        <w:tc>
          <w:tcPr>
            <w:tcW w:w="0" w:type="dxa"/>
            <w:vAlign w:val="bottom"/>
          </w:tcPr>
          <w:p>
            <w:pPr>
              <w:spacing w:after="0"/>
              <w:rPr>
                <w:sz w:val="1"/>
                <w:szCs w:val="1"/>
                <w:color w:val="auto"/>
              </w:rPr>
            </w:pPr>
          </w:p>
        </w:tc>
      </w:tr>
      <w:tr>
        <w:trPr>
          <w:trHeight w:val="144"/>
        </w:trPr>
        <w:tc>
          <w:tcPr>
            <w:tcW w:w="6660" w:type="dxa"/>
            <w:vAlign w:val="bottom"/>
            <w:vMerge w:val="continue"/>
          </w:tcPr>
          <w:p>
            <w:pPr>
              <w:spacing w:after="0"/>
              <w:rPr>
                <w:sz w:val="12"/>
                <w:szCs w:val="12"/>
                <w:color w:val="auto"/>
              </w:rPr>
            </w:pPr>
          </w:p>
        </w:tc>
        <w:tc>
          <w:tcPr>
            <w:tcW w:w="2220" w:type="dxa"/>
            <w:vAlign w:val="bottom"/>
          </w:tcPr>
          <w:p>
            <w:pPr>
              <w:jc w:val="center"/>
              <w:ind w:left="1328"/>
              <w:spacing w:after="0" w:line="145" w:lineRule="exact"/>
              <w:rPr>
                <w:sz w:val="20"/>
                <w:szCs w:val="20"/>
                <w:color w:val="auto"/>
              </w:rPr>
            </w:pPr>
            <w:r>
              <w:rPr>
                <w:rFonts w:ascii="Times New Roman" w:cs="Times New Roman" w:eastAsia="Times New Roman" w:hAnsi="Times New Roman"/>
                <w:sz w:val="14"/>
                <w:szCs w:val="14"/>
                <w:color w:val="auto"/>
              </w:rPr>
              <w:t>Furnished</w:t>
            </w:r>
          </w:p>
        </w:tc>
        <w:tc>
          <w:tcPr>
            <w:tcW w:w="23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666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4"/>
                <w:szCs w:val="14"/>
                <w:color w:val="auto"/>
              </w:rPr>
              <w:t>NumberExhibit Description</w:t>
            </w:r>
          </w:p>
        </w:tc>
        <w:tc>
          <w:tcPr>
            <w:tcW w:w="2220" w:type="dxa"/>
            <w:vAlign w:val="bottom"/>
            <w:tcBorders>
              <w:bottom w:val="single" w:sz="8" w:color="auto"/>
            </w:tcBorders>
          </w:tcPr>
          <w:p>
            <w:pPr>
              <w:jc w:val="center"/>
              <w:ind w:left="1328"/>
              <w:spacing w:after="0"/>
              <w:rPr>
                <w:sz w:val="20"/>
                <w:szCs w:val="20"/>
                <w:color w:val="auto"/>
              </w:rPr>
            </w:pPr>
            <w:r>
              <w:rPr>
                <w:rFonts w:ascii="Times New Roman" w:cs="Times New Roman" w:eastAsia="Times New Roman" w:hAnsi="Times New Roman"/>
                <w:sz w:val="14"/>
                <w:szCs w:val="14"/>
                <w:color w:val="auto"/>
              </w:rPr>
              <w:t>Herewith</w:t>
            </w:r>
          </w:p>
        </w:tc>
        <w:tc>
          <w:tcPr>
            <w:tcW w:w="236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4"/>
                <w:szCs w:val="14"/>
                <w:color w:val="auto"/>
              </w:rPr>
              <w:t>FormAppendix   Filing Date</w:t>
            </w:r>
          </w:p>
        </w:tc>
        <w:tc>
          <w:tcPr>
            <w:tcW w:w="0" w:type="dxa"/>
            <w:vAlign w:val="bottom"/>
          </w:tcPr>
          <w:p>
            <w:pPr>
              <w:spacing w:after="0"/>
              <w:rPr>
                <w:sz w:val="1"/>
                <w:szCs w:val="1"/>
                <w:color w:val="auto"/>
              </w:rPr>
            </w:pPr>
          </w:p>
        </w:tc>
      </w:tr>
      <w:tr>
        <w:trPr>
          <w:trHeight w:val="402"/>
        </w:trPr>
        <w:tc>
          <w:tcPr>
            <w:tcW w:w="6660" w:type="dxa"/>
            <w:vAlign w:val="bottom"/>
          </w:tcPr>
          <w:p>
            <w:pPr>
              <w:ind w:left="20"/>
              <w:spacing w:after="0"/>
              <w:rPr>
                <w:sz w:val="20"/>
                <w:szCs w:val="20"/>
                <w:color w:val="auto"/>
              </w:rPr>
            </w:pPr>
            <w:r>
              <w:rPr>
                <w:rFonts w:ascii="Arial" w:cs="Arial" w:eastAsia="Arial" w:hAnsi="Arial"/>
                <w:sz w:val="18"/>
                <w:szCs w:val="18"/>
                <w:b w:val="1"/>
                <w:bCs w:val="1"/>
                <w:color w:val="auto"/>
              </w:rPr>
              <w:t>EXHIBIT 3 -- ARTICLES OF INCORPORATION AND BYLAWS</w:t>
            </w:r>
          </w:p>
        </w:tc>
        <w:tc>
          <w:tcPr>
            <w:tcW w:w="222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0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b w:val="1"/>
          <w:bCs w:val="1"/>
          <w:i w:val="1"/>
          <w:iCs w:val="1"/>
          <w:color w:val="auto"/>
        </w:rPr>
        <w:t>Sempra</w:t>
      </w:r>
    </w:p>
    <w:p>
      <w:pPr>
        <w:spacing w:after="0" w:line="85" w:lineRule="exact"/>
        <w:rPr>
          <w:sz w:val="20"/>
          <w:szCs w:val="20"/>
          <w:color w:val="auto"/>
        </w:rPr>
      </w:pPr>
    </w:p>
    <w:tbl>
      <w:tblPr>
        <w:tblLayout w:type="fixed"/>
        <w:tblInd w:w="640" w:type="dxa"/>
        <w:tblCellMar>
          <w:top w:w="0" w:type="dxa"/>
          <w:left w:w="0" w:type="dxa"/>
          <w:bottom w:w="0" w:type="dxa"/>
          <w:right w:w="0" w:type="dxa"/>
        </w:tblCellMar>
      </w:tblPr>
      <w:tr>
        <w:trPr>
          <w:trHeight w:val="184"/>
        </w:trPr>
        <w:tc>
          <w:tcPr>
            <w:tcW w:w="3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89"/>
              </w:rPr>
              <w:t>3.1</w:t>
            </w:r>
          </w:p>
        </w:tc>
        <w:tc>
          <w:tcPr>
            <w:tcW w:w="6440" w:type="dxa"/>
            <w:vAlign w:val="bottom"/>
            <w:gridSpan w:val="3"/>
          </w:tcPr>
          <w:p>
            <w:pPr>
              <w:spacing w:after="0"/>
              <w:rPr>
                <w:rFonts w:ascii="Times New Roman" w:cs="Times New Roman" w:eastAsia="Times New Roman" w:hAnsi="Times New Roman"/>
                <w:sz w:val="16"/>
                <w:szCs w:val="16"/>
                <w:color w:val="0000FF"/>
              </w:rPr>
            </w:pPr>
            <w:hyperlink r:id="rId279">
              <w:r>
                <w:rPr>
                  <w:rFonts w:ascii="Times New Roman" w:cs="Times New Roman" w:eastAsia="Times New Roman" w:hAnsi="Times New Roman"/>
                  <w:sz w:val="16"/>
                  <w:szCs w:val="16"/>
                  <w:color w:val="0000FF"/>
                </w:rPr>
                <w:t>Restated Articles of Incorporation of Sempra effective February 23, 2026.</w:t>
              </w:r>
            </w:hyperlink>
          </w:p>
        </w:tc>
        <w:tc>
          <w:tcPr>
            <w:tcW w:w="2240" w:type="dxa"/>
            <w:vAlign w:val="bottom"/>
          </w:tcPr>
          <w:p>
            <w:pPr>
              <w:jc w:val="center"/>
              <w:ind w:left="1299"/>
              <w:spacing w:after="0"/>
              <w:rPr>
                <w:sz w:val="20"/>
                <w:szCs w:val="20"/>
                <w:color w:val="auto"/>
              </w:rPr>
            </w:pPr>
            <w:r>
              <w:rPr>
                <w:rFonts w:ascii="Times New Roman" w:cs="Times New Roman" w:eastAsia="Times New Roman" w:hAnsi="Times New Roman"/>
                <w:sz w:val="16"/>
                <w:szCs w:val="16"/>
                <w:color w:val="auto"/>
              </w:rPr>
              <w:t>10-K</w:t>
            </w:r>
          </w:p>
        </w:tc>
        <w:tc>
          <w:tcPr>
            <w:tcW w:w="66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3.1</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02/26/26</w:t>
            </w:r>
          </w:p>
        </w:tc>
      </w:tr>
      <w:tr>
        <w:trPr>
          <w:trHeight w:val="358"/>
        </w:trPr>
        <w:tc>
          <w:tcPr>
            <w:tcW w:w="3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89"/>
              </w:rPr>
              <w:t>3.2</w:t>
            </w:r>
          </w:p>
        </w:tc>
        <w:tc>
          <w:tcPr>
            <w:tcW w:w="3640" w:type="dxa"/>
            <w:vAlign w:val="bottom"/>
            <w:tcBorders>
              <w:top w:val="single" w:sz="8" w:color="0000FF"/>
              <w:bottom w:val="single" w:sz="8" w:color="0000FF"/>
            </w:tcBorders>
          </w:tcPr>
          <w:p>
            <w:pPr>
              <w:spacing w:after="0"/>
              <w:rPr>
                <w:rFonts w:ascii="Times New Roman" w:cs="Times New Roman" w:eastAsia="Times New Roman" w:hAnsi="Times New Roman"/>
                <w:sz w:val="16"/>
                <w:szCs w:val="16"/>
                <w:color w:val="0000FF"/>
              </w:rPr>
            </w:pPr>
            <w:hyperlink r:id="rId280">
              <w:r>
                <w:rPr>
                  <w:rFonts w:ascii="Times New Roman" w:cs="Times New Roman" w:eastAsia="Times New Roman" w:hAnsi="Times New Roman"/>
                  <w:sz w:val="16"/>
                  <w:szCs w:val="16"/>
                  <w:color w:val="0000FF"/>
                </w:rPr>
                <w:t>Bylaws of Sempra (as amended through May 12, 2023).</w:t>
              </w:r>
            </w:hyperlink>
          </w:p>
        </w:tc>
        <w:tc>
          <w:tcPr>
            <w:tcW w:w="1160" w:type="dxa"/>
            <w:vAlign w:val="bottom"/>
            <w:tcBorders>
              <w:top w:val="single" w:sz="8" w:color="0000FF"/>
            </w:tcBorders>
          </w:tcPr>
          <w:p>
            <w:pPr>
              <w:spacing w:after="0"/>
              <w:rPr>
                <w:sz w:val="24"/>
                <w:szCs w:val="24"/>
                <w:color w:val="auto"/>
              </w:rPr>
            </w:pPr>
          </w:p>
        </w:tc>
        <w:tc>
          <w:tcPr>
            <w:tcW w:w="1640" w:type="dxa"/>
            <w:vAlign w:val="bottom"/>
          </w:tcPr>
          <w:p>
            <w:pPr>
              <w:spacing w:after="0"/>
              <w:rPr>
                <w:sz w:val="24"/>
                <w:szCs w:val="24"/>
                <w:color w:val="auto"/>
              </w:rPr>
            </w:pPr>
          </w:p>
        </w:tc>
        <w:tc>
          <w:tcPr>
            <w:tcW w:w="2240" w:type="dxa"/>
            <w:vAlign w:val="bottom"/>
          </w:tcPr>
          <w:p>
            <w:pPr>
              <w:jc w:val="center"/>
              <w:ind w:left="1299"/>
              <w:spacing w:after="0"/>
              <w:rPr>
                <w:sz w:val="20"/>
                <w:szCs w:val="20"/>
                <w:color w:val="auto"/>
              </w:rPr>
            </w:pPr>
            <w:r>
              <w:rPr>
                <w:rFonts w:ascii="Times New Roman" w:cs="Times New Roman" w:eastAsia="Times New Roman" w:hAnsi="Times New Roman"/>
                <w:sz w:val="16"/>
                <w:szCs w:val="16"/>
                <w:color w:val="auto"/>
              </w:rPr>
              <w:t>8-K</w:t>
            </w:r>
          </w:p>
        </w:tc>
        <w:tc>
          <w:tcPr>
            <w:tcW w:w="66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3.2</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05/16/23</w:t>
            </w:r>
          </w:p>
        </w:tc>
      </w:tr>
    </w:tbl>
    <w:p>
      <w:pPr>
        <w:spacing w:after="0" w:line="200" w:lineRule="exact"/>
        <w:rPr>
          <w:sz w:val="20"/>
          <w:szCs w:val="20"/>
          <w:color w:val="auto"/>
        </w:rPr>
      </w:pPr>
    </w:p>
    <w:p>
      <w:pPr>
        <w:spacing w:after="0" w:line="20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b w:val="1"/>
          <w:bCs w:val="1"/>
          <w:i w:val="1"/>
          <w:iCs w:val="1"/>
          <w:color w:val="auto"/>
        </w:rPr>
        <w:t>San Diego Gas &amp; Electric Company</w:t>
      </w:r>
    </w:p>
    <w:p>
      <w:pPr>
        <w:spacing w:after="0" w:line="85" w:lineRule="exact"/>
        <w:rPr>
          <w:sz w:val="20"/>
          <w:szCs w:val="20"/>
          <w:color w:val="auto"/>
        </w:rPr>
      </w:pPr>
    </w:p>
    <w:tbl>
      <w:tblPr>
        <w:tblLayout w:type="fixed"/>
        <w:tblInd w:w="640" w:type="dxa"/>
        <w:tblCellMar>
          <w:top w:w="0" w:type="dxa"/>
          <w:left w:w="0" w:type="dxa"/>
          <w:bottom w:w="0" w:type="dxa"/>
          <w:right w:w="0" w:type="dxa"/>
        </w:tblCellMar>
      </w:tblPr>
      <w:tr>
        <w:trPr>
          <w:trHeight w:val="184"/>
        </w:trPr>
        <w:tc>
          <w:tcPr>
            <w:tcW w:w="3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89"/>
              </w:rPr>
              <w:t>3.3</w:t>
            </w:r>
          </w:p>
        </w:tc>
        <w:tc>
          <w:tcPr>
            <w:tcW w:w="7460" w:type="dxa"/>
            <w:vAlign w:val="bottom"/>
            <w:gridSpan w:val="4"/>
          </w:tcPr>
          <w:p>
            <w:pPr>
              <w:spacing w:after="0"/>
              <w:rPr>
                <w:rFonts w:ascii="Times New Roman" w:cs="Times New Roman" w:eastAsia="Times New Roman" w:hAnsi="Times New Roman"/>
                <w:sz w:val="16"/>
                <w:szCs w:val="16"/>
                <w:color w:val="0000FF"/>
              </w:rPr>
            </w:pPr>
            <w:hyperlink r:id="rId281">
              <w:r>
                <w:rPr>
                  <w:rFonts w:ascii="Times New Roman" w:cs="Times New Roman" w:eastAsia="Times New Roman" w:hAnsi="Times New Roman"/>
                  <w:sz w:val="16"/>
                  <w:szCs w:val="16"/>
                  <w:color w:val="0000FF"/>
                </w:rPr>
                <w:t>Amended and Restated Articles of Incorporation of San Diego Gas &amp; Electric Company effective August</w:t>
              </w:r>
            </w:hyperlink>
          </w:p>
        </w:tc>
        <w:tc>
          <w:tcPr>
            <w:tcW w:w="1220" w:type="dxa"/>
            <w:vAlign w:val="bottom"/>
          </w:tcPr>
          <w:p>
            <w:pPr>
              <w:ind w:left="620"/>
              <w:spacing w:after="0"/>
              <w:rPr>
                <w:sz w:val="20"/>
                <w:szCs w:val="20"/>
                <w:color w:val="auto"/>
              </w:rPr>
            </w:pPr>
            <w:r>
              <w:rPr>
                <w:rFonts w:ascii="Times New Roman" w:cs="Times New Roman" w:eastAsia="Times New Roman" w:hAnsi="Times New Roman"/>
                <w:sz w:val="16"/>
                <w:szCs w:val="16"/>
                <w:color w:val="auto"/>
              </w:rPr>
              <w:t>10-K</w:t>
            </w:r>
          </w:p>
        </w:tc>
        <w:tc>
          <w:tcPr>
            <w:tcW w:w="66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3.4</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02/26/15</w:t>
            </w:r>
          </w:p>
        </w:tc>
      </w:tr>
      <w:tr>
        <w:trPr>
          <w:trHeight w:val="142"/>
        </w:trPr>
        <w:tc>
          <w:tcPr>
            <w:tcW w:w="340" w:type="dxa"/>
            <w:vAlign w:val="bottom"/>
          </w:tcPr>
          <w:p>
            <w:pPr>
              <w:spacing w:after="0"/>
              <w:rPr>
                <w:sz w:val="12"/>
                <w:szCs w:val="12"/>
                <w:color w:val="auto"/>
              </w:rPr>
            </w:pPr>
          </w:p>
        </w:tc>
        <w:tc>
          <w:tcPr>
            <w:tcW w:w="620" w:type="dxa"/>
            <w:vAlign w:val="bottom"/>
            <w:tcBorders>
              <w:top w:val="single" w:sz="8" w:color="0000FF"/>
              <w:bottom w:val="single" w:sz="8" w:color="0000FF"/>
            </w:tcBorders>
          </w:tcPr>
          <w:p>
            <w:pPr>
              <w:spacing w:after="0" w:line="142" w:lineRule="exact"/>
              <w:rPr>
                <w:rFonts w:ascii="Times New Roman" w:cs="Times New Roman" w:eastAsia="Times New Roman" w:hAnsi="Times New Roman"/>
                <w:sz w:val="16"/>
                <w:szCs w:val="16"/>
                <w:color w:val="0000FF"/>
                <w:w w:val="99"/>
              </w:rPr>
            </w:pPr>
            <w:hyperlink r:id="rId281">
              <w:r>
                <w:rPr>
                  <w:rFonts w:ascii="Times New Roman" w:cs="Times New Roman" w:eastAsia="Times New Roman" w:hAnsi="Times New Roman"/>
                  <w:sz w:val="16"/>
                  <w:szCs w:val="16"/>
                  <w:color w:val="0000FF"/>
                  <w:w w:val="99"/>
                </w:rPr>
                <w:t>15, 2014.</w:t>
              </w:r>
            </w:hyperlink>
          </w:p>
        </w:tc>
        <w:tc>
          <w:tcPr>
            <w:tcW w:w="5100" w:type="dxa"/>
            <w:vAlign w:val="bottom"/>
            <w:tcBorders>
              <w:top w:val="single" w:sz="8" w:color="0000FF"/>
            </w:tcBorders>
          </w:tcPr>
          <w:p>
            <w:pPr>
              <w:spacing w:after="0"/>
              <w:rPr>
                <w:sz w:val="12"/>
                <w:szCs w:val="12"/>
                <w:color w:val="auto"/>
              </w:rPr>
            </w:pPr>
          </w:p>
        </w:tc>
        <w:tc>
          <w:tcPr>
            <w:tcW w:w="1120" w:type="dxa"/>
            <w:vAlign w:val="bottom"/>
            <w:tcBorders>
              <w:top w:val="single" w:sz="8" w:color="0000FF"/>
            </w:tcBorders>
          </w:tcPr>
          <w:p>
            <w:pPr>
              <w:spacing w:after="0"/>
              <w:rPr>
                <w:sz w:val="12"/>
                <w:szCs w:val="12"/>
                <w:color w:val="auto"/>
              </w:rPr>
            </w:pPr>
          </w:p>
        </w:tc>
        <w:tc>
          <w:tcPr>
            <w:tcW w:w="6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0" w:type="dxa"/>
            <w:vAlign w:val="bottom"/>
          </w:tcPr>
          <w:p>
            <w:pPr>
              <w:spacing w:after="0"/>
              <w:rPr>
                <w:sz w:val="12"/>
                <w:szCs w:val="12"/>
                <w:color w:val="auto"/>
              </w:rPr>
            </w:pPr>
          </w:p>
        </w:tc>
      </w:tr>
      <w:tr>
        <w:trPr>
          <w:trHeight w:val="358"/>
        </w:trPr>
        <w:tc>
          <w:tcPr>
            <w:tcW w:w="3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89"/>
              </w:rPr>
              <w:t>3.4</w:t>
            </w:r>
          </w:p>
        </w:tc>
        <w:tc>
          <w:tcPr>
            <w:tcW w:w="7460" w:type="dxa"/>
            <w:vAlign w:val="bottom"/>
            <w:gridSpan w:val="4"/>
          </w:tcPr>
          <w:p>
            <w:pPr>
              <w:spacing w:after="0"/>
              <w:rPr>
                <w:rFonts w:ascii="Times New Roman" w:cs="Times New Roman" w:eastAsia="Times New Roman" w:hAnsi="Times New Roman"/>
                <w:sz w:val="16"/>
                <w:szCs w:val="16"/>
                <w:color w:val="0000FF"/>
              </w:rPr>
            </w:pPr>
            <w:hyperlink r:id="rId282">
              <w:r>
                <w:rPr>
                  <w:rFonts w:ascii="Times New Roman" w:cs="Times New Roman" w:eastAsia="Times New Roman" w:hAnsi="Times New Roman"/>
                  <w:sz w:val="16"/>
                  <w:szCs w:val="16"/>
                  <w:color w:val="0000FF"/>
                </w:rPr>
                <w:t>Bylaws of San Diego Gas &amp; Electric Company (as amended through October 26, 2016).</w:t>
              </w:r>
            </w:hyperlink>
          </w:p>
        </w:tc>
        <w:tc>
          <w:tcPr>
            <w:tcW w:w="1220" w:type="dxa"/>
            <w:vAlign w:val="bottom"/>
          </w:tcPr>
          <w:p>
            <w:pPr>
              <w:ind w:left="620"/>
              <w:spacing w:after="0"/>
              <w:rPr>
                <w:sz w:val="20"/>
                <w:szCs w:val="20"/>
                <w:color w:val="auto"/>
              </w:rPr>
            </w:pPr>
            <w:r>
              <w:rPr>
                <w:rFonts w:ascii="Times New Roman" w:cs="Times New Roman" w:eastAsia="Times New Roman" w:hAnsi="Times New Roman"/>
                <w:sz w:val="16"/>
                <w:szCs w:val="16"/>
                <w:color w:val="auto"/>
              </w:rPr>
              <w:t>10-Q</w:t>
            </w:r>
          </w:p>
        </w:tc>
        <w:tc>
          <w:tcPr>
            <w:tcW w:w="66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3.1</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11/02/16</w:t>
            </w:r>
          </w:p>
        </w:tc>
      </w:tr>
      <w:tr>
        <w:trPr>
          <w:trHeight w:val="20"/>
        </w:trPr>
        <w:tc>
          <w:tcPr>
            <w:tcW w:w="34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5100" w:type="dxa"/>
            <w:vAlign w:val="bottom"/>
            <w:shd w:val="clear" w:color="auto" w:fill="0000FF"/>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bl>
    <w:p>
      <w:pPr>
        <w:spacing w:after="0" w:line="39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b w:val="1"/>
          <w:bCs w:val="1"/>
          <w:i w:val="1"/>
          <w:iCs w:val="1"/>
          <w:color w:val="auto"/>
        </w:rPr>
        <w:t>Southern California Gas Company</w:t>
      </w:r>
    </w:p>
    <w:p>
      <w:pPr>
        <w:spacing w:after="0" w:line="85" w:lineRule="exact"/>
        <w:rPr>
          <w:sz w:val="20"/>
          <w:szCs w:val="20"/>
          <w:color w:val="auto"/>
        </w:rPr>
      </w:pPr>
    </w:p>
    <w:tbl>
      <w:tblPr>
        <w:tblLayout w:type="fixed"/>
        <w:tblInd w:w="640" w:type="dxa"/>
        <w:tblCellMar>
          <w:top w:w="0" w:type="dxa"/>
          <w:left w:w="0" w:type="dxa"/>
          <w:bottom w:w="0" w:type="dxa"/>
          <w:right w:w="0" w:type="dxa"/>
        </w:tblCellMar>
      </w:tblPr>
      <w:tr>
        <w:trPr>
          <w:trHeight w:val="184"/>
        </w:trPr>
        <w:tc>
          <w:tcPr>
            <w:tcW w:w="3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89"/>
              </w:rPr>
              <w:t>3.5</w:t>
            </w:r>
          </w:p>
        </w:tc>
        <w:tc>
          <w:tcPr>
            <w:tcW w:w="7240" w:type="dxa"/>
            <w:vAlign w:val="bottom"/>
            <w:gridSpan w:val="3"/>
          </w:tcPr>
          <w:p>
            <w:pPr>
              <w:spacing w:after="0"/>
              <w:rPr>
                <w:rFonts w:ascii="Times New Roman" w:cs="Times New Roman" w:eastAsia="Times New Roman" w:hAnsi="Times New Roman"/>
                <w:sz w:val="16"/>
                <w:szCs w:val="16"/>
                <w:color w:val="0000FF"/>
              </w:rPr>
            </w:pPr>
            <w:hyperlink r:id="rId283">
              <w:r>
                <w:rPr>
                  <w:rFonts w:ascii="Times New Roman" w:cs="Times New Roman" w:eastAsia="Times New Roman" w:hAnsi="Times New Roman"/>
                  <w:sz w:val="16"/>
                  <w:szCs w:val="16"/>
                  <w:color w:val="0000FF"/>
                </w:rPr>
                <w:t>Restated Articles of Incorporation of Southern California Gas Company effective October 7, 1996.</w:t>
              </w:r>
            </w:hyperlink>
          </w:p>
        </w:tc>
        <w:tc>
          <w:tcPr>
            <w:tcW w:w="1420" w:type="dxa"/>
            <w:vAlign w:val="bottom"/>
          </w:tcPr>
          <w:p>
            <w:pPr>
              <w:jc w:val="center"/>
              <w:ind w:left="519"/>
              <w:spacing w:after="0"/>
              <w:rPr>
                <w:sz w:val="20"/>
                <w:szCs w:val="20"/>
                <w:color w:val="auto"/>
              </w:rPr>
            </w:pPr>
            <w:r>
              <w:rPr>
                <w:rFonts w:ascii="Times New Roman" w:cs="Times New Roman" w:eastAsia="Times New Roman" w:hAnsi="Times New Roman"/>
                <w:sz w:val="16"/>
                <w:szCs w:val="16"/>
                <w:color w:val="auto"/>
              </w:rPr>
              <w:t>10-K</w:t>
            </w:r>
          </w:p>
        </w:tc>
        <w:tc>
          <w:tcPr>
            <w:tcW w:w="7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3.01</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03/28/97</w:t>
            </w:r>
          </w:p>
        </w:tc>
      </w:tr>
      <w:tr>
        <w:trPr>
          <w:trHeight w:val="358"/>
        </w:trPr>
        <w:tc>
          <w:tcPr>
            <w:tcW w:w="3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89"/>
              </w:rPr>
              <w:t>3.6</w:t>
            </w:r>
          </w:p>
        </w:tc>
        <w:tc>
          <w:tcPr>
            <w:tcW w:w="5600" w:type="dxa"/>
            <w:vAlign w:val="bottom"/>
            <w:tcBorders>
              <w:top w:val="single" w:sz="8" w:color="0000FF"/>
              <w:bottom w:val="single" w:sz="8" w:color="0000FF"/>
            </w:tcBorders>
          </w:tcPr>
          <w:p>
            <w:pPr>
              <w:spacing w:after="0"/>
              <w:rPr>
                <w:rFonts w:ascii="Times New Roman" w:cs="Times New Roman" w:eastAsia="Times New Roman" w:hAnsi="Times New Roman"/>
                <w:sz w:val="16"/>
                <w:szCs w:val="16"/>
                <w:color w:val="0000FF"/>
              </w:rPr>
            </w:pPr>
            <w:hyperlink r:id="rId284">
              <w:r>
                <w:rPr>
                  <w:rFonts w:ascii="Times New Roman" w:cs="Times New Roman" w:eastAsia="Times New Roman" w:hAnsi="Times New Roman"/>
                  <w:sz w:val="16"/>
                  <w:szCs w:val="16"/>
                  <w:color w:val="0000FF"/>
                </w:rPr>
                <w:t>Bylaws of Southern California Gas Company (as amended through January 30, 2017).</w:t>
              </w:r>
            </w:hyperlink>
          </w:p>
        </w:tc>
        <w:tc>
          <w:tcPr>
            <w:tcW w:w="800" w:type="dxa"/>
            <w:vAlign w:val="bottom"/>
            <w:tcBorders>
              <w:top w:val="single" w:sz="8" w:color="0000FF"/>
            </w:tcBorders>
          </w:tcPr>
          <w:p>
            <w:pPr>
              <w:spacing w:after="0"/>
              <w:rPr>
                <w:sz w:val="24"/>
                <w:szCs w:val="24"/>
                <w:color w:val="auto"/>
              </w:rPr>
            </w:pPr>
          </w:p>
        </w:tc>
        <w:tc>
          <w:tcPr>
            <w:tcW w:w="840" w:type="dxa"/>
            <w:vAlign w:val="bottom"/>
          </w:tcPr>
          <w:p>
            <w:pPr>
              <w:spacing w:after="0"/>
              <w:rPr>
                <w:sz w:val="24"/>
                <w:szCs w:val="24"/>
                <w:color w:val="auto"/>
              </w:rPr>
            </w:pPr>
          </w:p>
        </w:tc>
        <w:tc>
          <w:tcPr>
            <w:tcW w:w="1420" w:type="dxa"/>
            <w:vAlign w:val="bottom"/>
          </w:tcPr>
          <w:p>
            <w:pPr>
              <w:jc w:val="center"/>
              <w:ind w:left="519"/>
              <w:spacing w:after="0"/>
              <w:rPr>
                <w:sz w:val="20"/>
                <w:szCs w:val="20"/>
                <w:color w:val="auto"/>
              </w:rPr>
            </w:pPr>
            <w:r>
              <w:rPr>
                <w:rFonts w:ascii="Times New Roman" w:cs="Times New Roman" w:eastAsia="Times New Roman" w:hAnsi="Times New Roman"/>
                <w:sz w:val="16"/>
                <w:szCs w:val="16"/>
                <w:color w:val="auto"/>
              </w:rPr>
              <w:t>8-K</w:t>
            </w:r>
          </w:p>
        </w:tc>
        <w:tc>
          <w:tcPr>
            <w:tcW w:w="70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3.1</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01/31/17</w:t>
            </w:r>
          </w:p>
        </w:tc>
      </w:tr>
    </w:tbl>
    <w:p>
      <w:pPr>
        <w:spacing w:after="0" w:line="197"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EXHIBIT 4 -- INSTRUMENTS DEFINING THE RIGHTS OF SECURITY HOLDERS, INCLUDING INDENTURES</w:t>
      </w:r>
    </w:p>
    <w:p>
      <w:pPr>
        <w:spacing w:after="0" w:line="163" w:lineRule="exact"/>
        <w:rPr>
          <w:sz w:val="20"/>
          <w:szCs w:val="20"/>
          <w:color w:val="auto"/>
        </w:rPr>
      </w:pPr>
    </w:p>
    <w:p>
      <w:pPr>
        <w:ind w:left="20" w:right="200"/>
        <w:spacing w:after="0" w:line="245" w:lineRule="auto"/>
        <w:rPr>
          <w:sz w:val="20"/>
          <w:szCs w:val="20"/>
          <w:color w:val="auto"/>
        </w:rPr>
      </w:pPr>
      <w:r>
        <w:rPr>
          <w:rFonts w:ascii="Times New Roman" w:cs="Times New Roman" w:eastAsia="Times New Roman" w:hAnsi="Times New Roman"/>
          <w:sz w:val="16"/>
          <w:szCs w:val="16"/>
          <w:color w:val="auto"/>
        </w:rPr>
        <w:t>Certain instruments defining the rights of holders of long-term debt instruments are not required to be filed or incorporated by reference herein pursuant to Item 601(b)(4) (iii)(A) of SEC Regulation S-K. Each Registrant agrees to furnish a copy of such instruments to the SEC upon request.</w:t>
      </w:r>
    </w:p>
    <w:p>
      <w:pPr>
        <w:spacing w:after="0" w:line="38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b w:val="1"/>
          <w:bCs w:val="1"/>
          <w:i w:val="1"/>
          <w:iCs w:val="1"/>
          <w:color w:val="auto"/>
        </w:rPr>
        <w:t>Sempra</w:t>
      </w:r>
    </w:p>
    <w:p>
      <w:pPr>
        <w:spacing w:after="0" w:line="85" w:lineRule="exact"/>
        <w:rPr>
          <w:sz w:val="20"/>
          <w:szCs w:val="20"/>
          <w:color w:val="auto"/>
        </w:rPr>
      </w:pPr>
    </w:p>
    <w:tbl>
      <w:tblPr>
        <w:tblLayout w:type="fixed"/>
        <w:tblInd w:w="640" w:type="dxa"/>
        <w:tblCellMar>
          <w:top w:w="0" w:type="dxa"/>
          <w:left w:w="0" w:type="dxa"/>
          <w:bottom w:w="0" w:type="dxa"/>
          <w:right w:w="0" w:type="dxa"/>
        </w:tblCellMar>
      </w:tblPr>
      <w:tr>
        <w:trPr>
          <w:trHeight w:val="184"/>
        </w:trPr>
        <w:tc>
          <w:tcPr>
            <w:tcW w:w="7320" w:type="dxa"/>
            <w:vAlign w:val="bottom"/>
            <w:gridSpan w:val="2"/>
          </w:tcPr>
          <w:p>
            <w:pPr>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4.1  </w:t>
            </w:r>
            <w:hyperlink r:id="rId285">
              <w:r>
                <w:rPr>
                  <w:rFonts w:ascii="Times New Roman" w:cs="Times New Roman" w:eastAsia="Times New Roman" w:hAnsi="Times New Roman"/>
                  <w:sz w:val="16"/>
                  <w:szCs w:val="16"/>
                  <w:color w:val="0000FF"/>
                </w:rPr>
                <w:t>Officers’ Certificate of Sempra, dated as of March 13, 2026, including the form of 5.250% Notes due 2036.</w:t>
              </w:r>
            </w:hyperlink>
          </w:p>
        </w:tc>
        <w:tc>
          <w:tcPr>
            <w:tcW w:w="1680" w:type="dxa"/>
            <w:vAlign w:val="bottom"/>
          </w:tcPr>
          <w:p>
            <w:pPr>
              <w:ind w:left="1140"/>
              <w:spacing w:after="0"/>
              <w:rPr>
                <w:sz w:val="20"/>
                <w:szCs w:val="20"/>
                <w:color w:val="auto"/>
              </w:rPr>
            </w:pPr>
            <w:r>
              <w:rPr>
                <w:rFonts w:ascii="Times New Roman" w:cs="Times New Roman" w:eastAsia="Times New Roman" w:hAnsi="Times New Roman"/>
                <w:sz w:val="16"/>
                <w:szCs w:val="16"/>
                <w:color w:val="auto"/>
              </w:rPr>
              <w:t>8-K</w:t>
            </w:r>
          </w:p>
        </w:tc>
        <w:tc>
          <w:tcPr>
            <w:tcW w:w="68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4.1</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03/13/26</w:t>
            </w:r>
          </w:p>
        </w:tc>
      </w:tr>
      <w:tr>
        <w:trPr>
          <w:trHeight w:val="20"/>
        </w:trPr>
        <w:tc>
          <w:tcPr>
            <w:tcW w:w="340" w:type="dxa"/>
            <w:vAlign w:val="bottom"/>
          </w:tcPr>
          <w:p>
            <w:pPr>
              <w:spacing w:after="0" w:line="20" w:lineRule="exact"/>
              <w:rPr>
                <w:sz w:val="1"/>
                <w:szCs w:val="1"/>
                <w:color w:val="auto"/>
              </w:rPr>
            </w:pPr>
          </w:p>
        </w:tc>
        <w:tc>
          <w:tcPr>
            <w:tcW w:w="6980" w:type="dxa"/>
            <w:vAlign w:val="bottom"/>
            <w:shd w:val="clear" w:color="auto" w:fill="0000FF"/>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b w:val="1"/>
          <w:bCs w:val="1"/>
          <w:i w:val="1"/>
          <w:iCs w:val="1"/>
          <w:color w:val="auto"/>
        </w:rPr>
        <w:t>Sempra / San Diego Gas &amp; Electric Company</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98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4.2</w:t>
            </w:r>
          </w:p>
        </w:tc>
        <w:tc>
          <w:tcPr>
            <w:tcW w:w="6140" w:type="dxa"/>
            <w:vAlign w:val="bottom"/>
            <w:gridSpan w:val="3"/>
          </w:tcPr>
          <w:p>
            <w:pPr>
              <w:spacing w:after="0"/>
              <w:rPr>
                <w:rFonts w:ascii="Times New Roman" w:cs="Times New Roman" w:eastAsia="Times New Roman" w:hAnsi="Times New Roman"/>
                <w:sz w:val="16"/>
                <w:szCs w:val="16"/>
                <w:color w:val="0000FF"/>
              </w:rPr>
            </w:pPr>
            <w:hyperlink r:id="rId286">
              <w:r>
                <w:rPr>
                  <w:rFonts w:ascii="Times New Roman" w:cs="Times New Roman" w:eastAsia="Times New Roman" w:hAnsi="Times New Roman"/>
                  <w:sz w:val="16"/>
                  <w:szCs w:val="16"/>
                  <w:color w:val="0000FF"/>
                </w:rPr>
                <w:t>Seventy-Eighth Supplemental Indenture, dated March 20, 2026.</w:t>
              </w:r>
            </w:hyperlink>
          </w:p>
        </w:tc>
        <w:tc>
          <w:tcPr>
            <w:tcW w:w="2520" w:type="dxa"/>
            <w:vAlign w:val="bottom"/>
          </w:tcPr>
          <w:p>
            <w:pPr>
              <w:ind w:left="1980"/>
              <w:spacing w:after="0"/>
              <w:rPr>
                <w:sz w:val="20"/>
                <w:szCs w:val="20"/>
                <w:color w:val="auto"/>
              </w:rPr>
            </w:pPr>
            <w:r>
              <w:rPr>
                <w:rFonts w:ascii="Times New Roman" w:cs="Times New Roman" w:eastAsia="Times New Roman" w:hAnsi="Times New Roman"/>
                <w:sz w:val="16"/>
                <w:szCs w:val="16"/>
                <w:color w:val="auto"/>
              </w:rPr>
              <w:t>8-K</w:t>
            </w:r>
          </w:p>
        </w:tc>
        <w:tc>
          <w:tcPr>
            <w:tcW w:w="68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4.1</w:t>
            </w:r>
          </w:p>
        </w:tc>
        <w:tc>
          <w:tcPr>
            <w:tcW w:w="9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03/20/26</w:t>
            </w:r>
          </w:p>
        </w:tc>
      </w:tr>
      <w:tr>
        <w:trPr>
          <w:trHeight w:val="358"/>
        </w:trPr>
        <w:tc>
          <w:tcPr>
            <w:tcW w:w="98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4.3</w:t>
            </w:r>
          </w:p>
        </w:tc>
        <w:tc>
          <w:tcPr>
            <w:tcW w:w="4140" w:type="dxa"/>
            <w:vAlign w:val="bottom"/>
            <w:tcBorders>
              <w:top w:val="single" w:sz="8" w:color="0000FF"/>
            </w:tcBorders>
            <w:gridSpan w:val="2"/>
          </w:tcPr>
          <w:p>
            <w:pPr>
              <w:spacing w:after="0"/>
              <w:rPr>
                <w:rFonts w:ascii="Times New Roman" w:cs="Times New Roman" w:eastAsia="Times New Roman" w:hAnsi="Times New Roman"/>
                <w:sz w:val="16"/>
                <w:szCs w:val="16"/>
                <w:color w:val="0000FF"/>
              </w:rPr>
            </w:pPr>
            <w:hyperlink r:id="rId287">
              <w:r>
                <w:rPr>
                  <w:rFonts w:ascii="Times New Roman" w:cs="Times New Roman" w:eastAsia="Times New Roman" w:hAnsi="Times New Roman"/>
                  <w:sz w:val="16"/>
                  <w:szCs w:val="16"/>
                  <w:color w:val="0000FF"/>
                </w:rPr>
                <w:t>Seventy-Ninth Supplemental Indenture, dated March 20, 2026.</w:t>
              </w:r>
            </w:hyperlink>
          </w:p>
        </w:tc>
        <w:tc>
          <w:tcPr>
            <w:tcW w:w="2000" w:type="dxa"/>
            <w:vAlign w:val="bottom"/>
          </w:tcPr>
          <w:p>
            <w:pPr>
              <w:spacing w:after="0"/>
              <w:rPr>
                <w:sz w:val="24"/>
                <w:szCs w:val="24"/>
                <w:color w:val="auto"/>
              </w:rPr>
            </w:pPr>
          </w:p>
        </w:tc>
        <w:tc>
          <w:tcPr>
            <w:tcW w:w="2520" w:type="dxa"/>
            <w:vAlign w:val="bottom"/>
          </w:tcPr>
          <w:p>
            <w:pPr>
              <w:ind w:left="1980"/>
              <w:spacing w:after="0"/>
              <w:rPr>
                <w:sz w:val="20"/>
                <w:szCs w:val="20"/>
                <w:color w:val="auto"/>
              </w:rPr>
            </w:pPr>
            <w:r>
              <w:rPr>
                <w:rFonts w:ascii="Times New Roman" w:cs="Times New Roman" w:eastAsia="Times New Roman" w:hAnsi="Times New Roman"/>
                <w:sz w:val="16"/>
                <w:szCs w:val="16"/>
                <w:color w:val="auto"/>
              </w:rPr>
              <w:t>8-K</w:t>
            </w:r>
          </w:p>
        </w:tc>
        <w:tc>
          <w:tcPr>
            <w:tcW w:w="68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4.2</w:t>
            </w:r>
          </w:p>
        </w:tc>
        <w:tc>
          <w:tcPr>
            <w:tcW w:w="9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03/20/26</w:t>
            </w:r>
          </w:p>
        </w:tc>
      </w:tr>
      <w:tr>
        <w:trPr>
          <w:trHeight w:val="115"/>
        </w:trPr>
        <w:tc>
          <w:tcPr>
            <w:tcW w:w="980" w:type="dxa"/>
            <w:vAlign w:val="bottom"/>
            <w:tcBorders>
              <w:bottom w:val="single" w:sz="8" w:color="auto"/>
            </w:tcBorders>
          </w:tcPr>
          <w:p>
            <w:pPr>
              <w:spacing w:after="0"/>
              <w:rPr>
                <w:sz w:val="10"/>
                <w:szCs w:val="10"/>
                <w:color w:val="auto"/>
              </w:rPr>
            </w:pPr>
          </w:p>
        </w:tc>
        <w:tc>
          <w:tcPr>
            <w:tcW w:w="4080" w:type="dxa"/>
            <w:vAlign w:val="bottom"/>
            <w:tcBorders>
              <w:top w:val="single" w:sz="8" w:color="0000FF"/>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2000" w:type="dxa"/>
            <w:vAlign w:val="bottom"/>
            <w:tcBorders>
              <w:bottom w:val="single" w:sz="8" w:color="auto"/>
            </w:tcBorders>
          </w:tcPr>
          <w:p>
            <w:pPr>
              <w:spacing w:after="0"/>
              <w:rPr>
                <w:sz w:val="10"/>
                <w:szCs w:val="10"/>
                <w:color w:val="auto"/>
              </w:rPr>
            </w:pPr>
          </w:p>
        </w:tc>
        <w:tc>
          <w:tcPr>
            <w:tcW w:w="2520" w:type="dxa"/>
            <w:vAlign w:val="bottom"/>
            <w:tcBorders>
              <w:bottom w:val="single" w:sz="8" w:color="auto"/>
            </w:tcBorders>
          </w:tcPr>
          <w:p>
            <w:pPr>
              <w:spacing w:after="0"/>
              <w:rPr>
                <w:sz w:val="10"/>
                <w:szCs w:val="10"/>
                <w:color w:val="auto"/>
              </w:rPr>
            </w:pPr>
          </w:p>
        </w:tc>
        <w:tc>
          <w:tcPr>
            <w:tcW w:w="680" w:type="dxa"/>
            <w:vAlign w:val="bottom"/>
            <w:tcBorders>
              <w:bottom w:val="single" w:sz="8" w:color="auto"/>
            </w:tcBorders>
          </w:tcPr>
          <w:p>
            <w:pPr>
              <w:spacing w:after="0"/>
              <w:rPr>
                <w:sz w:val="10"/>
                <w:szCs w:val="10"/>
                <w:color w:val="auto"/>
              </w:rPr>
            </w:pPr>
          </w:p>
        </w:tc>
        <w:tc>
          <w:tcPr>
            <w:tcW w:w="920" w:type="dxa"/>
            <w:vAlign w:val="bottom"/>
            <w:tcBorders>
              <w:bottom w:val="single" w:sz="8" w:color="auto"/>
            </w:tcBorders>
          </w:tcPr>
          <w:p>
            <w:pPr>
              <w:spacing w:after="0"/>
              <w:rPr>
                <w:sz w:val="10"/>
                <w:szCs w:val="10"/>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150495</wp:posOffset>
            </wp:positionV>
            <wp:extent cx="7157720" cy="4254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6" w:name="page117"/>
    <w:bookmarkEnd w:id="11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480060</wp:posOffset>
            </wp:positionV>
            <wp:extent cx="7132320" cy="15430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9">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FFFFFF"/>
        </w:rPr>
        <w:t>EXHIBIT INDEX (CONTINUED)</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5740" w:type="dxa"/>
            <w:vAlign w:val="bottom"/>
          </w:tcPr>
          <w:p>
            <w:pPr>
              <w:spacing w:after="0"/>
              <w:rPr>
                <w:sz w:val="16"/>
                <w:szCs w:val="16"/>
                <w:color w:val="auto"/>
              </w:rPr>
            </w:pPr>
          </w:p>
        </w:tc>
        <w:tc>
          <w:tcPr>
            <w:tcW w:w="3140" w:type="dxa"/>
            <w:vAlign w:val="bottom"/>
          </w:tcPr>
          <w:p>
            <w:pPr>
              <w:spacing w:after="0"/>
              <w:rPr>
                <w:sz w:val="16"/>
                <w:szCs w:val="16"/>
                <w:color w:val="auto"/>
              </w:rPr>
            </w:pPr>
          </w:p>
        </w:tc>
        <w:tc>
          <w:tcPr>
            <w:tcW w:w="2360" w:type="dxa"/>
            <w:vAlign w:val="bottom"/>
          </w:tcPr>
          <w:p>
            <w:pPr>
              <w:ind w:left="420"/>
              <w:spacing w:after="0"/>
              <w:rPr>
                <w:sz w:val="20"/>
                <w:szCs w:val="20"/>
                <w:color w:val="auto"/>
              </w:rPr>
            </w:pPr>
            <w:r>
              <w:rPr>
                <w:rFonts w:ascii="Times New Roman" w:cs="Times New Roman" w:eastAsia="Times New Roman" w:hAnsi="Times New Roman"/>
                <w:sz w:val="14"/>
                <w:szCs w:val="14"/>
                <w:color w:val="auto"/>
              </w:rPr>
              <w:t>Incorporated by Reference</w:t>
            </w:r>
          </w:p>
        </w:tc>
        <w:tc>
          <w:tcPr>
            <w:tcW w:w="0" w:type="dxa"/>
            <w:vAlign w:val="bottom"/>
          </w:tcPr>
          <w:p>
            <w:pPr>
              <w:spacing w:after="0"/>
              <w:rPr>
                <w:sz w:val="1"/>
                <w:szCs w:val="1"/>
                <w:color w:val="auto"/>
              </w:rPr>
            </w:pPr>
          </w:p>
        </w:tc>
      </w:tr>
      <w:tr>
        <w:trPr>
          <w:trHeight w:val="22"/>
        </w:trPr>
        <w:tc>
          <w:tcPr>
            <w:tcW w:w="5740" w:type="dxa"/>
            <w:vAlign w:val="bottom"/>
          </w:tcPr>
          <w:p>
            <w:pPr>
              <w:spacing w:after="0" w:line="20" w:lineRule="exact"/>
              <w:rPr>
                <w:sz w:val="1"/>
                <w:szCs w:val="1"/>
                <w:color w:val="auto"/>
              </w:rPr>
            </w:pPr>
          </w:p>
        </w:tc>
        <w:tc>
          <w:tcPr>
            <w:tcW w:w="3140" w:type="dxa"/>
            <w:vAlign w:val="bottom"/>
            <w:vMerge w:val="restart"/>
          </w:tcPr>
          <w:p>
            <w:pPr>
              <w:jc w:val="center"/>
              <w:ind w:left="2248"/>
              <w:spacing w:after="0"/>
              <w:rPr>
                <w:sz w:val="20"/>
                <w:szCs w:val="20"/>
                <w:color w:val="auto"/>
              </w:rPr>
            </w:pPr>
            <w:r>
              <w:rPr>
                <w:rFonts w:ascii="Times New Roman" w:cs="Times New Roman" w:eastAsia="Times New Roman" w:hAnsi="Times New Roman"/>
                <w:sz w:val="14"/>
                <w:szCs w:val="14"/>
                <w:color w:val="auto"/>
              </w:rPr>
              <w:t>Filed or</w:t>
            </w:r>
          </w:p>
        </w:tc>
        <w:tc>
          <w:tcPr>
            <w:tcW w:w="2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19"/>
        </w:trPr>
        <w:tc>
          <w:tcPr>
            <w:tcW w:w="5740" w:type="dxa"/>
            <w:vAlign w:val="bottom"/>
            <w:vMerge w:val="restart"/>
          </w:tcPr>
          <w:p>
            <w:pPr>
              <w:ind w:left="220"/>
              <w:spacing w:after="0"/>
              <w:rPr>
                <w:sz w:val="20"/>
                <w:szCs w:val="20"/>
                <w:color w:val="auto"/>
              </w:rPr>
            </w:pPr>
            <w:r>
              <w:rPr>
                <w:rFonts w:ascii="Times New Roman" w:cs="Times New Roman" w:eastAsia="Times New Roman" w:hAnsi="Times New Roman"/>
                <w:sz w:val="14"/>
                <w:szCs w:val="14"/>
                <w:color w:val="auto"/>
              </w:rPr>
              <w:t>Exhibit</w:t>
            </w:r>
          </w:p>
        </w:tc>
        <w:tc>
          <w:tcPr>
            <w:tcW w:w="3140" w:type="dxa"/>
            <w:vAlign w:val="bottom"/>
            <w:vMerge w:val="continue"/>
          </w:tcPr>
          <w:p>
            <w:pPr>
              <w:spacing w:after="0"/>
              <w:rPr>
                <w:sz w:val="10"/>
                <w:szCs w:val="10"/>
                <w:color w:val="auto"/>
              </w:rPr>
            </w:pPr>
          </w:p>
        </w:tc>
        <w:tc>
          <w:tcPr>
            <w:tcW w:w="2360" w:type="dxa"/>
            <w:vAlign w:val="bottom"/>
            <w:vMerge w:val="restart"/>
          </w:tcPr>
          <w:p>
            <w:pPr>
              <w:ind w:left="840"/>
              <w:spacing w:after="0"/>
              <w:rPr>
                <w:sz w:val="20"/>
                <w:szCs w:val="20"/>
                <w:color w:val="auto"/>
              </w:rPr>
            </w:pPr>
            <w:r>
              <w:rPr>
                <w:rFonts w:ascii="Times New Roman" w:cs="Times New Roman" w:eastAsia="Times New Roman" w:hAnsi="Times New Roman"/>
                <w:sz w:val="14"/>
                <w:szCs w:val="14"/>
                <w:color w:val="auto"/>
              </w:rPr>
              <w:t>Exhibit or</w:t>
            </w:r>
          </w:p>
        </w:tc>
        <w:tc>
          <w:tcPr>
            <w:tcW w:w="0" w:type="dxa"/>
            <w:vAlign w:val="bottom"/>
          </w:tcPr>
          <w:p>
            <w:pPr>
              <w:spacing w:after="0"/>
              <w:rPr>
                <w:sz w:val="1"/>
                <w:szCs w:val="1"/>
                <w:color w:val="auto"/>
              </w:rPr>
            </w:pPr>
          </w:p>
        </w:tc>
      </w:tr>
      <w:tr>
        <w:trPr>
          <w:trHeight w:val="144"/>
        </w:trPr>
        <w:tc>
          <w:tcPr>
            <w:tcW w:w="5740" w:type="dxa"/>
            <w:vAlign w:val="bottom"/>
            <w:vMerge w:val="continue"/>
          </w:tcPr>
          <w:p>
            <w:pPr>
              <w:spacing w:after="0"/>
              <w:rPr>
                <w:sz w:val="12"/>
                <w:szCs w:val="12"/>
                <w:color w:val="auto"/>
              </w:rPr>
            </w:pPr>
          </w:p>
        </w:tc>
        <w:tc>
          <w:tcPr>
            <w:tcW w:w="3140" w:type="dxa"/>
            <w:vAlign w:val="bottom"/>
          </w:tcPr>
          <w:p>
            <w:pPr>
              <w:jc w:val="center"/>
              <w:ind w:left="2248"/>
              <w:spacing w:after="0" w:line="145" w:lineRule="exact"/>
              <w:rPr>
                <w:sz w:val="20"/>
                <w:szCs w:val="20"/>
                <w:color w:val="auto"/>
              </w:rPr>
            </w:pPr>
            <w:r>
              <w:rPr>
                <w:rFonts w:ascii="Times New Roman" w:cs="Times New Roman" w:eastAsia="Times New Roman" w:hAnsi="Times New Roman"/>
                <w:sz w:val="14"/>
                <w:szCs w:val="14"/>
                <w:color w:val="auto"/>
              </w:rPr>
              <w:t>Furnished</w:t>
            </w:r>
          </w:p>
        </w:tc>
        <w:tc>
          <w:tcPr>
            <w:tcW w:w="23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574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4"/>
                <w:szCs w:val="14"/>
                <w:color w:val="auto"/>
              </w:rPr>
              <w:t>NumberExhibit Description</w:t>
            </w:r>
          </w:p>
        </w:tc>
        <w:tc>
          <w:tcPr>
            <w:tcW w:w="3140" w:type="dxa"/>
            <w:vAlign w:val="bottom"/>
            <w:tcBorders>
              <w:bottom w:val="single" w:sz="8" w:color="auto"/>
            </w:tcBorders>
          </w:tcPr>
          <w:p>
            <w:pPr>
              <w:jc w:val="center"/>
              <w:ind w:left="2248"/>
              <w:spacing w:after="0"/>
              <w:rPr>
                <w:sz w:val="20"/>
                <w:szCs w:val="20"/>
                <w:color w:val="auto"/>
              </w:rPr>
            </w:pPr>
            <w:r>
              <w:rPr>
                <w:rFonts w:ascii="Times New Roman" w:cs="Times New Roman" w:eastAsia="Times New Roman" w:hAnsi="Times New Roman"/>
                <w:sz w:val="14"/>
                <w:szCs w:val="14"/>
                <w:color w:val="auto"/>
              </w:rPr>
              <w:t>Herewith</w:t>
            </w:r>
          </w:p>
        </w:tc>
        <w:tc>
          <w:tcPr>
            <w:tcW w:w="236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4"/>
                <w:szCs w:val="14"/>
                <w:color w:val="auto"/>
              </w:rPr>
              <w:t>FormAppendix   Filing Date</w:t>
            </w:r>
          </w:p>
        </w:tc>
        <w:tc>
          <w:tcPr>
            <w:tcW w:w="0" w:type="dxa"/>
            <w:vAlign w:val="bottom"/>
          </w:tcPr>
          <w:p>
            <w:pPr>
              <w:spacing w:after="0"/>
              <w:rPr>
                <w:sz w:val="1"/>
                <w:szCs w:val="1"/>
                <w:color w:val="auto"/>
              </w:rPr>
            </w:pPr>
          </w:p>
        </w:tc>
      </w:tr>
      <w:tr>
        <w:trPr>
          <w:trHeight w:val="388"/>
        </w:trPr>
        <w:tc>
          <w:tcPr>
            <w:tcW w:w="5740" w:type="dxa"/>
            <w:vAlign w:val="bottom"/>
          </w:tcPr>
          <w:p>
            <w:pPr>
              <w:ind w:left="20"/>
              <w:spacing w:after="0"/>
              <w:rPr>
                <w:sz w:val="20"/>
                <w:szCs w:val="20"/>
                <w:color w:val="auto"/>
              </w:rPr>
            </w:pPr>
            <w:r>
              <w:rPr>
                <w:rFonts w:ascii="Arial" w:cs="Arial" w:eastAsia="Arial" w:hAnsi="Arial"/>
                <w:sz w:val="18"/>
                <w:szCs w:val="18"/>
                <w:b w:val="1"/>
                <w:bCs w:val="1"/>
                <w:color w:val="auto"/>
              </w:rPr>
              <w:t>EXHIBIT 10 -- MATERIAL CONTRACTS</w:t>
            </w:r>
          </w:p>
        </w:tc>
        <w:tc>
          <w:tcPr>
            <w:tcW w:w="314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0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b w:val="1"/>
          <w:bCs w:val="1"/>
          <w:i w:val="1"/>
          <w:iCs w:val="1"/>
          <w:color w:val="auto"/>
        </w:rPr>
        <w:t>Sempra</w:t>
      </w:r>
    </w:p>
    <w:p>
      <w:pPr>
        <w:spacing w:after="0" w:line="85" w:lineRule="exact"/>
        <w:rPr>
          <w:sz w:val="20"/>
          <w:szCs w:val="20"/>
          <w:color w:val="auto"/>
        </w:rPr>
      </w:pPr>
    </w:p>
    <w:tbl>
      <w:tblPr>
        <w:tblLayout w:type="fixed"/>
        <w:tblInd w:w="560" w:type="dxa"/>
        <w:tblCellMar>
          <w:top w:w="0" w:type="dxa"/>
          <w:left w:w="0" w:type="dxa"/>
          <w:bottom w:w="0" w:type="dxa"/>
          <w:right w:w="0" w:type="dxa"/>
        </w:tblCellMar>
      </w:tblPr>
      <w:tr>
        <w:trPr>
          <w:trHeight w:val="184"/>
        </w:trPr>
        <w:tc>
          <w:tcPr>
            <w:tcW w:w="7640" w:type="dxa"/>
            <w:vAlign w:val="bottom"/>
            <w:gridSpan w:val="14"/>
          </w:tcPr>
          <w:p>
            <w:pPr>
              <w:spacing w:after="0"/>
              <w:rPr>
                <w:sz w:val="20"/>
                <w:szCs w:val="20"/>
                <w:color w:val="auto"/>
              </w:rPr>
            </w:pPr>
            <w:r>
              <w:rPr>
                <w:rFonts w:ascii="Times New Roman" w:cs="Times New Roman" w:eastAsia="Times New Roman" w:hAnsi="Times New Roman"/>
                <w:sz w:val="16"/>
                <w:szCs w:val="16"/>
                <w:color w:val="auto"/>
              </w:rPr>
              <w:t xml:space="preserve">10.1  </w:t>
            </w:r>
            <w:r>
              <w:rPr>
                <w:rFonts w:ascii="Times New Roman" w:cs="Times New Roman" w:eastAsia="Times New Roman" w:hAnsi="Times New Roman"/>
                <w:sz w:val="16"/>
                <w:szCs w:val="16"/>
                <w:color w:val="0000FF"/>
              </w:rPr>
              <w:t>Amendment No.1 to ATM Equity Offering Sales Agreement, dated May 6, 2026, among Sempra and</w:t>
            </w:r>
          </w:p>
        </w:tc>
        <w:tc>
          <w:tcPr>
            <w:tcW w:w="320" w:type="dxa"/>
            <w:vAlign w:val="bottom"/>
          </w:tcPr>
          <w:p>
            <w:pPr>
              <w:ind w:left="200"/>
              <w:spacing w:after="0"/>
              <w:rPr>
                <w:sz w:val="20"/>
                <w:szCs w:val="20"/>
                <w:color w:val="auto"/>
              </w:rPr>
            </w:pPr>
            <w:r>
              <w:rPr>
                <w:rFonts w:ascii="Times New Roman" w:cs="Times New Roman" w:eastAsia="Times New Roman" w:hAnsi="Times New Roman"/>
                <w:sz w:val="16"/>
                <w:szCs w:val="16"/>
                <w:color w:val="auto"/>
                <w:w w:val="86"/>
              </w:rPr>
              <w:t>X</w:t>
            </w:r>
          </w:p>
        </w:tc>
        <w:tc>
          <w:tcPr>
            <w:tcW w:w="0" w:type="dxa"/>
            <w:vAlign w:val="bottom"/>
          </w:tcPr>
          <w:p>
            <w:pPr>
              <w:spacing w:after="0"/>
              <w:rPr>
                <w:sz w:val="1"/>
                <w:szCs w:val="1"/>
                <w:color w:val="auto"/>
              </w:rPr>
            </w:pPr>
          </w:p>
        </w:tc>
      </w:tr>
      <w:tr>
        <w:trPr>
          <w:trHeight w:val="142"/>
        </w:trPr>
        <w:tc>
          <w:tcPr>
            <w:tcW w:w="420" w:type="dxa"/>
            <w:vAlign w:val="bottom"/>
          </w:tcPr>
          <w:p>
            <w:pPr>
              <w:spacing w:after="0"/>
              <w:rPr>
                <w:sz w:val="12"/>
                <w:szCs w:val="12"/>
                <w:color w:val="auto"/>
              </w:rPr>
            </w:pPr>
          </w:p>
        </w:tc>
        <w:tc>
          <w:tcPr>
            <w:tcW w:w="6560" w:type="dxa"/>
            <w:vAlign w:val="bottom"/>
            <w:tcBorders>
              <w:top w:val="single" w:sz="8" w:color="0000FF"/>
            </w:tcBorders>
            <w:gridSpan w:val="4"/>
          </w:tcPr>
          <w:p>
            <w:pPr>
              <w:spacing w:after="0" w:line="142" w:lineRule="exact"/>
              <w:rPr>
                <w:sz w:val="20"/>
                <w:szCs w:val="20"/>
                <w:color w:val="auto"/>
              </w:rPr>
            </w:pPr>
            <w:r>
              <w:rPr>
                <w:rFonts w:ascii="Times New Roman" w:cs="Times New Roman" w:eastAsia="Times New Roman" w:hAnsi="Times New Roman"/>
                <w:sz w:val="16"/>
                <w:szCs w:val="16"/>
                <w:color w:val="0000FF"/>
              </w:rPr>
              <w:t>Barclays Capital Inc., BMO Capital Markets Corp., BNP Paribas Securities Corp., BofA Securities,</w:t>
            </w:r>
          </w:p>
        </w:tc>
        <w:tc>
          <w:tcPr>
            <w:tcW w:w="660" w:type="dxa"/>
            <w:vAlign w:val="bottom"/>
            <w:gridSpan w:val="9"/>
          </w:tcPr>
          <w:p>
            <w:pPr>
              <w:spacing w:after="0" w:line="142" w:lineRule="exact"/>
              <w:rPr>
                <w:sz w:val="20"/>
                <w:szCs w:val="20"/>
                <w:color w:val="auto"/>
              </w:rPr>
            </w:pPr>
            <w:r>
              <w:rPr>
                <w:rFonts w:ascii="Times New Roman" w:cs="Times New Roman" w:eastAsia="Times New Roman" w:hAnsi="Times New Roman"/>
                <w:sz w:val="16"/>
                <w:szCs w:val="16"/>
                <w:color w:val="0000FF"/>
              </w:rPr>
              <w:t>Inc.,</w:t>
            </w: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20" w:type="dxa"/>
            <w:vAlign w:val="bottom"/>
          </w:tcPr>
          <w:p>
            <w:pPr>
              <w:spacing w:after="0"/>
              <w:rPr>
                <w:sz w:val="12"/>
                <w:szCs w:val="12"/>
                <w:color w:val="auto"/>
              </w:rPr>
            </w:pPr>
          </w:p>
        </w:tc>
        <w:tc>
          <w:tcPr>
            <w:tcW w:w="6780" w:type="dxa"/>
            <w:vAlign w:val="bottom"/>
            <w:tcBorders>
              <w:top w:val="single" w:sz="8" w:color="0000FF"/>
            </w:tcBorders>
            <w:gridSpan w:val="8"/>
          </w:tcPr>
          <w:p>
            <w:pPr>
              <w:spacing w:after="0" w:line="142" w:lineRule="exact"/>
              <w:rPr>
                <w:sz w:val="20"/>
                <w:szCs w:val="20"/>
                <w:color w:val="auto"/>
              </w:rPr>
            </w:pPr>
            <w:r>
              <w:rPr>
                <w:rFonts w:ascii="Times New Roman" w:cs="Times New Roman" w:eastAsia="Times New Roman" w:hAnsi="Times New Roman"/>
                <w:sz w:val="16"/>
                <w:szCs w:val="16"/>
                <w:color w:val="0000FF"/>
              </w:rPr>
              <w:t>Citigroup Global Markets Inc., Credit Agricole Securities (USA) Inc., Goldman Sachs &amp; Co. LLC, J.P.</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20" w:type="dxa"/>
            <w:vAlign w:val="bottom"/>
          </w:tcPr>
          <w:p>
            <w:pPr>
              <w:spacing w:after="0"/>
              <w:rPr>
                <w:sz w:val="12"/>
                <w:szCs w:val="12"/>
                <w:color w:val="auto"/>
              </w:rPr>
            </w:pPr>
          </w:p>
        </w:tc>
        <w:tc>
          <w:tcPr>
            <w:tcW w:w="6680" w:type="dxa"/>
            <w:vAlign w:val="bottom"/>
            <w:tcBorders>
              <w:top w:val="single" w:sz="8" w:color="0000FF"/>
            </w:tcBorders>
            <w:gridSpan w:val="6"/>
          </w:tcPr>
          <w:p>
            <w:pPr>
              <w:spacing w:after="0" w:line="142" w:lineRule="exact"/>
              <w:rPr>
                <w:sz w:val="20"/>
                <w:szCs w:val="20"/>
                <w:color w:val="auto"/>
              </w:rPr>
            </w:pPr>
            <w:r>
              <w:rPr>
                <w:rFonts w:ascii="Times New Roman" w:cs="Times New Roman" w:eastAsia="Times New Roman" w:hAnsi="Times New Roman"/>
                <w:sz w:val="16"/>
                <w:szCs w:val="16"/>
                <w:color w:val="0000FF"/>
              </w:rPr>
              <w:t>Morgan Securities LLC, Mizuho Securities USA LLC, Morgan Stanley &amp; Co. LLC, MUFG Securities</w:t>
            </w:r>
          </w:p>
        </w:tc>
        <w:tc>
          <w:tcPr>
            <w:tcW w:w="40" w:type="dxa"/>
            <w:vAlign w:val="bottom"/>
          </w:tcPr>
          <w:p>
            <w:pPr>
              <w:spacing w:after="0"/>
              <w:rPr>
                <w:sz w:val="12"/>
                <w:szCs w:val="12"/>
                <w:color w:val="auto"/>
              </w:rPr>
            </w:pPr>
          </w:p>
        </w:tc>
        <w:tc>
          <w:tcPr>
            <w:tcW w:w="200" w:type="dxa"/>
            <w:vAlign w:val="bottom"/>
            <w:gridSpan w:val="2"/>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420" w:type="dxa"/>
            <w:vAlign w:val="bottom"/>
          </w:tcPr>
          <w:p>
            <w:pPr>
              <w:spacing w:after="0"/>
              <w:rPr>
                <w:sz w:val="14"/>
                <w:szCs w:val="14"/>
                <w:color w:val="auto"/>
              </w:rPr>
            </w:pPr>
          </w:p>
        </w:tc>
        <w:tc>
          <w:tcPr>
            <w:tcW w:w="6640" w:type="dxa"/>
            <w:vAlign w:val="bottom"/>
            <w:tcBorders>
              <w:top w:val="single" w:sz="8" w:color="0000FF"/>
              <w:bottom w:val="single" w:sz="8" w:color="0000FF"/>
            </w:tcBorders>
            <w:gridSpan w:val="5"/>
          </w:tcPr>
          <w:p>
            <w:pPr>
              <w:spacing w:after="0" w:line="142" w:lineRule="exact"/>
              <w:rPr>
                <w:sz w:val="20"/>
                <w:szCs w:val="20"/>
                <w:color w:val="auto"/>
              </w:rPr>
            </w:pPr>
            <w:r>
              <w:rPr>
                <w:rFonts w:ascii="Times New Roman" w:cs="Times New Roman" w:eastAsia="Times New Roman" w:hAnsi="Times New Roman"/>
                <w:sz w:val="16"/>
                <w:szCs w:val="16"/>
                <w:color w:val="0000FF"/>
                <w:w w:val="99"/>
              </w:rPr>
              <w:t>Americas Inc., RBC Capital Markets, LLC, Scotia Capital (USA) Inc., Truist Securities, Inc., and Wells</w:t>
            </w:r>
          </w:p>
        </w:tc>
        <w:tc>
          <w:tcPr>
            <w:tcW w:w="80" w:type="dxa"/>
            <w:vAlign w:val="bottom"/>
            <w:tcBorders>
              <w:bottom w:val="single" w:sz="8" w:color="0000FF"/>
            </w:tcBorders>
            <w:gridSpan w:val="2"/>
          </w:tcPr>
          <w:p>
            <w:pPr>
              <w:spacing w:after="0"/>
              <w:rPr>
                <w:sz w:val="14"/>
                <w:szCs w:val="14"/>
                <w:color w:val="auto"/>
              </w:rPr>
            </w:pPr>
          </w:p>
        </w:tc>
        <w:tc>
          <w:tcPr>
            <w:tcW w:w="500" w:type="dxa"/>
            <w:vAlign w:val="bottom"/>
            <w:gridSpan w:val="6"/>
            <w:vMerge w:val="restart"/>
          </w:tcPr>
          <w:p>
            <w:pPr>
              <w:spacing w:after="0"/>
              <w:rPr>
                <w:sz w:val="20"/>
                <w:szCs w:val="20"/>
                <w:color w:val="auto"/>
              </w:rPr>
            </w:pPr>
            <w:r>
              <w:rPr>
                <w:rFonts w:ascii="Times New Roman" w:cs="Times New Roman" w:eastAsia="Times New Roman" w:hAnsi="Times New Roman"/>
                <w:sz w:val="16"/>
                <w:szCs w:val="16"/>
                <w:color w:val="0000FF"/>
              </w:rPr>
              <w:t>BNP</w:t>
            </w:r>
          </w:p>
        </w:tc>
        <w:tc>
          <w:tcPr>
            <w:tcW w:w="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420" w:type="dxa"/>
            <w:vAlign w:val="bottom"/>
          </w:tcPr>
          <w:p>
            <w:pPr>
              <w:spacing w:after="0"/>
              <w:rPr>
                <w:sz w:val="10"/>
                <w:szCs w:val="10"/>
                <w:color w:val="auto"/>
              </w:rPr>
            </w:pPr>
          </w:p>
        </w:tc>
        <w:tc>
          <w:tcPr>
            <w:tcW w:w="4620" w:type="dxa"/>
            <w:vAlign w:val="bottom"/>
            <w:gridSpan w:val="2"/>
          </w:tcPr>
          <w:p>
            <w:pPr>
              <w:spacing w:after="0" w:line="122" w:lineRule="exact"/>
              <w:rPr>
                <w:sz w:val="20"/>
                <w:szCs w:val="20"/>
                <w:color w:val="auto"/>
              </w:rPr>
            </w:pPr>
            <w:r>
              <w:rPr>
                <w:rFonts w:ascii="Times New Roman" w:cs="Times New Roman" w:eastAsia="Times New Roman" w:hAnsi="Times New Roman"/>
                <w:sz w:val="14"/>
                <w:szCs w:val="14"/>
                <w:color w:val="0000FF"/>
              </w:rPr>
              <w:t>Fargo Securities, LLC, as sales agents and forward sellers, and Barclays</w:t>
            </w:r>
          </w:p>
        </w:tc>
        <w:tc>
          <w:tcPr>
            <w:tcW w:w="2100" w:type="dxa"/>
            <w:vAlign w:val="bottom"/>
            <w:gridSpan w:val="5"/>
          </w:tcPr>
          <w:p>
            <w:pPr>
              <w:ind w:left="100"/>
              <w:spacing w:after="0" w:line="122" w:lineRule="exact"/>
              <w:rPr>
                <w:sz w:val="20"/>
                <w:szCs w:val="20"/>
                <w:color w:val="auto"/>
              </w:rPr>
            </w:pPr>
            <w:r>
              <w:rPr>
                <w:rFonts w:ascii="Times New Roman" w:cs="Times New Roman" w:eastAsia="Times New Roman" w:hAnsi="Times New Roman"/>
                <w:sz w:val="14"/>
                <w:szCs w:val="14"/>
                <w:color w:val="0000FF"/>
              </w:rPr>
              <w:t>Bank PLC, Bank of Montreal,</w:t>
            </w:r>
          </w:p>
        </w:tc>
        <w:tc>
          <w:tcPr>
            <w:tcW w:w="500" w:type="dxa"/>
            <w:vAlign w:val="bottom"/>
            <w:gridSpan w:val="6"/>
            <w:vMerge w:val="continue"/>
          </w:tcPr>
          <w:p>
            <w:pPr>
              <w:spacing w:after="0"/>
              <w:rPr>
                <w:sz w:val="10"/>
                <w:szCs w:val="10"/>
                <w:color w:val="auto"/>
              </w:rPr>
            </w:pPr>
          </w:p>
        </w:tc>
        <w:tc>
          <w:tcPr>
            <w:tcW w:w="3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000" w:type="dxa"/>
            <w:vAlign w:val="bottom"/>
            <w:tcBorders>
              <w:top w:val="single" w:sz="8" w:color="0000FF"/>
            </w:tcBorders>
            <w:gridSpan w:val="11"/>
          </w:tcPr>
          <w:p>
            <w:pPr>
              <w:spacing w:after="0" w:line="142" w:lineRule="exact"/>
              <w:rPr>
                <w:sz w:val="20"/>
                <w:szCs w:val="20"/>
                <w:color w:val="auto"/>
              </w:rPr>
            </w:pPr>
            <w:r>
              <w:rPr>
                <w:rFonts w:ascii="Times New Roman" w:cs="Times New Roman" w:eastAsia="Times New Roman" w:hAnsi="Times New Roman"/>
                <w:sz w:val="16"/>
                <w:szCs w:val="16"/>
                <w:color w:val="0000FF"/>
              </w:rPr>
              <w:t>Paribas, Bank of America, N.A., Citibank, N.A., Crédit Agricole Corporate and Investment Bank, Goldman</w:t>
            </w:r>
          </w:p>
        </w:tc>
        <w:tc>
          <w:tcPr>
            <w:tcW w:w="2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20" w:type="dxa"/>
            <w:vAlign w:val="bottom"/>
          </w:tcPr>
          <w:p>
            <w:pPr>
              <w:spacing w:after="0"/>
              <w:rPr>
                <w:sz w:val="12"/>
                <w:szCs w:val="12"/>
                <w:color w:val="auto"/>
              </w:rPr>
            </w:pPr>
          </w:p>
        </w:tc>
        <w:tc>
          <w:tcPr>
            <w:tcW w:w="7000" w:type="dxa"/>
            <w:vAlign w:val="bottom"/>
            <w:tcBorders>
              <w:top w:val="single" w:sz="8" w:color="0000FF"/>
            </w:tcBorders>
            <w:gridSpan w:val="11"/>
          </w:tcPr>
          <w:p>
            <w:pPr>
              <w:spacing w:after="0" w:line="142" w:lineRule="exact"/>
              <w:rPr>
                <w:sz w:val="20"/>
                <w:szCs w:val="20"/>
                <w:color w:val="auto"/>
              </w:rPr>
            </w:pPr>
            <w:r>
              <w:rPr>
                <w:rFonts w:ascii="Times New Roman" w:cs="Times New Roman" w:eastAsia="Times New Roman" w:hAnsi="Times New Roman"/>
                <w:sz w:val="16"/>
                <w:szCs w:val="16"/>
                <w:color w:val="0000FF"/>
              </w:rPr>
              <w:t>Sachs &amp; Co. LLC, JPMorgan Chase Bank, National Association, Mizuho Markets Americas LLC, Morgan</w:t>
            </w:r>
          </w:p>
        </w:tc>
        <w:tc>
          <w:tcPr>
            <w:tcW w:w="220" w:type="dxa"/>
            <w:vAlign w:val="bottom"/>
            <w:gridSpan w:val="2"/>
          </w:tcPr>
          <w:p>
            <w:pPr>
              <w:spacing w:after="0"/>
              <w:rPr>
                <w:sz w:val="12"/>
                <w:szCs w:val="12"/>
                <w:color w:val="auto"/>
              </w:rPr>
            </w:pP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20" w:type="dxa"/>
            <w:vAlign w:val="bottom"/>
          </w:tcPr>
          <w:p>
            <w:pPr>
              <w:spacing w:after="0"/>
              <w:rPr>
                <w:sz w:val="12"/>
                <w:szCs w:val="12"/>
                <w:color w:val="auto"/>
              </w:rPr>
            </w:pPr>
          </w:p>
        </w:tc>
        <w:tc>
          <w:tcPr>
            <w:tcW w:w="6920" w:type="dxa"/>
            <w:vAlign w:val="bottom"/>
            <w:tcBorders>
              <w:top w:val="single" w:sz="8" w:color="0000FF"/>
              <w:bottom w:val="single" w:sz="8" w:color="0000FF"/>
            </w:tcBorders>
            <w:gridSpan w:val="9"/>
          </w:tcPr>
          <w:p>
            <w:pPr>
              <w:spacing w:after="0" w:line="142" w:lineRule="exact"/>
              <w:rPr>
                <w:sz w:val="20"/>
                <w:szCs w:val="20"/>
                <w:color w:val="auto"/>
              </w:rPr>
            </w:pPr>
            <w:r>
              <w:rPr>
                <w:rFonts w:ascii="Times New Roman" w:cs="Times New Roman" w:eastAsia="Times New Roman" w:hAnsi="Times New Roman"/>
                <w:sz w:val="16"/>
                <w:szCs w:val="16"/>
                <w:color w:val="0000FF"/>
              </w:rPr>
              <w:t>Stanley &amp; Co. LLC, MUFG Securities EMEA plc, Royal Bank of Canada, The Bank of Nova Scotia, Truist</w:t>
            </w:r>
          </w:p>
        </w:tc>
        <w:tc>
          <w:tcPr>
            <w:tcW w:w="60" w:type="dxa"/>
            <w:vAlign w:val="bottom"/>
            <w:tcBorders>
              <w:bottom w:val="single" w:sz="8" w:color="0000FF"/>
            </w:tcBorders>
          </w:tcPr>
          <w:p>
            <w:pPr>
              <w:spacing w:after="0"/>
              <w:rPr>
                <w:sz w:val="12"/>
                <w:szCs w:val="12"/>
                <w:color w:val="auto"/>
              </w:rPr>
            </w:pPr>
          </w:p>
        </w:tc>
        <w:tc>
          <w:tcPr>
            <w:tcW w:w="240" w:type="dxa"/>
            <w:vAlign w:val="bottom"/>
            <w:gridSpan w:val="3"/>
          </w:tcPr>
          <w:p>
            <w:pPr>
              <w:spacing w:after="0"/>
              <w:rPr>
                <w:sz w:val="12"/>
                <w:szCs w:val="12"/>
                <w:color w:val="auto"/>
              </w:rPr>
            </w:pP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20" w:type="dxa"/>
            <w:vAlign w:val="bottom"/>
          </w:tcPr>
          <w:p>
            <w:pPr>
              <w:spacing w:after="0"/>
              <w:rPr>
                <w:sz w:val="12"/>
                <w:szCs w:val="12"/>
                <w:color w:val="auto"/>
              </w:rPr>
            </w:pPr>
          </w:p>
        </w:tc>
        <w:tc>
          <w:tcPr>
            <w:tcW w:w="4820" w:type="dxa"/>
            <w:vAlign w:val="bottom"/>
            <w:tcBorders>
              <w:bottom w:val="single" w:sz="8" w:color="0000FF"/>
            </w:tcBorders>
            <w:gridSpan w:val="3"/>
          </w:tcPr>
          <w:p>
            <w:pPr>
              <w:spacing w:after="0" w:line="142" w:lineRule="exact"/>
              <w:rPr>
                <w:sz w:val="20"/>
                <w:szCs w:val="20"/>
                <w:color w:val="auto"/>
              </w:rPr>
            </w:pPr>
            <w:r>
              <w:rPr>
                <w:rFonts w:ascii="Times New Roman" w:cs="Times New Roman" w:eastAsia="Times New Roman" w:hAnsi="Times New Roman"/>
                <w:sz w:val="16"/>
                <w:szCs w:val="16"/>
                <w:color w:val="0000FF"/>
              </w:rPr>
              <w:t>Bank and Wells Fargo Bank, National Association, as forward purchasers.</w:t>
            </w:r>
          </w:p>
        </w:tc>
        <w:tc>
          <w:tcPr>
            <w:tcW w:w="2160" w:type="dxa"/>
            <w:vAlign w:val="bottom"/>
            <w:gridSpan w:val="7"/>
          </w:tcPr>
          <w:p>
            <w:pPr>
              <w:spacing w:after="0"/>
              <w:rPr>
                <w:sz w:val="12"/>
                <w:szCs w:val="12"/>
                <w:color w:val="auto"/>
              </w:rPr>
            </w:pPr>
          </w:p>
        </w:tc>
        <w:tc>
          <w:tcPr>
            <w:tcW w:w="240" w:type="dxa"/>
            <w:vAlign w:val="bottom"/>
            <w:gridSpan w:val="3"/>
          </w:tcPr>
          <w:p>
            <w:pPr>
              <w:spacing w:after="0"/>
              <w:rPr>
                <w:sz w:val="12"/>
                <w:szCs w:val="12"/>
                <w:color w:val="auto"/>
              </w:rPr>
            </w:pP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b w:val="1"/>
          <w:bCs w:val="1"/>
          <w:i w:val="1"/>
          <w:iCs w:val="1"/>
          <w:color w:val="auto"/>
        </w:rPr>
        <w:t>Management Contract or Compensatory Plan, Contract or Arrangement</w:t>
      </w:r>
    </w:p>
    <w:p>
      <w:pPr>
        <w:spacing w:after="0" w:line="31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i w:val="1"/>
          <w:iCs w:val="1"/>
          <w:color w:val="auto"/>
        </w:rPr>
        <w:t>Sempra / San Diego Gas &amp; Electric Company / Southern California Gas Company</w:t>
      </w:r>
    </w:p>
    <w:p>
      <w:pPr>
        <w:spacing w:after="0" w:line="85" w:lineRule="exact"/>
        <w:rPr>
          <w:sz w:val="20"/>
          <w:szCs w:val="20"/>
          <w:color w:val="auto"/>
        </w:rPr>
      </w:pPr>
    </w:p>
    <w:tbl>
      <w:tblPr>
        <w:tblLayout w:type="fixed"/>
        <w:tblInd w:w="560" w:type="dxa"/>
        <w:tblCellMar>
          <w:top w:w="0" w:type="dxa"/>
          <w:left w:w="0" w:type="dxa"/>
          <w:bottom w:w="0" w:type="dxa"/>
          <w:right w:w="0" w:type="dxa"/>
        </w:tblCellMar>
      </w:tblPr>
      <w:tr>
        <w:trPr>
          <w:trHeight w:val="184"/>
        </w:trPr>
        <w:tc>
          <w:tcPr>
            <w:tcW w:w="42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2"/>
              </w:rPr>
              <w:t>10.2</w:t>
            </w:r>
          </w:p>
        </w:tc>
        <w:tc>
          <w:tcPr>
            <w:tcW w:w="7500" w:type="dxa"/>
            <w:vAlign w:val="bottom"/>
            <w:gridSpan w:val="6"/>
          </w:tcPr>
          <w:p>
            <w:pPr>
              <w:spacing w:after="0"/>
              <w:rPr>
                <w:rFonts w:ascii="Times New Roman" w:cs="Times New Roman" w:eastAsia="Times New Roman" w:hAnsi="Times New Roman"/>
                <w:sz w:val="16"/>
                <w:szCs w:val="16"/>
                <w:color w:val="0000FF"/>
              </w:rPr>
            </w:pPr>
            <w:hyperlink r:id="rId290">
              <w:r>
                <w:rPr>
                  <w:rFonts w:ascii="Times New Roman" w:cs="Times New Roman" w:eastAsia="Times New Roman" w:hAnsi="Times New Roman"/>
                  <w:sz w:val="16"/>
                  <w:szCs w:val="16"/>
                  <w:color w:val="0000FF"/>
                </w:rPr>
                <w:t>Form of Sempra 2019 Long-Term Incentive Plan 2026 Performance-Based Restricted Stock Unit Award -</w:t>
              </w:r>
            </w:hyperlink>
          </w:p>
        </w:tc>
        <w:tc>
          <w:tcPr>
            <w:tcW w:w="1140" w:type="dxa"/>
            <w:vAlign w:val="bottom"/>
          </w:tcPr>
          <w:p>
            <w:pPr>
              <w:ind w:left="580"/>
              <w:spacing w:after="0"/>
              <w:rPr>
                <w:sz w:val="20"/>
                <w:szCs w:val="20"/>
                <w:color w:val="auto"/>
              </w:rPr>
            </w:pPr>
            <w:r>
              <w:rPr>
                <w:rFonts w:ascii="Times New Roman" w:cs="Times New Roman" w:eastAsia="Times New Roman" w:hAnsi="Times New Roman"/>
                <w:sz w:val="16"/>
                <w:szCs w:val="16"/>
                <w:color w:val="auto"/>
              </w:rPr>
              <w:t>10-K</w:t>
            </w:r>
          </w:p>
        </w:tc>
        <w:tc>
          <w:tcPr>
            <w:tcW w:w="7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10.2</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02/26/26</w:t>
            </w:r>
          </w:p>
        </w:tc>
      </w:tr>
      <w:tr>
        <w:trPr>
          <w:trHeight w:val="142"/>
        </w:trPr>
        <w:tc>
          <w:tcPr>
            <w:tcW w:w="420" w:type="dxa"/>
            <w:vAlign w:val="bottom"/>
          </w:tcPr>
          <w:p>
            <w:pPr>
              <w:spacing w:after="0"/>
              <w:rPr>
                <w:sz w:val="12"/>
                <w:szCs w:val="12"/>
                <w:color w:val="auto"/>
              </w:rPr>
            </w:pPr>
          </w:p>
        </w:tc>
        <w:tc>
          <w:tcPr>
            <w:tcW w:w="6860" w:type="dxa"/>
            <w:vAlign w:val="bottom"/>
            <w:tcBorders>
              <w:top w:val="single" w:sz="8" w:color="0000FF"/>
            </w:tcBorders>
            <w:gridSpan w:val="4"/>
          </w:tcPr>
          <w:p>
            <w:pPr>
              <w:spacing w:after="0" w:line="142" w:lineRule="exact"/>
              <w:rPr>
                <w:rFonts w:ascii="Times New Roman" w:cs="Times New Roman" w:eastAsia="Times New Roman" w:hAnsi="Times New Roman"/>
                <w:sz w:val="16"/>
                <w:szCs w:val="16"/>
                <w:color w:val="0000FF"/>
              </w:rPr>
            </w:pPr>
            <w:hyperlink r:id="rId290">
              <w:r>
                <w:rPr>
                  <w:rFonts w:ascii="Times New Roman" w:cs="Times New Roman" w:eastAsia="Times New Roman" w:hAnsi="Times New Roman"/>
                  <w:sz w:val="16"/>
                  <w:szCs w:val="16"/>
                  <w:color w:val="0000FF"/>
                </w:rPr>
                <w:t>EPS Growth Performance Measure.</w:t>
              </w:r>
            </w:hyperlink>
          </w:p>
        </w:tc>
        <w:tc>
          <w:tcPr>
            <w:tcW w:w="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60" w:type="dxa"/>
            <w:vAlign w:val="bottom"/>
          </w:tcPr>
          <w:p>
            <w:pPr>
              <w:spacing w:after="0"/>
              <w:rPr>
                <w:sz w:val="12"/>
                <w:szCs w:val="12"/>
                <w:color w:val="auto"/>
              </w:rPr>
            </w:pPr>
          </w:p>
        </w:tc>
      </w:tr>
      <w:tr>
        <w:trPr>
          <w:trHeight w:val="20"/>
        </w:trPr>
        <w:tc>
          <w:tcPr>
            <w:tcW w:w="420" w:type="dxa"/>
            <w:vAlign w:val="bottom"/>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1320" w:type="dxa"/>
            <w:vAlign w:val="bottom"/>
            <w:shd w:val="clear" w:color="auto" w:fill="0000FF"/>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156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r>
        <w:trPr>
          <w:trHeight w:val="358"/>
        </w:trPr>
        <w:tc>
          <w:tcPr>
            <w:tcW w:w="42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2"/>
              </w:rPr>
              <w:t>10.3</w:t>
            </w:r>
          </w:p>
        </w:tc>
        <w:tc>
          <w:tcPr>
            <w:tcW w:w="7500" w:type="dxa"/>
            <w:vAlign w:val="bottom"/>
            <w:gridSpan w:val="6"/>
          </w:tcPr>
          <w:p>
            <w:pPr>
              <w:spacing w:after="0"/>
              <w:rPr>
                <w:rFonts w:ascii="Times New Roman" w:cs="Times New Roman" w:eastAsia="Times New Roman" w:hAnsi="Times New Roman"/>
                <w:sz w:val="16"/>
                <w:szCs w:val="16"/>
                <w:color w:val="0000FF"/>
              </w:rPr>
            </w:pPr>
            <w:hyperlink r:id="rId291">
              <w:r>
                <w:rPr>
                  <w:rFonts w:ascii="Times New Roman" w:cs="Times New Roman" w:eastAsia="Times New Roman" w:hAnsi="Times New Roman"/>
                  <w:sz w:val="16"/>
                  <w:szCs w:val="16"/>
                  <w:color w:val="0000FF"/>
                </w:rPr>
                <w:t>Form of Sempra 2019 Long-Term Incentive Plan 2026 Performance-Based Restricted Stock Unit Award -</w:t>
              </w:r>
            </w:hyperlink>
          </w:p>
        </w:tc>
        <w:tc>
          <w:tcPr>
            <w:tcW w:w="1140" w:type="dxa"/>
            <w:vAlign w:val="bottom"/>
          </w:tcPr>
          <w:p>
            <w:pPr>
              <w:ind w:left="580"/>
              <w:spacing w:after="0"/>
              <w:rPr>
                <w:sz w:val="20"/>
                <w:szCs w:val="20"/>
                <w:color w:val="auto"/>
              </w:rPr>
            </w:pPr>
            <w:r>
              <w:rPr>
                <w:rFonts w:ascii="Times New Roman" w:cs="Times New Roman" w:eastAsia="Times New Roman" w:hAnsi="Times New Roman"/>
                <w:sz w:val="16"/>
                <w:szCs w:val="16"/>
                <w:color w:val="auto"/>
              </w:rPr>
              <w:t>10-K</w:t>
            </w:r>
          </w:p>
        </w:tc>
        <w:tc>
          <w:tcPr>
            <w:tcW w:w="7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10.3</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02/26/26</w:t>
            </w:r>
          </w:p>
        </w:tc>
      </w:tr>
      <w:tr>
        <w:trPr>
          <w:trHeight w:val="142"/>
        </w:trPr>
        <w:tc>
          <w:tcPr>
            <w:tcW w:w="420" w:type="dxa"/>
            <w:vAlign w:val="bottom"/>
          </w:tcPr>
          <w:p>
            <w:pPr>
              <w:spacing w:after="0"/>
              <w:rPr>
                <w:sz w:val="12"/>
                <w:szCs w:val="12"/>
                <w:color w:val="auto"/>
              </w:rPr>
            </w:pPr>
          </w:p>
        </w:tc>
        <w:tc>
          <w:tcPr>
            <w:tcW w:w="6860" w:type="dxa"/>
            <w:vAlign w:val="bottom"/>
            <w:tcBorders>
              <w:top w:val="single" w:sz="8" w:color="0000FF"/>
            </w:tcBorders>
            <w:gridSpan w:val="4"/>
          </w:tcPr>
          <w:p>
            <w:pPr>
              <w:spacing w:after="0" w:line="142" w:lineRule="exact"/>
              <w:rPr>
                <w:rFonts w:ascii="Times New Roman" w:cs="Times New Roman" w:eastAsia="Times New Roman" w:hAnsi="Times New Roman"/>
                <w:sz w:val="16"/>
                <w:szCs w:val="16"/>
                <w:color w:val="0000FF"/>
              </w:rPr>
            </w:pPr>
            <w:hyperlink r:id="rId291">
              <w:r>
                <w:rPr>
                  <w:rFonts w:ascii="Times New Roman" w:cs="Times New Roman" w:eastAsia="Times New Roman" w:hAnsi="Times New Roman"/>
                  <w:sz w:val="16"/>
                  <w:szCs w:val="16"/>
                  <w:color w:val="0000FF"/>
                </w:rPr>
                <w:t>Relative Total Shareholder Return Performance Measure-S&amp;P 500 Utilities Index.</w:t>
              </w:r>
            </w:hyperlink>
          </w:p>
        </w:tc>
        <w:tc>
          <w:tcPr>
            <w:tcW w:w="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60" w:type="dxa"/>
            <w:vAlign w:val="bottom"/>
          </w:tcPr>
          <w:p>
            <w:pPr>
              <w:spacing w:after="0"/>
              <w:rPr>
                <w:sz w:val="12"/>
                <w:szCs w:val="12"/>
                <w:color w:val="auto"/>
              </w:rPr>
            </w:pPr>
          </w:p>
        </w:tc>
      </w:tr>
      <w:tr>
        <w:trPr>
          <w:trHeight w:val="20"/>
        </w:trPr>
        <w:tc>
          <w:tcPr>
            <w:tcW w:w="420" w:type="dxa"/>
            <w:vAlign w:val="bottom"/>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4340" w:type="dxa"/>
            <w:vAlign w:val="bottom"/>
            <w:gridSpan w:val="2"/>
            <w:shd w:val="clear" w:color="auto" w:fill="0000FF"/>
          </w:tcPr>
          <w:p>
            <w:pPr>
              <w:spacing w:after="0" w:line="20" w:lineRule="exact"/>
              <w:rPr>
                <w:sz w:val="1"/>
                <w:szCs w:val="1"/>
                <w:color w:val="auto"/>
              </w:rPr>
            </w:pPr>
          </w:p>
        </w:tc>
        <w:tc>
          <w:tcPr>
            <w:tcW w:w="156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r>
        <w:trPr>
          <w:trHeight w:val="358"/>
        </w:trPr>
        <w:tc>
          <w:tcPr>
            <w:tcW w:w="42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2"/>
              </w:rPr>
              <w:t>10.4</w:t>
            </w:r>
          </w:p>
        </w:tc>
        <w:tc>
          <w:tcPr>
            <w:tcW w:w="7500" w:type="dxa"/>
            <w:vAlign w:val="bottom"/>
            <w:gridSpan w:val="6"/>
          </w:tcPr>
          <w:p>
            <w:pPr>
              <w:spacing w:after="0"/>
              <w:rPr>
                <w:rFonts w:ascii="Times New Roman" w:cs="Times New Roman" w:eastAsia="Times New Roman" w:hAnsi="Times New Roman"/>
                <w:sz w:val="16"/>
                <w:szCs w:val="16"/>
                <w:color w:val="0000FF"/>
              </w:rPr>
            </w:pPr>
            <w:hyperlink r:id="rId292">
              <w:r>
                <w:rPr>
                  <w:rFonts w:ascii="Times New Roman" w:cs="Times New Roman" w:eastAsia="Times New Roman" w:hAnsi="Times New Roman"/>
                  <w:sz w:val="16"/>
                  <w:szCs w:val="16"/>
                  <w:color w:val="0000FF"/>
                </w:rPr>
                <w:t>Severance Pay Agreement between Sempra and Robert J. Borthwick, signed March 20, 2023 and effective</w:t>
              </w:r>
            </w:hyperlink>
          </w:p>
        </w:tc>
        <w:tc>
          <w:tcPr>
            <w:tcW w:w="1140" w:type="dxa"/>
            <w:vAlign w:val="bottom"/>
          </w:tcPr>
          <w:p>
            <w:pPr>
              <w:ind w:left="580"/>
              <w:spacing w:after="0"/>
              <w:rPr>
                <w:sz w:val="20"/>
                <w:szCs w:val="20"/>
                <w:color w:val="auto"/>
              </w:rPr>
            </w:pPr>
            <w:r>
              <w:rPr>
                <w:rFonts w:ascii="Times New Roman" w:cs="Times New Roman" w:eastAsia="Times New Roman" w:hAnsi="Times New Roman"/>
                <w:sz w:val="16"/>
                <w:szCs w:val="16"/>
                <w:color w:val="auto"/>
              </w:rPr>
              <w:t>10-K</w:t>
            </w:r>
          </w:p>
        </w:tc>
        <w:tc>
          <w:tcPr>
            <w:tcW w:w="7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10.31</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02/26/26</w:t>
            </w:r>
          </w:p>
        </w:tc>
      </w:tr>
      <w:tr>
        <w:trPr>
          <w:trHeight w:val="142"/>
        </w:trPr>
        <w:tc>
          <w:tcPr>
            <w:tcW w:w="420" w:type="dxa"/>
            <w:vAlign w:val="bottom"/>
          </w:tcPr>
          <w:p>
            <w:pPr>
              <w:spacing w:after="0"/>
              <w:rPr>
                <w:sz w:val="12"/>
                <w:szCs w:val="12"/>
                <w:color w:val="auto"/>
              </w:rPr>
            </w:pPr>
          </w:p>
        </w:tc>
        <w:tc>
          <w:tcPr>
            <w:tcW w:w="1000" w:type="dxa"/>
            <w:vAlign w:val="bottom"/>
            <w:tcBorders>
              <w:top w:val="single" w:sz="8" w:color="0000FF"/>
              <w:bottom w:val="single" w:sz="8" w:color="0000FF"/>
            </w:tcBorders>
          </w:tcPr>
          <w:p>
            <w:pPr>
              <w:spacing w:after="0" w:line="142" w:lineRule="exact"/>
              <w:rPr>
                <w:rFonts w:ascii="Times New Roman" w:cs="Times New Roman" w:eastAsia="Times New Roman" w:hAnsi="Times New Roman"/>
                <w:sz w:val="16"/>
                <w:szCs w:val="16"/>
                <w:color w:val="0000FF"/>
              </w:rPr>
            </w:pPr>
            <w:hyperlink r:id="rId292">
              <w:r>
                <w:rPr>
                  <w:rFonts w:ascii="Times New Roman" w:cs="Times New Roman" w:eastAsia="Times New Roman" w:hAnsi="Times New Roman"/>
                  <w:sz w:val="16"/>
                  <w:szCs w:val="16"/>
                  <w:color w:val="0000FF"/>
                </w:rPr>
                <w:t>March 1, 2023.</w:t>
              </w:r>
            </w:hyperlink>
          </w:p>
        </w:tc>
        <w:tc>
          <w:tcPr>
            <w:tcW w:w="5900" w:type="dxa"/>
            <w:vAlign w:val="bottom"/>
            <w:tcBorders>
              <w:top w:val="single" w:sz="8" w:color="0000FF"/>
            </w:tcBorders>
            <w:gridSpan w:val="4"/>
          </w:tcPr>
          <w:p>
            <w:pPr>
              <w:spacing w:after="0"/>
              <w:rPr>
                <w:sz w:val="12"/>
                <w:szCs w:val="12"/>
                <w:color w:val="auto"/>
              </w:rPr>
            </w:pPr>
          </w:p>
        </w:tc>
        <w:tc>
          <w:tcPr>
            <w:tcW w:w="6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60" w:type="dxa"/>
            <w:vAlign w:val="bottom"/>
          </w:tcPr>
          <w:p>
            <w:pPr>
              <w:spacing w:after="0"/>
              <w:rPr>
                <w:sz w:val="12"/>
                <w:szCs w:val="12"/>
                <w:color w:val="auto"/>
              </w:rPr>
            </w:pPr>
          </w:p>
        </w:tc>
      </w:tr>
    </w:tbl>
    <w:p>
      <w:pPr>
        <w:spacing w:after="0" w:line="200" w:lineRule="exact"/>
        <w:rPr>
          <w:sz w:val="20"/>
          <w:szCs w:val="20"/>
          <w:color w:val="auto"/>
        </w:rPr>
      </w:pPr>
    </w:p>
    <w:p>
      <w:pPr>
        <w:spacing w:after="0" w:line="20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i w:val="1"/>
          <w:iCs w:val="1"/>
          <w:color w:val="auto"/>
        </w:rPr>
        <w:t>Sempra / San Diego Gas &amp; Electric Company</w:t>
      </w:r>
    </w:p>
    <w:p>
      <w:pPr>
        <w:spacing w:after="0" w:line="85" w:lineRule="exact"/>
        <w:rPr>
          <w:sz w:val="20"/>
          <w:szCs w:val="20"/>
          <w:color w:val="auto"/>
        </w:rPr>
      </w:pPr>
    </w:p>
    <w:tbl>
      <w:tblPr>
        <w:tblLayout w:type="fixed"/>
        <w:tblInd w:w="560" w:type="dxa"/>
        <w:tblCellMar>
          <w:top w:w="0" w:type="dxa"/>
          <w:left w:w="0" w:type="dxa"/>
          <w:bottom w:w="0" w:type="dxa"/>
          <w:right w:w="0" w:type="dxa"/>
        </w:tblCellMar>
      </w:tblPr>
      <w:tr>
        <w:trPr>
          <w:trHeight w:val="184"/>
        </w:trPr>
        <w:tc>
          <w:tcPr>
            <w:tcW w:w="7980" w:type="dxa"/>
            <w:vAlign w:val="bottom"/>
            <w:gridSpan w:val="4"/>
          </w:tcPr>
          <w:p>
            <w:pPr>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10.5  </w:t>
            </w:r>
            <w:hyperlink r:id="rId293">
              <w:r>
                <w:rPr>
                  <w:rFonts w:ascii="Times New Roman" w:cs="Times New Roman" w:eastAsia="Times New Roman" w:hAnsi="Times New Roman"/>
                  <w:sz w:val="16"/>
                  <w:szCs w:val="16"/>
                  <w:color w:val="0000FF"/>
                </w:rPr>
                <w:t>Severance Pay Agreement between Sempra and Maritza Mekitarian, signed February 12, 2026 and effective</w:t>
              </w:r>
            </w:hyperlink>
          </w:p>
        </w:tc>
        <w:tc>
          <w:tcPr>
            <w:tcW w:w="1080" w:type="dxa"/>
            <w:vAlign w:val="bottom"/>
          </w:tcPr>
          <w:p>
            <w:pPr>
              <w:ind w:left="520"/>
              <w:spacing w:after="0"/>
              <w:rPr>
                <w:sz w:val="20"/>
                <w:szCs w:val="20"/>
                <w:color w:val="auto"/>
              </w:rPr>
            </w:pPr>
            <w:r>
              <w:rPr>
                <w:rFonts w:ascii="Times New Roman" w:cs="Times New Roman" w:eastAsia="Times New Roman" w:hAnsi="Times New Roman"/>
                <w:sz w:val="16"/>
                <w:szCs w:val="16"/>
                <w:color w:val="auto"/>
              </w:rPr>
              <w:t>10-K</w:t>
            </w:r>
          </w:p>
        </w:tc>
        <w:tc>
          <w:tcPr>
            <w:tcW w:w="74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10.50</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02/26/26</w:t>
            </w:r>
          </w:p>
        </w:tc>
      </w:tr>
      <w:tr>
        <w:trPr>
          <w:trHeight w:val="142"/>
        </w:trPr>
        <w:tc>
          <w:tcPr>
            <w:tcW w:w="420" w:type="dxa"/>
            <w:vAlign w:val="bottom"/>
          </w:tcPr>
          <w:p>
            <w:pPr>
              <w:spacing w:after="0"/>
              <w:rPr>
                <w:sz w:val="12"/>
                <w:szCs w:val="12"/>
                <w:color w:val="auto"/>
              </w:rPr>
            </w:pPr>
          </w:p>
        </w:tc>
        <w:tc>
          <w:tcPr>
            <w:tcW w:w="7020" w:type="dxa"/>
            <w:vAlign w:val="bottom"/>
            <w:tcBorders>
              <w:top w:val="single" w:sz="8" w:color="0000FF"/>
            </w:tcBorders>
            <w:gridSpan w:val="2"/>
          </w:tcPr>
          <w:p>
            <w:pPr>
              <w:spacing w:after="0" w:line="142" w:lineRule="exact"/>
              <w:rPr>
                <w:rFonts w:ascii="Times New Roman" w:cs="Times New Roman" w:eastAsia="Times New Roman" w:hAnsi="Times New Roman"/>
                <w:sz w:val="16"/>
                <w:szCs w:val="16"/>
                <w:color w:val="0000FF"/>
              </w:rPr>
            </w:pPr>
            <w:hyperlink r:id="rId293">
              <w:r>
                <w:rPr>
                  <w:rFonts w:ascii="Times New Roman" w:cs="Times New Roman" w:eastAsia="Times New Roman" w:hAnsi="Times New Roman"/>
                  <w:sz w:val="16"/>
                  <w:szCs w:val="16"/>
                  <w:color w:val="0000FF"/>
                </w:rPr>
                <w:t>as of January 31, 2026.</w:t>
              </w:r>
            </w:hyperlink>
          </w:p>
        </w:tc>
        <w:tc>
          <w:tcPr>
            <w:tcW w:w="5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60" w:type="dxa"/>
            <w:vAlign w:val="bottom"/>
          </w:tcPr>
          <w:p>
            <w:pPr>
              <w:spacing w:after="0"/>
              <w:rPr>
                <w:sz w:val="12"/>
                <w:szCs w:val="12"/>
                <w:color w:val="auto"/>
              </w:rPr>
            </w:pPr>
          </w:p>
        </w:tc>
      </w:tr>
      <w:tr>
        <w:trPr>
          <w:trHeight w:val="20"/>
        </w:trPr>
        <w:tc>
          <w:tcPr>
            <w:tcW w:w="420" w:type="dxa"/>
            <w:vAlign w:val="bottom"/>
          </w:tcPr>
          <w:p>
            <w:pPr>
              <w:spacing w:after="0" w:line="20" w:lineRule="exact"/>
              <w:rPr>
                <w:sz w:val="1"/>
                <w:szCs w:val="1"/>
                <w:color w:val="auto"/>
              </w:rPr>
            </w:pPr>
          </w:p>
        </w:tc>
        <w:tc>
          <w:tcPr>
            <w:tcW w:w="1500" w:type="dxa"/>
            <w:vAlign w:val="bottom"/>
            <w:shd w:val="clear" w:color="auto" w:fill="0000FF"/>
          </w:tcPr>
          <w:p>
            <w:pPr>
              <w:spacing w:after="0" w:line="20" w:lineRule="exact"/>
              <w:rPr>
                <w:sz w:val="1"/>
                <w:szCs w:val="1"/>
                <w:color w:val="auto"/>
              </w:rPr>
            </w:pPr>
          </w:p>
        </w:tc>
        <w:tc>
          <w:tcPr>
            <w:tcW w:w="55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i w:val="1"/>
          <w:iCs w:val="1"/>
          <w:color w:val="auto"/>
        </w:rPr>
        <w:t>Sempra / Southern California Gas Company</w:t>
      </w:r>
    </w:p>
    <w:p>
      <w:pPr>
        <w:spacing w:after="0" w:line="94" w:lineRule="exact"/>
        <w:rPr>
          <w:sz w:val="20"/>
          <w:szCs w:val="20"/>
          <w:color w:val="auto"/>
        </w:rPr>
      </w:pPr>
    </w:p>
    <w:p>
      <w:pPr>
        <w:ind w:left="560"/>
        <w:spacing w:after="0"/>
        <w:tabs>
          <w:tab w:leader="none" w:pos="960" w:val="left"/>
          <w:tab w:leader="none" w:pos="8380" w:val="left"/>
        </w:tabs>
        <w:rPr>
          <w:sz w:val="20"/>
          <w:szCs w:val="20"/>
          <w:color w:val="auto"/>
        </w:rPr>
      </w:pPr>
      <w:r>
        <w:rPr>
          <w:rFonts w:ascii="Times New Roman" w:cs="Times New Roman" w:eastAsia="Times New Roman" w:hAnsi="Times New Roman"/>
          <w:sz w:val="16"/>
          <w:szCs w:val="16"/>
          <w:color w:val="auto"/>
        </w:rPr>
        <w:t>10.6</w:t>
      </w:r>
      <w:r>
        <w:rPr>
          <w:sz w:val="20"/>
          <w:szCs w:val="20"/>
          <w:color w:val="auto"/>
        </w:rPr>
        <w:tab/>
      </w:r>
      <w:r>
        <w:rPr>
          <w:rFonts w:ascii="Times New Roman" w:cs="Times New Roman" w:eastAsia="Times New Roman" w:hAnsi="Times New Roman"/>
          <w:sz w:val="16"/>
          <w:szCs w:val="16"/>
          <w:u w:val="single" w:color="auto"/>
          <w:color w:val="0000FF"/>
        </w:rPr>
        <w:t>Letter Agreement from Southern California Gas Company to Rodger R. Schwecke, dated April 8, 2026.</w:t>
      </w:r>
      <w:r>
        <w:rPr>
          <w:sz w:val="20"/>
          <w:szCs w:val="20"/>
          <w:color w:val="auto"/>
        </w:rPr>
        <w:tab/>
      </w:r>
      <w:r>
        <w:rPr>
          <w:rFonts w:ascii="Times New Roman" w:cs="Times New Roman" w:eastAsia="Times New Roman" w:hAnsi="Times New Roman"/>
          <w:sz w:val="16"/>
          <w:szCs w:val="16"/>
          <w:color w:val="auto"/>
        </w:rPr>
        <w:t>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80645</wp:posOffset>
            </wp:positionV>
            <wp:extent cx="7132320" cy="889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9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150495</wp:posOffset>
            </wp:positionV>
            <wp:extent cx="7157720" cy="4254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7" w:name="page118"/>
    <w:bookmarkEnd w:id="11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480060</wp:posOffset>
            </wp:positionV>
            <wp:extent cx="7132320" cy="15430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96">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FFFFFF"/>
        </w:rPr>
        <w:t>EXHIBIT INDEX (CONTINUED)</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180" w:type="dxa"/>
            <w:vAlign w:val="bottom"/>
            <w:vMerge w:val="restart"/>
          </w:tcPr>
          <w:p>
            <w:pPr>
              <w:ind w:left="220"/>
              <w:spacing w:after="0"/>
              <w:rPr>
                <w:sz w:val="20"/>
                <w:szCs w:val="20"/>
                <w:color w:val="auto"/>
              </w:rPr>
            </w:pPr>
            <w:r>
              <w:rPr>
                <w:rFonts w:ascii="Times New Roman" w:cs="Times New Roman" w:eastAsia="Times New Roman" w:hAnsi="Times New Roman"/>
                <w:sz w:val="14"/>
                <w:szCs w:val="14"/>
                <w:color w:val="auto"/>
              </w:rPr>
              <w:t>Exhibit</w:t>
            </w:r>
          </w:p>
        </w:tc>
        <w:tc>
          <w:tcPr>
            <w:tcW w:w="4060" w:type="dxa"/>
            <w:vAlign w:val="bottom"/>
          </w:tcPr>
          <w:p>
            <w:pPr>
              <w:jc w:val="center"/>
              <w:ind w:left="3028"/>
              <w:spacing w:after="0"/>
              <w:rPr>
                <w:sz w:val="20"/>
                <w:szCs w:val="20"/>
                <w:color w:val="auto"/>
              </w:rPr>
            </w:pPr>
            <w:r>
              <w:rPr>
                <w:rFonts w:ascii="Times New Roman" w:cs="Times New Roman" w:eastAsia="Times New Roman" w:hAnsi="Times New Roman"/>
                <w:sz w:val="14"/>
                <w:szCs w:val="14"/>
                <w:color w:val="auto"/>
              </w:rPr>
              <w:t>Filed or</w:t>
            </w:r>
          </w:p>
        </w:tc>
        <w:tc>
          <w:tcPr>
            <w:tcW w:w="0" w:type="dxa"/>
            <w:vAlign w:val="bottom"/>
          </w:tcPr>
          <w:p>
            <w:pPr>
              <w:spacing w:after="0"/>
              <w:rPr>
                <w:sz w:val="1"/>
                <w:szCs w:val="1"/>
                <w:color w:val="auto"/>
              </w:rPr>
            </w:pPr>
          </w:p>
        </w:tc>
      </w:tr>
      <w:tr>
        <w:trPr>
          <w:trHeight w:val="144"/>
        </w:trPr>
        <w:tc>
          <w:tcPr>
            <w:tcW w:w="7180" w:type="dxa"/>
            <w:vAlign w:val="bottom"/>
            <w:vMerge w:val="continue"/>
          </w:tcPr>
          <w:p>
            <w:pPr>
              <w:spacing w:after="0"/>
              <w:rPr>
                <w:sz w:val="12"/>
                <w:szCs w:val="12"/>
                <w:color w:val="auto"/>
              </w:rPr>
            </w:pPr>
          </w:p>
        </w:tc>
        <w:tc>
          <w:tcPr>
            <w:tcW w:w="4060" w:type="dxa"/>
            <w:vAlign w:val="bottom"/>
          </w:tcPr>
          <w:p>
            <w:pPr>
              <w:jc w:val="center"/>
              <w:ind w:left="3028"/>
              <w:spacing w:after="0" w:line="145" w:lineRule="exact"/>
              <w:rPr>
                <w:sz w:val="20"/>
                <w:szCs w:val="20"/>
                <w:color w:val="auto"/>
              </w:rPr>
            </w:pPr>
            <w:r>
              <w:rPr>
                <w:rFonts w:ascii="Times New Roman" w:cs="Times New Roman" w:eastAsia="Times New Roman" w:hAnsi="Times New Roman"/>
                <w:sz w:val="14"/>
                <w:szCs w:val="14"/>
                <w:color w:val="auto"/>
                <w:w w:val="99"/>
              </w:rPr>
              <w:t>Furnished</w:t>
            </w:r>
          </w:p>
        </w:tc>
        <w:tc>
          <w:tcPr>
            <w:tcW w:w="0" w:type="dxa"/>
            <w:vAlign w:val="bottom"/>
          </w:tcPr>
          <w:p>
            <w:pPr>
              <w:spacing w:after="0"/>
              <w:rPr>
                <w:sz w:val="1"/>
                <w:szCs w:val="1"/>
                <w:color w:val="auto"/>
              </w:rPr>
            </w:pPr>
          </w:p>
        </w:tc>
      </w:tr>
      <w:tr>
        <w:trPr>
          <w:trHeight w:val="198"/>
        </w:trPr>
        <w:tc>
          <w:tcPr>
            <w:tcW w:w="718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4"/>
                <w:szCs w:val="14"/>
                <w:color w:val="auto"/>
              </w:rPr>
              <w:t>NumberExhibit Description</w:t>
            </w:r>
          </w:p>
        </w:tc>
        <w:tc>
          <w:tcPr>
            <w:tcW w:w="4060" w:type="dxa"/>
            <w:vAlign w:val="bottom"/>
            <w:tcBorders>
              <w:bottom w:val="single" w:sz="8" w:color="auto"/>
            </w:tcBorders>
          </w:tcPr>
          <w:p>
            <w:pPr>
              <w:jc w:val="center"/>
              <w:ind w:left="3028"/>
              <w:spacing w:after="0"/>
              <w:rPr>
                <w:sz w:val="20"/>
                <w:szCs w:val="20"/>
                <w:color w:val="auto"/>
              </w:rPr>
            </w:pPr>
            <w:r>
              <w:rPr>
                <w:rFonts w:ascii="Times New Roman" w:cs="Times New Roman" w:eastAsia="Times New Roman" w:hAnsi="Times New Roman"/>
                <w:sz w:val="14"/>
                <w:szCs w:val="14"/>
                <w:color w:val="auto"/>
                <w:w w:val="99"/>
              </w:rPr>
              <w:t>Herewith</w:t>
            </w:r>
          </w:p>
        </w:tc>
        <w:tc>
          <w:tcPr>
            <w:tcW w:w="0" w:type="dxa"/>
            <w:vAlign w:val="bottom"/>
          </w:tcPr>
          <w:p>
            <w:pPr>
              <w:spacing w:after="0"/>
              <w:rPr>
                <w:sz w:val="1"/>
                <w:szCs w:val="1"/>
                <w:color w:val="auto"/>
              </w:rPr>
            </w:pPr>
          </w:p>
        </w:tc>
      </w:tr>
      <w:tr>
        <w:trPr>
          <w:trHeight w:val="388"/>
        </w:trPr>
        <w:tc>
          <w:tcPr>
            <w:tcW w:w="7180" w:type="dxa"/>
            <w:vAlign w:val="bottom"/>
          </w:tcPr>
          <w:p>
            <w:pPr>
              <w:ind w:left="20"/>
              <w:spacing w:after="0"/>
              <w:rPr>
                <w:sz w:val="20"/>
                <w:szCs w:val="20"/>
                <w:color w:val="auto"/>
              </w:rPr>
            </w:pPr>
            <w:r>
              <w:rPr>
                <w:rFonts w:ascii="Arial" w:cs="Arial" w:eastAsia="Arial" w:hAnsi="Arial"/>
                <w:sz w:val="18"/>
                <w:szCs w:val="18"/>
                <w:b w:val="1"/>
                <w:bCs w:val="1"/>
                <w:color w:val="auto"/>
              </w:rPr>
              <w:t>EXHIBIT 31 -- SECTION 302 CERTIFICATIONS</w:t>
            </w:r>
          </w:p>
        </w:tc>
        <w:tc>
          <w:tcPr>
            <w:tcW w:w="40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0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b w:val="1"/>
          <w:bCs w:val="1"/>
          <w:i w:val="1"/>
          <w:iCs w:val="1"/>
          <w:color w:val="auto"/>
        </w:rPr>
        <w:t>Sempra</w:t>
      </w:r>
    </w:p>
    <w:p>
      <w:pPr>
        <w:spacing w:after="0" w:line="85" w:lineRule="exact"/>
        <w:rPr>
          <w:sz w:val="20"/>
          <w:szCs w:val="20"/>
          <w:color w:val="auto"/>
        </w:rPr>
      </w:pPr>
    </w:p>
    <w:tbl>
      <w:tblPr>
        <w:tblLayout w:type="fixed"/>
        <w:tblInd w:w="560" w:type="dxa"/>
        <w:tblCellMar>
          <w:top w:w="0" w:type="dxa"/>
          <w:left w:w="0" w:type="dxa"/>
          <w:bottom w:w="0" w:type="dxa"/>
          <w:right w:w="0" w:type="dxa"/>
        </w:tblCellMar>
      </w:tblPr>
      <w:tr>
        <w:trPr>
          <w:trHeight w:val="184"/>
        </w:trPr>
        <w:tc>
          <w:tcPr>
            <w:tcW w:w="42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2"/>
              </w:rPr>
              <w:t>31.1</w:t>
            </w:r>
          </w:p>
        </w:tc>
        <w:tc>
          <w:tcPr>
            <w:tcW w:w="9120" w:type="dxa"/>
            <w:vAlign w:val="bottom"/>
            <w:gridSpan w:val="3"/>
          </w:tcPr>
          <w:p>
            <w:pPr>
              <w:spacing w:after="0"/>
              <w:rPr>
                <w:sz w:val="20"/>
                <w:szCs w:val="20"/>
                <w:color w:val="auto"/>
              </w:rPr>
            </w:pPr>
            <w:r>
              <w:rPr>
                <w:rFonts w:ascii="Times New Roman" w:cs="Times New Roman" w:eastAsia="Times New Roman" w:hAnsi="Times New Roman"/>
                <w:sz w:val="16"/>
                <w:szCs w:val="16"/>
                <w:color w:val="0000FF"/>
              </w:rPr>
              <w:t>Certification of Sempra’s Principal Executive Officer pursuant to Rules 13a-14 and 15d-14 of the Securities Exchange Act of 1934.</w:t>
            </w:r>
          </w:p>
        </w:tc>
        <w:tc>
          <w:tcPr>
            <w:tcW w:w="720" w:type="dxa"/>
            <w:vAlign w:val="bottom"/>
          </w:tcPr>
          <w:p>
            <w:pPr>
              <w:ind w:left="600"/>
              <w:spacing w:after="0"/>
              <w:rPr>
                <w:sz w:val="20"/>
                <w:szCs w:val="20"/>
                <w:color w:val="auto"/>
              </w:rPr>
            </w:pPr>
            <w:r>
              <w:rPr>
                <w:rFonts w:ascii="Times New Roman" w:cs="Times New Roman" w:eastAsia="Times New Roman" w:hAnsi="Times New Roman"/>
                <w:sz w:val="16"/>
                <w:szCs w:val="16"/>
                <w:color w:val="auto"/>
                <w:w w:val="86"/>
              </w:rPr>
              <w:t>X</w:t>
            </w:r>
          </w:p>
        </w:tc>
      </w:tr>
      <w:tr>
        <w:trPr>
          <w:trHeight w:val="358"/>
        </w:trPr>
        <w:tc>
          <w:tcPr>
            <w:tcW w:w="42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2"/>
              </w:rPr>
              <w:t>31.2</w:t>
            </w:r>
          </w:p>
        </w:tc>
        <w:tc>
          <w:tcPr>
            <w:tcW w:w="8520" w:type="dxa"/>
            <w:vAlign w:val="bottom"/>
            <w:tcBorders>
              <w:top w:val="single" w:sz="8" w:color="0000FF"/>
            </w:tcBorders>
            <w:gridSpan w:val="2"/>
          </w:tcPr>
          <w:p>
            <w:pPr>
              <w:spacing w:after="0"/>
              <w:rPr>
                <w:sz w:val="20"/>
                <w:szCs w:val="20"/>
                <w:color w:val="auto"/>
              </w:rPr>
            </w:pPr>
            <w:r>
              <w:rPr>
                <w:rFonts w:ascii="Times New Roman" w:cs="Times New Roman" w:eastAsia="Times New Roman" w:hAnsi="Times New Roman"/>
                <w:sz w:val="16"/>
                <w:szCs w:val="16"/>
                <w:color w:val="0000FF"/>
              </w:rPr>
              <w:t>Certification of Sempra’s Principal Financial Officer pursuant to Rules 13a-14 and 15d-14 of the Securities Exchange Act of 1934.</w:t>
            </w:r>
          </w:p>
        </w:tc>
        <w:tc>
          <w:tcPr>
            <w:tcW w:w="600" w:type="dxa"/>
            <w:vAlign w:val="bottom"/>
          </w:tcPr>
          <w:p>
            <w:pPr>
              <w:spacing w:after="0"/>
              <w:rPr>
                <w:sz w:val="24"/>
                <w:szCs w:val="24"/>
                <w:color w:val="auto"/>
              </w:rPr>
            </w:pPr>
          </w:p>
        </w:tc>
        <w:tc>
          <w:tcPr>
            <w:tcW w:w="720" w:type="dxa"/>
            <w:vAlign w:val="bottom"/>
          </w:tcPr>
          <w:p>
            <w:pPr>
              <w:ind w:left="600"/>
              <w:spacing w:after="0"/>
              <w:rPr>
                <w:sz w:val="20"/>
                <w:szCs w:val="20"/>
                <w:color w:val="auto"/>
              </w:rPr>
            </w:pPr>
            <w:r>
              <w:rPr>
                <w:rFonts w:ascii="Times New Roman" w:cs="Times New Roman" w:eastAsia="Times New Roman" w:hAnsi="Times New Roman"/>
                <w:sz w:val="16"/>
                <w:szCs w:val="16"/>
                <w:color w:val="auto"/>
                <w:w w:val="86"/>
              </w:rPr>
              <w:t>X</w:t>
            </w:r>
          </w:p>
        </w:tc>
      </w:tr>
      <w:tr>
        <w:trPr>
          <w:trHeight w:val="20"/>
        </w:trPr>
        <w:tc>
          <w:tcPr>
            <w:tcW w:w="420" w:type="dxa"/>
            <w:vAlign w:val="bottom"/>
          </w:tcPr>
          <w:p>
            <w:pPr>
              <w:spacing w:after="0" w:line="20" w:lineRule="exact"/>
              <w:rPr>
                <w:sz w:val="1"/>
                <w:szCs w:val="1"/>
                <w:color w:val="auto"/>
              </w:rPr>
            </w:pPr>
          </w:p>
        </w:tc>
        <w:tc>
          <w:tcPr>
            <w:tcW w:w="84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b w:val="1"/>
          <w:bCs w:val="1"/>
          <w:i w:val="1"/>
          <w:iCs w:val="1"/>
          <w:color w:val="auto"/>
        </w:rPr>
        <w:t>San Diego Gas &amp; Electric Company</w:t>
      </w:r>
    </w:p>
    <w:p>
      <w:pPr>
        <w:spacing w:after="0" w:line="85" w:lineRule="exact"/>
        <w:rPr>
          <w:sz w:val="20"/>
          <w:szCs w:val="20"/>
          <w:color w:val="auto"/>
        </w:rPr>
      </w:pPr>
    </w:p>
    <w:tbl>
      <w:tblPr>
        <w:tblLayout w:type="fixed"/>
        <w:tblInd w:w="560" w:type="dxa"/>
        <w:tblCellMar>
          <w:top w:w="0" w:type="dxa"/>
          <w:left w:w="0" w:type="dxa"/>
          <w:bottom w:w="0" w:type="dxa"/>
          <w:right w:w="0" w:type="dxa"/>
        </w:tblCellMar>
      </w:tblPr>
      <w:tr>
        <w:trPr>
          <w:trHeight w:val="184"/>
        </w:trPr>
        <w:tc>
          <w:tcPr>
            <w:tcW w:w="42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2"/>
              </w:rPr>
              <w:t>31.3</w:t>
            </w:r>
          </w:p>
        </w:tc>
        <w:tc>
          <w:tcPr>
            <w:tcW w:w="9280" w:type="dxa"/>
            <w:vAlign w:val="bottom"/>
            <w:gridSpan w:val="4"/>
          </w:tcPr>
          <w:p>
            <w:pPr>
              <w:spacing w:after="0"/>
              <w:rPr>
                <w:sz w:val="20"/>
                <w:szCs w:val="20"/>
                <w:color w:val="auto"/>
              </w:rPr>
            </w:pPr>
            <w:r>
              <w:rPr>
                <w:rFonts w:ascii="Times New Roman" w:cs="Times New Roman" w:eastAsia="Times New Roman" w:hAnsi="Times New Roman"/>
                <w:sz w:val="16"/>
                <w:szCs w:val="16"/>
                <w:color w:val="0000FF"/>
              </w:rPr>
              <w:t>Certification of San Diego Gas &amp; Electric Company’s Principal Executive Officer pursuant to Rules 13a-14 and 15d-14 of the Securities</w:t>
            </w:r>
          </w:p>
        </w:tc>
        <w:tc>
          <w:tcPr>
            <w:tcW w:w="560" w:type="dxa"/>
            <w:vAlign w:val="bottom"/>
            <w:vMerge w:val="restart"/>
          </w:tcPr>
          <w:p>
            <w:pPr>
              <w:ind w:left="440"/>
              <w:spacing w:after="0"/>
              <w:rPr>
                <w:sz w:val="20"/>
                <w:szCs w:val="20"/>
                <w:color w:val="auto"/>
              </w:rPr>
            </w:pPr>
            <w:r>
              <w:rPr>
                <w:rFonts w:ascii="Times New Roman" w:cs="Times New Roman" w:eastAsia="Times New Roman" w:hAnsi="Times New Roman"/>
                <w:sz w:val="16"/>
                <w:szCs w:val="16"/>
                <w:color w:val="auto"/>
                <w:w w:val="86"/>
              </w:rPr>
              <w:t>X</w:t>
            </w:r>
          </w:p>
        </w:tc>
        <w:tc>
          <w:tcPr>
            <w:tcW w:w="0" w:type="dxa"/>
            <w:vAlign w:val="bottom"/>
          </w:tcPr>
          <w:p>
            <w:pPr>
              <w:spacing w:after="0"/>
              <w:rPr>
                <w:sz w:val="1"/>
                <w:szCs w:val="1"/>
                <w:color w:val="auto"/>
              </w:rPr>
            </w:pPr>
          </w:p>
        </w:tc>
      </w:tr>
      <w:tr>
        <w:trPr>
          <w:trHeight w:val="142"/>
        </w:trPr>
        <w:tc>
          <w:tcPr>
            <w:tcW w:w="420" w:type="dxa"/>
            <w:vAlign w:val="bottom"/>
          </w:tcPr>
          <w:p>
            <w:pPr>
              <w:spacing w:after="0"/>
              <w:rPr>
                <w:sz w:val="12"/>
                <w:szCs w:val="12"/>
                <w:color w:val="auto"/>
              </w:rPr>
            </w:pPr>
          </w:p>
        </w:tc>
        <w:tc>
          <w:tcPr>
            <w:tcW w:w="1500" w:type="dxa"/>
            <w:vAlign w:val="bottom"/>
            <w:tcBorders>
              <w:top w:val="single" w:sz="8" w:color="0000FF"/>
              <w:bottom w:val="single" w:sz="8" w:color="0000FF"/>
            </w:tcBorders>
          </w:tcPr>
          <w:p>
            <w:pPr>
              <w:spacing w:after="0" w:line="142" w:lineRule="exact"/>
              <w:rPr>
                <w:sz w:val="20"/>
                <w:szCs w:val="20"/>
                <w:color w:val="auto"/>
              </w:rPr>
            </w:pPr>
            <w:r>
              <w:rPr>
                <w:rFonts w:ascii="Times New Roman" w:cs="Times New Roman" w:eastAsia="Times New Roman" w:hAnsi="Times New Roman"/>
                <w:sz w:val="16"/>
                <w:szCs w:val="16"/>
                <w:color w:val="0000FF"/>
              </w:rPr>
              <w:t>Exchange Act of 1934.</w:t>
            </w:r>
          </w:p>
        </w:tc>
        <w:tc>
          <w:tcPr>
            <w:tcW w:w="7360" w:type="dxa"/>
            <w:vAlign w:val="bottom"/>
            <w:tcBorders>
              <w:top w:val="single" w:sz="8" w:color="0000FF"/>
            </w:tcBorders>
            <w:gridSpan w:val="2"/>
          </w:tcPr>
          <w:p>
            <w:pPr>
              <w:spacing w:after="0"/>
              <w:rPr>
                <w:sz w:val="12"/>
                <w:szCs w:val="12"/>
                <w:color w:val="auto"/>
              </w:rPr>
            </w:pPr>
          </w:p>
        </w:tc>
        <w:tc>
          <w:tcPr>
            <w:tcW w:w="420" w:type="dxa"/>
            <w:vAlign w:val="bottom"/>
          </w:tcPr>
          <w:p>
            <w:pPr>
              <w:spacing w:after="0"/>
              <w:rPr>
                <w:sz w:val="12"/>
                <w:szCs w:val="12"/>
                <w:color w:val="auto"/>
              </w:rPr>
            </w:pPr>
          </w:p>
        </w:tc>
        <w:tc>
          <w:tcPr>
            <w:tcW w:w="5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358"/>
        </w:trPr>
        <w:tc>
          <w:tcPr>
            <w:tcW w:w="42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2"/>
              </w:rPr>
              <w:t>31.4</w:t>
            </w:r>
          </w:p>
        </w:tc>
        <w:tc>
          <w:tcPr>
            <w:tcW w:w="9280" w:type="dxa"/>
            <w:vAlign w:val="bottom"/>
            <w:gridSpan w:val="4"/>
          </w:tcPr>
          <w:p>
            <w:pPr>
              <w:spacing w:after="0"/>
              <w:rPr>
                <w:sz w:val="20"/>
                <w:szCs w:val="20"/>
                <w:color w:val="auto"/>
              </w:rPr>
            </w:pPr>
            <w:r>
              <w:rPr>
                <w:rFonts w:ascii="Times New Roman" w:cs="Times New Roman" w:eastAsia="Times New Roman" w:hAnsi="Times New Roman"/>
                <w:sz w:val="16"/>
                <w:szCs w:val="16"/>
                <w:color w:val="0000FF"/>
              </w:rPr>
              <w:t>Certification of San Diego Gas &amp; Electric Company’s Principal Financial Officer pursuant to Rules 13a-14 and 15d-14 of the Securities</w:t>
            </w:r>
          </w:p>
        </w:tc>
        <w:tc>
          <w:tcPr>
            <w:tcW w:w="560" w:type="dxa"/>
            <w:vAlign w:val="bottom"/>
            <w:vMerge w:val="restart"/>
          </w:tcPr>
          <w:p>
            <w:pPr>
              <w:ind w:left="440"/>
              <w:spacing w:after="0"/>
              <w:rPr>
                <w:sz w:val="20"/>
                <w:szCs w:val="20"/>
                <w:color w:val="auto"/>
              </w:rPr>
            </w:pPr>
            <w:r>
              <w:rPr>
                <w:rFonts w:ascii="Times New Roman" w:cs="Times New Roman" w:eastAsia="Times New Roman" w:hAnsi="Times New Roman"/>
                <w:sz w:val="16"/>
                <w:szCs w:val="16"/>
                <w:color w:val="auto"/>
                <w:w w:val="86"/>
              </w:rPr>
              <w:t>X</w:t>
            </w:r>
          </w:p>
        </w:tc>
        <w:tc>
          <w:tcPr>
            <w:tcW w:w="0" w:type="dxa"/>
            <w:vAlign w:val="bottom"/>
          </w:tcPr>
          <w:p>
            <w:pPr>
              <w:spacing w:after="0"/>
              <w:rPr>
                <w:sz w:val="1"/>
                <w:szCs w:val="1"/>
                <w:color w:val="auto"/>
              </w:rPr>
            </w:pPr>
          </w:p>
        </w:tc>
      </w:tr>
      <w:tr>
        <w:trPr>
          <w:trHeight w:val="142"/>
        </w:trPr>
        <w:tc>
          <w:tcPr>
            <w:tcW w:w="420" w:type="dxa"/>
            <w:vAlign w:val="bottom"/>
          </w:tcPr>
          <w:p>
            <w:pPr>
              <w:spacing w:after="0"/>
              <w:rPr>
                <w:sz w:val="12"/>
                <w:szCs w:val="12"/>
                <w:color w:val="auto"/>
              </w:rPr>
            </w:pPr>
          </w:p>
        </w:tc>
        <w:tc>
          <w:tcPr>
            <w:tcW w:w="1500" w:type="dxa"/>
            <w:vAlign w:val="bottom"/>
            <w:tcBorders>
              <w:top w:val="single" w:sz="8" w:color="0000FF"/>
              <w:bottom w:val="single" w:sz="8" w:color="0000FF"/>
            </w:tcBorders>
          </w:tcPr>
          <w:p>
            <w:pPr>
              <w:spacing w:after="0" w:line="142" w:lineRule="exact"/>
              <w:rPr>
                <w:sz w:val="20"/>
                <w:szCs w:val="20"/>
                <w:color w:val="auto"/>
              </w:rPr>
            </w:pPr>
            <w:r>
              <w:rPr>
                <w:rFonts w:ascii="Times New Roman" w:cs="Times New Roman" w:eastAsia="Times New Roman" w:hAnsi="Times New Roman"/>
                <w:sz w:val="16"/>
                <w:szCs w:val="16"/>
                <w:color w:val="0000FF"/>
              </w:rPr>
              <w:t>Exchange Act of 1934.</w:t>
            </w:r>
          </w:p>
        </w:tc>
        <w:tc>
          <w:tcPr>
            <w:tcW w:w="7300" w:type="dxa"/>
            <w:vAlign w:val="bottom"/>
            <w:tcBorders>
              <w:top w:val="single" w:sz="8" w:color="0000FF"/>
            </w:tcBorders>
          </w:tcPr>
          <w:p>
            <w:pPr>
              <w:spacing w:after="0"/>
              <w:rPr>
                <w:sz w:val="12"/>
                <w:szCs w:val="12"/>
                <w:color w:val="auto"/>
              </w:rPr>
            </w:pPr>
          </w:p>
        </w:tc>
        <w:tc>
          <w:tcPr>
            <w:tcW w:w="480" w:type="dxa"/>
            <w:vAlign w:val="bottom"/>
            <w:gridSpan w:val="2"/>
          </w:tcPr>
          <w:p>
            <w:pPr>
              <w:spacing w:after="0"/>
              <w:rPr>
                <w:sz w:val="12"/>
                <w:szCs w:val="12"/>
                <w:color w:val="auto"/>
              </w:rPr>
            </w:pPr>
          </w:p>
        </w:tc>
        <w:tc>
          <w:tcPr>
            <w:tcW w:w="5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b w:val="1"/>
          <w:bCs w:val="1"/>
          <w:i w:val="1"/>
          <w:iCs w:val="1"/>
          <w:color w:val="auto"/>
        </w:rPr>
        <w:t>Southern California Gas Company</w:t>
      </w:r>
    </w:p>
    <w:p>
      <w:pPr>
        <w:spacing w:after="0" w:line="85"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960" w:type="dxa"/>
            <w:vAlign w:val="bottom"/>
          </w:tcPr>
          <w:p>
            <w:pPr>
              <w:jc w:val="right"/>
              <w:ind w:right="56"/>
              <w:spacing w:after="0"/>
              <w:rPr>
                <w:sz w:val="20"/>
                <w:szCs w:val="20"/>
                <w:color w:val="auto"/>
              </w:rPr>
            </w:pPr>
            <w:r>
              <w:rPr>
                <w:rFonts w:ascii="Times New Roman" w:cs="Times New Roman" w:eastAsia="Times New Roman" w:hAnsi="Times New Roman"/>
                <w:sz w:val="16"/>
                <w:szCs w:val="16"/>
                <w:color w:val="auto"/>
              </w:rPr>
              <w:t>31.5</w:t>
            </w:r>
          </w:p>
        </w:tc>
        <w:tc>
          <w:tcPr>
            <w:tcW w:w="9240" w:type="dxa"/>
            <w:vAlign w:val="bottom"/>
            <w:gridSpan w:val="4"/>
          </w:tcPr>
          <w:p>
            <w:pPr>
              <w:spacing w:after="0"/>
              <w:rPr>
                <w:sz w:val="20"/>
                <w:szCs w:val="20"/>
                <w:color w:val="auto"/>
              </w:rPr>
            </w:pPr>
            <w:r>
              <w:rPr>
                <w:rFonts w:ascii="Times New Roman" w:cs="Times New Roman" w:eastAsia="Times New Roman" w:hAnsi="Times New Roman"/>
                <w:sz w:val="16"/>
                <w:szCs w:val="16"/>
                <w:color w:val="0000FF"/>
              </w:rPr>
              <w:t>Certification of Southern California Gas Company’s Principal Executive Officer pursuant to Rules 13a-14 and 15d-14 of the Securities</w:t>
            </w:r>
          </w:p>
        </w:tc>
        <w:tc>
          <w:tcPr>
            <w:tcW w:w="600" w:type="dxa"/>
            <w:vAlign w:val="bottom"/>
            <w:vMerge w:val="restart"/>
          </w:tcPr>
          <w:p>
            <w:pPr>
              <w:ind w:left="480"/>
              <w:spacing w:after="0"/>
              <w:rPr>
                <w:sz w:val="20"/>
                <w:szCs w:val="20"/>
                <w:color w:val="auto"/>
              </w:rPr>
            </w:pPr>
            <w:r>
              <w:rPr>
                <w:rFonts w:ascii="Times New Roman" w:cs="Times New Roman" w:eastAsia="Times New Roman" w:hAnsi="Times New Roman"/>
                <w:sz w:val="16"/>
                <w:szCs w:val="16"/>
                <w:color w:val="auto"/>
                <w:w w:val="86"/>
              </w:rPr>
              <w:t>X</w:t>
            </w:r>
          </w:p>
        </w:tc>
        <w:tc>
          <w:tcPr>
            <w:tcW w:w="0" w:type="dxa"/>
            <w:vAlign w:val="bottom"/>
          </w:tcPr>
          <w:p>
            <w:pPr>
              <w:spacing w:after="0"/>
              <w:rPr>
                <w:sz w:val="1"/>
                <w:szCs w:val="1"/>
                <w:color w:val="auto"/>
              </w:rPr>
            </w:pPr>
          </w:p>
        </w:tc>
      </w:tr>
      <w:tr>
        <w:trPr>
          <w:trHeight w:val="142"/>
        </w:trPr>
        <w:tc>
          <w:tcPr>
            <w:tcW w:w="960" w:type="dxa"/>
            <w:vAlign w:val="bottom"/>
          </w:tcPr>
          <w:p>
            <w:pPr>
              <w:spacing w:after="0"/>
              <w:rPr>
                <w:sz w:val="12"/>
                <w:szCs w:val="12"/>
                <w:color w:val="auto"/>
              </w:rPr>
            </w:pPr>
          </w:p>
        </w:tc>
        <w:tc>
          <w:tcPr>
            <w:tcW w:w="1500" w:type="dxa"/>
            <w:vAlign w:val="bottom"/>
            <w:tcBorders>
              <w:top w:val="single" w:sz="8" w:color="0000FF"/>
              <w:bottom w:val="single" w:sz="8" w:color="0000FF"/>
            </w:tcBorders>
          </w:tcPr>
          <w:p>
            <w:pPr>
              <w:spacing w:after="0" w:line="142" w:lineRule="exact"/>
              <w:rPr>
                <w:sz w:val="20"/>
                <w:szCs w:val="20"/>
                <w:color w:val="auto"/>
              </w:rPr>
            </w:pPr>
            <w:r>
              <w:rPr>
                <w:rFonts w:ascii="Times New Roman" w:cs="Times New Roman" w:eastAsia="Times New Roman" w:hAnsi="Times New Roman"/>
                <w:sz w:val="16"/>
                <w:szCs w:val="16"/>
                <w:color w:val="0000FF"/>
              </w:rPr>
              <w:t>Exchange Act of 1934.</w:t>
            </w:r>
          </w:p>
        </w:tc>
        <w:tc>
          <w:tcPr>
            <w:tcW w:w="7240" w:type="dxa"/>
            <w:vAlign w:val="bottom"/>
            <w:tcBorders>
              <w:top w:val="single" w:sz="8" w:color="0000FF"/>
            </w:tcBorders>
            <w:gridSpan w:val="2"/>
          </w:tcPr>
          <w:p>
            <w:pPr>
              <w:spacing w:after="0"/>
              <w:rPr>
                <w:sz w:val="12"/>
                <w:szCs w:val="12"/>
                <w:color w:val="auto"/>
              </w:rPr>
            </w:pPr>
          </w:p>
        </w:tc>
        <w:tc>
          <w:tcPr>
            <w:tcW w:w="500" w:type="dxa"/>
            <w:vAlign w:val="bottom"/>
          </w:tcPr>
          <w:p>
            <w:pPr>
              <w:spacing w:after="0"/>
              <w:rPr>
                <w:sz w:val="12"/>
                <w:szCs w:val="12"/>
                <w:color w:val="auto"/>
              </w:rPr>
            </w:pPr>
          </w:p>
        </w:tc>
        <w:tc>
          <w:tcPr>
            <w:tcW w:w="6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358"/>
        </w:trPr>
        <w:tc>
          <w:tcPr>
            <w:tcW w:w="960" w:type="dxa"/>
            <w:vAlign w:val="bottom"/>
          </w:tcPr>
          <w:p>
            <w:pPr>
              <w:jc w:val="right"/>
              <w:ind w:right="56"/>
              <w:spacing w:after="0"/>
              <w:rPr>
                <w:sz w:val="20"/>
                <w:szCs w:val="20"/>
                <w:color w:val="auto"/>
              </w:rPr>
            </w:pPr>
            <w:r>
              <w:rPr>
                <w:rFonts w:ascii="Times New Roman" w:cs="Times New Roman" w:eastAsia="Times New Roman" w:hAnsi="Times New Roman"/>
                <w:sz w:val="16"/>
                <w:szCs w:val="16"/>
                <w:color w:val="auto"/>
              </w:rPr>
              <w:t>31.6</w:t>
            </w:r>
          </w:p>
        </w:tc>
        <w:tc>
          <w:tcPr>
            <w:tcW w:w="9240" w:type="dxa"/>
            <w:vAlign w:val="bottom"/>
            <w:gridSpan w:val="4"/>
          </w:tcPr>
          <w:p>
            <w:pPr>
              <w:spacing w:after="0"/>
              <w:rPr>
                <w:sz w:val="20"/>
                <w:szCs w:val="20"/>
                <w:color w:val="auto"/>
              </w:rPr>
            </w:pPr>
            <w:r>
              <w:rPr>
                <w:rFonts w:ascii="Times New Roman" w:cs="Times New Roman" w:eastAsia="Times New Roman" w:hAnsi="Times New Roman"/>
                <w:sz w:val="16"/>
                <w:szCs w:val="16"/>
                <w:color w:val="0000FF"/>
              </w:rPr>
              <w:t>Certification of Southern California Gas Company’s Principal Financial Officer pursuant to Rules 13a-14 and 15d-14 of the Securities</w:t>
            </w:r>
          </w:p>
        </w:tc>
        <w:tc>
          <w:tcPr>
            <w:tcW w:w="600" w:type="dxa"/>
            <w:vAlign w:val="bottom"/>
            <w:vMerge w:val="restart"/>
          </w:tcPr>
          <w:p>
            <w:pPr>
              <w:ind w:left="480"/>
              <w:spacing w:after="0"/>
              <w:rPr>
                <w:sz w:val="20"/>
                <w:szCs w:val="20"/>
                <w:color w:val="auto"/>
              </w:rPr>
            </w:pPr>
            <w:r>
              <w:rPr>
                <w:rFonts w:ascii="Times New Roman" w:cs="Times New Roman" w:eastAsia="Times New Roman" w:hAnsi="Times New Roman"/>
                <w:sz w:val="16"/>
                <w:szCs w:val="16"/>
                <w:color w:val="auto"/>
                <w:w w:val="86"/>
              </w:rPr>
              <w:t>X</w:t>
            </w:r>
          </w:p>
        </w:tc>
        <w:tc>
          <w:tcPr>
            <w:tcW w:w="0" w:type="dxa"/>
            <w:vAlign w:val="bottom"/>
          </w:tcPr>
          <w:p>
            <w:pPr>
              <w:spacing w:after="0"/>
              <w:rPr>
                <w:sz w:val="1"/>
                <w:szCs w:val="1"/>
                <w:color w:val="auto"/>
              </w:rPr>
            </w:pPr>
          </w:p>
        </w:tc>
      </w:tr>
      <w:tr>
        <w:trPr>
          <w:trHeight w:val="142"/>
        </w:trPr>
        <w:tc>
          <w:tcPr>
            <w:tcW w:w="960" w:type="dxa"/>
            <w:vAlign w:val="bottom"/>
          </w:tcPr>
          <w:p>
            <w:pPr>
              <w:spacing w:after="0"/>
              <w:rPr>
                <w:sz w:val="12"/>
                <w:szCs w:val="12"/>
                <w:color w:val="auto"/>
              </w:rPr>
            </w:pPr>
          </w:p>
        </w:tc>
        <w:tc>
          <w:tcPr>
            <w:tcW w:w="1500" w:type="dxa"/>
            <w:vAlign w:val="bottom"/>
            <w:tcBorders>
              <w:top w:val="single" w:sz="8" w:color="0000FF"/>
              <w:bottom w:val="single" w:sz="8" w:color="0000FF"/>
            </w:tcBorders>
          </w:tcPr>
          <w:p>
            <w:pPr>
              <w:spacing w:after="0" w:line="142" w:lineRule="exact"/>
              <w:rPr>
                <w:sz w:val="20"/>
                <w:szCs w:val="20"/>
                <w:color w:val="auto"/>
              </w:rPr>
            </w:pPr>
            <w:r>
              <w:rPr>
                <w:rFonts w:ascii="Times New Roman" w:cs="Times New Roman" w:eastAsia="Times New Roman" w:hAnsi="Times New Roman"/>
                <w:sz w:val="16"/>
                <w:szCs w:val="16"/>
                <w:color w:val="0000FF"/>
              </w:rPr>
              <w:t>Exchange Act of 1934.</w:t>
            </w:r>
          </w:p>
        </w:tc>
        <w:tc>
          <w:tcPr>
            <w:tcW w:w="7200" w:type="dxa"/>
            <w:vAlign w:val="bottom"/>
            <w:tcBorders>
              <w:top w:val="single" w:sz="8" w:color="0000FF"/>
            </w:tcBorders>
          </w:tcPr>
          <w:p>
            <w:pPr>
              <w:spacing w:after="0"/>
              <w:rPr>
                <w:sz w:val="12"/>
                <w:szCs w:val="12"/>
                <w:color w:val="auto"/>
              </w:rPr>
            </w:pPr>
          </w:p>
        </w:tc>
        <w:tc>
          <w:tcPr>
            <w:tcW w:w="540" w:type="dxa"/>
            <w:vAlign w:val="bottom"/>
            <w:gridSpan w:val="2"/>
          </w:tcPr>
          <w:p>
            <w:pPr>
              <w:spacing w:after="0"/>
              <w:rPr>
                <w:sz w:val="12"/>
                <w:szCs w:val="12"/>
                <w:color w:val="auto"/>
              </w:rPr>
            </w:pPr>
          </w:p>
        </w:tc>
        <w:tc>
          <w:tcPr>
            <w:tcW w:w="6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424"/>
        </w:trPr>
        <w:tc>
          <w:tcPr>
            <w:tcW w:w="10200" w:type="dxa"/>
            <w:vAlign w:val="bottom"/>
            <w:gridSpan w:val="5"/>
          </w:tcPr>
          <w:p>
            <w:pPr>
              <w:spacing w:after="0"/>
              <w:rPr>
                <w:sz w:val="20"/>
                <w:szCs w:val="20"/>
                <w:color w:val="auto"/>
              </w:rPr>
            </w:pPr>
            <w:r>
              <w:rPr>
                <w:rFonts w:ascii="Arial" w:cs="Arial" w:eastAsia="Arial" w:hAnsi="Arial"/>
                <w:sz w:val="18"/>
                <w:szCs w:val="18"/>
                <w:b w:val="1"/>
                <w:bCs w:val="1"/>
                <w:color w:val="auto"/>
              </w:rPr>
              <w:t>EXHIBIT 32 -- SECTION 906 CERTIFICATIONS</w:t>
            </w: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0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b w:val="1"/>
          <w:bCs w:val="1"/>
          <w:i w:val="1"/>
          <w:iCs w:val="1"/>
          <w:color w:val="auto"/>
        </w:rPr>
        <w:t>Sempra</w:t>
      </w:r>
    </w:p>
    <w:p>
      <w:pPr>
        <w:spacing w:after="0" w:line="85" w:lineRule="exact"/>
        <w:rPr>
          <w:sz w:val="20"/>
          <w:szCs w:val="20"/>
          <w:color w:val="auto"/>
        </w:rPr>
      </w:pPr>
    </w:p>
    <w:tbl>
      <w:tblPr>
        <w:tblLayout w:type="fixed"/>
        <w:tblInd w:w="560" w:type="dxa"/>
        <w:tblCellMar>
          <w:top w:w="0" w:type="dxa"/>
          <w:left w:w="0" w:type="dxa"/>
          <w:bottom w:w="0" w:type="dxa"/>
          <w:right w:w="0" w:type="dxa"/>
        </w:tblCellMar>
      </w:tblPr>
      <w:tr>
        <w:trPr>
          <w:trHeight w:val="184"/>
        </w:trPr>
        <w:tc>
          <w:tcPr>
            <w:tcW w:w="42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2"/>
              </w:rPr>
              <w:t>32.1</w:t>
            </w:r>
          </w:p>
        </w:tc>
        <w:tc>
          <w:tcPr>
            <w:tcW w:w="7680" w:type="dxa"/>
            <w:vAlign w:val="bottom"/>
            <w:gridSpan w:val="3"/>
          </w:tcPr>
          <w:p>
            <w:pPr>
              <w:spacing w:after="0"/>
              <w:rPr>
                <w:sz w:val="20"/>
                <w:szCs w:val="20"/>
                <w:color w:val="auto"/>
              </w:rPr>
            </w:pPr>
            <w:r>
              <w:rPr>
                <w:rFonts w:ascii="Times New Roman" w:cs="Times New Roman" w:eastAsia="Times New Roman" w:hAnsi="Times New Roman"/>
                <w:sz w:val="16"/>
                <w:szCs w:val="16"/>
                <w:color w:val="0000FF"/>
              </w:rPr>
              <w:t>Certification of Sempra’s Principal Executive Officer pursuant to 18 U.S.C. Sec. 1350.</w:t>
            </w:r>
          </w:p>
        </w:tc>
        <w:tc>
          <w:tcPr>
            <w:tcW w:w="2160" w:type="dxa"/>
            <w:vAlign w:val="bottom"/>
          </w:tcPr>
          <w:p>
            <w:pPr>
              <w:ind w:left="2040"/>
              <w:spacing w:after="0"/>
              <w:rPr>
                <w:sz w:val="20"/>
                <w:szCs w:val="20"/>
                <w:color w:val="auto"/>
              </w:rPr>
            </w:pPr>
            <w:r>
              <w:rPr>
                <w:rFonts w:ascii="Times New Roman" w:cs="Times New Roman" w:eastAsia="Times New Roman" w:hAnsi="Times New Roman"/>
                <w:sz w:val="16"/>
                <w:szCs w:val="16"/>
                <w:color w:val="auto"/>
                <w:w w:val="86"/>
              </w:rPr>
              <w:t>X</w:t>
            </w:r>
          </w:p>
        </w:tc>
      </w:tr>
      <w:tr>
        <w:trPr>
          <w:trHeight w:val="345"/>
        </w:trPr>
        <w:tc>
          <w:tcPr>
            <w:tcW w:w="42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2"/>
              </w:rPr>
              <w:t>32.2</w:t>
            </w:r>
          </w:p>
        </w:tc>
        <w:tc>
          <w:tcPr>
            <w:tcW w:w="5620" w:type="dxa"/>
            <w:vAlign w:val="bottom"/>
            <w:tcBorders>
              <w:top w:val="single" w:sz="8" w:color="0000FF"/>
            </w:tcBorders>
            <w:gridSpan w:val="2"/>
          </w:tcPr>
          <w:p>
            <w:pPr>
              <w:spacing w:after="0"/>
              <w:rPr>
                <w:sz w:val="20"/>
                <w:szCs w:val="20"/>
                <w:color w:val="auto"/>
              </w:rPr>
            </w:pPr>
            <w:r>
              <w:rPr>
                <w:rFonts w:ascii="Times New Roman" w:cs="Times New Roman" w:eastAsia="Times New Roman" w:hAnsi="Times New Roman"/>
                <w:sz w:val="16"/>
                <w:szCs w:val="16"/>
                <w:color w:val="0000FF"/>
              </w:rPr>
              <w:t>Certification of Sempra’s Principal Financial Officer pursuant to 18 U.S.C. Sec. 1350.</w:t>
            </w:r>
          </w:p>
        </w:tc>
        <w:tc>
          <w:tcPr>
            <w:tcW w:w="2060" w:type="dxa"/>
            <w:vAlign w:val="bottom"/>
          </w:tcPr>
          <w:p>
            <w:pPr>
              <w:spacing w:after="0"/>
              <w:rPr>
                <w:sz w:val="24"/>
                <w:szCs w:val="24"/>
                <w:color w:val="auto"/>
              </w:rPr>
            </w:pPr>
          </w:p>
        </w:tc>
        <w:tc>
          <w:tcPr>
            <w:tcW w:w="2160" w:type="dxa"/>
            <w:vAlign w:val="bottom"/>
          </w:tcPr>
          <w:p>
            <w:pPr>
              <w:ind w:left="2040"/>
              <w:spacing w:after="0"/>
              <w:rPr>
                <w:sz w:val="20"/>
                <w:szCs w:val="20"/>
                <w:color w:val="auto"/>
              </w:rPr>
            </w:pPr>
            <w:r>
              <w:rPr>
                <w:rFonts w:ascii="Times New Roman" w:cs="Times New Roman" w:eastAsia="Times New Roman" w:hAnsi="Times New Roman"/>
                <w:sz w:val="16"/>
                <w:szCs w:val="16"/>
                <w:color w:val="auto"/>
                <w:w w:val="86"/>
              </w:rPr>
              <w:t>X</w:t>
            </w:r>
          </w:p>
        </w:tc>
      </w:tr>
      <w:tr>
        <w:trPr>
          <w:trHeight w:val="20"/>
        </w:trPr>
        <w:tc>
          <w:tcPr>
            <w:tcW w:w="420" w:type="dxa"/>
            <w:vAlign w:val="bottom"/>
          </w:tcPr>
          <w:p>
            <w:pPr>
              <w:spacing w:after="0" w:line="20" w:lineRule="exact"/>
              <w:rPr>
                <w:sz w:val="1"/>
                <w:szCs w:val="1"/>
                <w:color w:val="auto"/>
              </w:rPr>
            </w:pPr>
          </w:p>
        </w:tc>
        <w:tc>
          <w:tcPr>
            <w:tcW w:w="55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r>
    </w:tbl>
    <w:p>
      <w:pPr>
        <w:spacing w:after="0" w:line="39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b w:val="1"/>
          <w:bCs w:val="1"/>
          <w:i w:val="1"/>
          <w:iCs w:val="1"/>
          <w:color w:val="auto"/>
        </w:rPr>
        <w:t>San Diego Gas &amp; Electric Company</w:t>
      </w:r>
    </w:p>
    <w:p>
      <w:pPr>
        <w:spacing w:after="0" w:line="85" w:lineRule="exact"/>
        <w:rPr>
          <w:sz w:val="20"/>
          <w:szCs w:val="20"/>
          <w:color w:val="auto"/>
        </w:rPr>
      </w:pPr>
    </w:p>
    <w:tbl>
      <w:tblPr>
        <w:tblLayout w:type="fixed"/>
        <w:tblInd w:w="560" w:type="dxa"/>
        <w:tblCellMar>
          <w:top w:w="0" w:type="dxa"/>
          <w:left w:w="0" w:type="dxa"/>
          <w:bottom w:w="0" w:type="dxa"/>
          <w:right w:w="0" w:type="dxa"/>
        </w:tblCellMar>
      </w:tblPr>
      <w:tr>
        <w:trPr>
          <w:trHeight w:val="184"/>
        </w:trPr>
        <w:tc>
          <w:tcPr>
            <w:tcW w:w="42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2"/>
              </w:rPr>
              <w:t>32.3</w:t>
            </w:r>
          </w:p>
        </w:tc>
        <w:tc>
          <w:tcPr>
            <w:tcW w:w="8600" w:type="dxa"/>
            <w:vAlign w:val="bottom"/>
            <w:gridSpan w:val="3"/>
          </w:tcPr>
          <w:p>
            <w:pPr>
              <w:spacing w:after="0"/>
              <w:rPr>
                <w:sz w:val="20"/>
                <w:szCs w:val="20"/>
                <w:color w:val="auto"/>
              </w:rPr>
            </w:pPr>
            <w:r>
              <w:rPr>
                <w:rFonts w:ascii="Times New Roman" w:cs="Times New Roman" w:eastAsia="Times New Roman" w:hAnsi="Times New Roman"/>
                <w:sz w:val="16"/>
                <w:szCs w:val="16"/>
                <w:color w:val="0000FF"/>
              </w:rPr>
              <w:t>Certification of San Diego Gas &amp; Electric Company’s Principal Executive Officer pursuant to 18 U.S.C. Sec. 1350.</w:t>
            </w:r>
          </w:p>
        </w:tc>
        <w:tc>
          <w:tcPr>
            <w:tcW w:w="1240" w:type="dxa"/>
            <w:vAlign w:val="bottom"/>
          </w:tcPr>
          <w:p>
            <w:pPr>
              <w:ind w:left="1120"/>
              <w:spacing w:after="0"/>
              <w:rPr>
                <w:sz w:val="20"/>
                <w:szCs w:val="20"/>
                <w:color w:val="auto"/>
              </w:rPr>
            </w:pPr>
            <w:r>
              <w:rPr>
                <w:rFonts w:ascii="Times New Roman" w:cs="Times New Roman" w:eastAsia="Times New Roman" w:hAnsi="Times New Roman"/>
                <w:sz w:val="16"/>
                <w:szCs w:val="16"/>
                <w:color w:val="auto"/>
                <w:w w:val="86"/>
              </w:rPr>
              <w:t>X</w:t>
            </w:r>
          </w:p>
        </w:tc>
      </w:tr>
      <w:tr>
        <w:trPr>
          <w:trHeight w:val="344"/>
        </w:trPr>
        <w:tc>
          <w:tcPr>
            <w:tcW w:w="42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2"/>
              </w:rPr>
              <w:t>32.4</w:t>
            </w:r>
          </w:p>
        </w:tc>
        <w:tc>
          <w:tcPr>
            <w:tcW w:w="7440" w:type="dxa"/>
            <w:vAlign w:val="bottom"/>
            <w:tcBorders>
              <w:top w:val="single" w:sz="8" w:color="0000FF"/>
              <w:bottom w:val="single" w:sz="8" w:color="0000FF"/>
            </w:tcBorders>
          </w:tcPr>
          <w:p>
            <w:pPr>
              <w:spacing w:after="0"/>
              <w:rPr>
                <w:sz w:val="20"/>
                <w:szCs w:val="20"/>
                <w:color w:val="auto"/>
              </w:rPr>
            </w:pPr>
            <w:r>
              <w:rPr>
                <w:rFonts w:ascii="Times New Roman" w:cs="Times New Roman" w:eastAsia="Times New Roman" w:hAnsi="Times New Roman"/>
                <w:sz w:val="16"/>
                <w:szCs w:val="16"/>
                <w:color w:val="0000FF"/>
              </w:rPr>
              <w:t>Certification of San Diego Gas &amp; Electric Company’s Principal Financial Officer pursuant to 18 U.S.C. Sec. 1350.</w:t>
            </w:r>
          </w:p>
        </w:tc>
        <w:tc>
          <w:tcPr>
            <w:tcW w:w="40" w:type="dxa"/>
            <w:vAlign w:val="bottom"/>
            <w:tcBorders>
              <w:top w:val="single" w:sz="8" w:color="0000FF"/>
            </w:tcBorders>
          </w:tcPr>
          <w:p>
            <w:pPr>
              <w:spacing w:after="0"/>
              <w:rPr>
                <w:sz w:val="24"/>
                <w:szCs w:val="24"/>
                <w:color w:val="auto"/>
              </w:rPr>
            </w:pPr>
          </w:p>
        </w:tc>
        <w:tc>
          <w:tcPr>
            <w:tcW w:w="1120" w:type="dxa"/>
            <w:vAlign w:val="bottom"/>
          </w:tcPr>
          <w:p>
            <w:pPr>
              <w:spacing w:after="0"/>
              <w:rPr>
                <w:sz w:val="24"/>
                <w:szCs w:val="24"/>
                <w:color w:val="auto"/>
              </w:rPr>
            </w:pPr>
          </w:p>
        </w:tc>
        <w:tc>
          <w:tcPr>
            <w:tcW w:w="1240" w:type="dxa"/>
            <w:vAlign w:val="bottom"/>
          </w:tcPr>
          <w:p>
            <w:pPr>
              <w:ind w:left="1120"/>
              <w:spacing w:after="0"/>
              <w:rPr>
                <w:sz w:val="20"/>
                <w:szCs w:val="20"/>
                <w:color w:val="auto"/>
              </w:rPr>
            </w:pPr>
            <w:r>
              <w:rPr>
                <w:rFonts w:ascii="Times New Roman" w:cs="Times New Roman" w:eastAsia="Times New Roman" w:hAnsi="Times New Roman"/>
                <w:sz w:val="16"/>
                <w:szCs w:val="16"/>
                <w:color w:val="auto"/>
                <w:w w:val="86"/>
              </w:rPr>
              <w:t>X</w:t>
            </w:r>
          </w:p>
        </w:tc>
      </w:tr>
    </w:tbl>
    <w:p>
      <w:pPr>
        <w:spacing w:after="0" w:line="39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b w:val="1"/>
          <w:bCs w:val="1"/>
          <w:i w:val="1"/>
          <w:iCs w:val="1"/>
          <w:color w:val="auto"/>
        </w:rPr>
        <w:t>Southern California Gas Company</w:t>
      </w:r>
    </w:p>
    <w:p>
      <w:pPr>
        <w:spacing w:after="0" w:line="85" w:lineRule="exact"/>
        <w:rPr>
          <w:sz w:val="20"/>
          <w:szCs w:val="20"/>
          <w:color w:val="auto"/>
        </w:rPr>
      </w:pPr>
    </w:p>
    <w:tbl>
      <w:tblPr>
        <w:tblLayout w:type="fixed"/>
        <w:tblInd w:w="560" w:type="dxa"/>
        <w:tblCellMar>
          <w:top w:w="0" w:type="dxa"/>
          <w:left w:w="0" w:type="dxa"/>
          <w:bottom w:w="0" w:type="dxa"/>
          <w:right w:w="0" w:type="dxa"/>
        </w:tblCellMar>
      </w:tblPr>
      <w:tr>
        <w:trPr>
          <w:trHeight w:val="184"/>
        </w:trPr>
        <w:tc>
          <w:tcPr>
            <w:tcW w:w="42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2"/>
              </w:rPr>
              <w:t>32.5</w:t>
            </w:r>
          </w:p>
        </w:tc>
        <w:tc>
          <w:tcPr>
            <w:tcW w:w="738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6"/>
                <w:szCs w:val="16"/>
                <w:color w:val="0000FF"/>
              </w:rPr>
              <w:t>Certification of Southern California Gas Company’s Principal Executive Officer pursuant to 18 U.S.C. Sec. 1350.</w:t>
            </w:r>
          </w:p>
        </w:tc>
        <w:tc>
          <w:tcPr>
            <w:tcW w:w="1160" w:type="dxa"/>
            <w:vAlign w:val="bottom"/>
          </w:tcPr>
          <w:p>
            <w:pPr>
              <w:spacing w:after="0"/>
              <w:rPr>
                <w:sz w:val="16"/>
                <w:szCs w:val="16"/>
                <w:color w:val="auto"/>
              </w:rPr>
            </w:pPr>
          </w:p>
        </w:tc>
        <w:tc>
          <w:tcPr>
            <w:tcW w:w="1300" w:type="dxa"/>
            <w:vAlign w:val="bottom"/>
          </w:tcPr>
          <w:p>
            <w:pPr>
              <w:ind w:left="1180"/>
              <w:spacing w:after="0"/>
              <w:rPr>
                <w:sz w:val="20"/>
                <w:szCs w:val="20"/>
                <w:color w:val="auto"/>
              </w:rPr>
            </w:pPr>
            <w:r>
              <w:rPr>
                <w:rFonts w:ascii="Times New Roman" w:cs="Times New Roman" w:eastAsia="Times New Roman" w:hAnsi="Times New Roman"/>
                <w:sz w:val="16"/>
                <w:szCs w:val="16"/>
                <w:color w:val="auto"/>
                <w:w w:val="86"/>
              </w:rPr>
              <w:t>X</w:t>
            </w:r>
          </w:p>
        </w:tc>
      </w:tr>
      <w:tr>
        <w:trPr>
          <w:trHeight w:val="345"/>
        </w:trPr>
        <w:tc>
          <w:tcPr>
            <w:tcW w:w="42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2"/>
              </w:rPr>
              <w:t>32.6</w:t>
            </w:r>
          </w:p>
        </w:tc>
        <w:tc>
          <w:tcPr>
            <w:tcW w:w="734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6"/>
                <w:szCs w:val="16"/>
                <w:color w:val="0000FF"/>
              </w:rPr>
              <w:t>Certification of Southern California Gas Company’s Principal Financial Officer pursuant to 18 U.S.C. Sec. 1350.</w:t>
            </w:r>
          </w:p>
        </w:tc>
        <w:tc>
          <w:tcPr>
            <w:tcW w:w="1200" w:type="dxa"/>
            <w:vAlign w:val="bottom"/>
            <w:gridSpan w:val="2"/>
          </w:tcPr>
          <w:p>
            <w:pPr>
              <w:spacing w:after="0"/>
              <w:rPr>
                <w:sz w:val="24"/>
                <w:szCs w:val="24"/>
                <w:color w:val="auto"/>
              </w:rPr>
            </w:pPr>
          </w:p>
        </w:tc>
        <w:tc>
          <w:tcPr>
            <w:tcW w:w="1300" w:type="dxa"/>
            <w:vAlign w:val="bottom"/>
          </w:tcPr>
          <w:p>
            <w:pPr>
              <w:ind w:left="1180"/>
              <w:spacing w:after="0"/>
              <w:rPr>
                <w:sz w:val="20"/>
                <w:szCs w:val="20"/>
                <w:color w:val="auto"/>
              </w:rPr>
            </w:pPr>
            <w:r>
              <w:rPr>
                <w:rFonts w:ascii="Times New Roman" w:cs="Times New Roman" w:eastAsia="Times New Roman" w:hAnsi="Times New Roman"/>
                <w:sz w:val="16"/>
                <w:szCs w:val="16"/>
                <w:color w:val="auto"/>
                <w:w w:val="86"/>
              </w:rPr>
              <w:t>X</w:t>
            </w:r>
          </w:p>
        </w:tc>
      </w:tr>
    </w:tbl>
    <w:p>
      <w:pPr>
        <w:spacing w:after="0" w:line="197"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EXHIBIT 101 -- INTERACTIVE DATA FILE</w:t>
      </w:r>
    </w:p>
    <w:p>
      <w:pPr>
        <w:spacing w:after="0" w:line="141" w:lineRule="exact"/>
        <w:rPr>
          <w:sz w:val="20"/>
          <w:szCs w:val="20"/>
          <w:color w:val="auto"/>
        </w:rPr>
      </w:pPr>
    </w:p>
    <w:tbl>
      <w:tblPr>
        <w:tblLayout w:type="fixed"/>
        <w:tblInd w:w="240" w:type="dxa"/>
        <w:tblCellMar>
          <w:top w:w="0" w:type="dxa"/>
          <w:left w:w="0" w:type="dxa"/>
          <w:bottom w:w="0" w:type="dxa"/>
          <w:right w:w="0" w:type="dxa"/>
        </w:tblCellMar>
      </w:tblPr>
      <w:tr>
        <w:trPr>
          <w:trHeight w:val="184"/>
        </w:trPr>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101.INS</w:t>
            </w:r>
          </w:p>
        </w:tc>
        <w:tc>
          <w:tcPr>
            <w:tcW w:w="944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XBRL Instance Document - the instance document does not appear in the Interactive Data file because its XBRL tags are embedded within</w:t>
            </w:r>
          </w:p>
        </w:tc>
        <w:tc>
          <w:tcPr>
            <w:tcW w:w="460" w:type="dxa"/>
            <w:vAlign w:val="bottom"/>
            <w:vMerge w:val="restart"/>
          </w:tcPr>
          <w:p>
            <w:pPr>
              <w:ind w:left="340"/>
              <w:spacing w:after="0"/>
              <w:rPr>
                <w:sz w:val="20"/>
                <w:szCs w:val="20"/>
                <w:color w:val="auto"/>
              </w:rPr>
            </w:pPr>
            <w:r>
              <w:rPr>
                <w:rFonts w:ascii="Times New Roman" w:cs="Times New Roman" w:eastAsia="Times New Roman" w:hAnsi="Times New Roman"/>
                <w:sz w:val="16"/>
                <w:szCs w:val="16"/>
                <w:color w:val="auto"/>
                <w:w w:val="86"/>
              </w:rPr>
              <w:t>X</w:t>
            </w:r>
          </w:p>
        </w:tc>
        <w:tc>
          <w:tcPr>
            <w:tcW w:w="0" w:type="dxa"/>
            <w:vAlign w:val="bottom"/>
          </w:tcPr>
          <w:p>
            <w:pPr>
              <w:spacing w:after="0"/>
              <w:rPr>
                <w:sz w:val="1"/>
                <w:szCs w:val="1"/>
                <w:color w:val="auto"/>
              </w:rPr>
            </w:pPr>
          </w:p>
        </w:tc>
      </w:tr>
      <w:tr>
        <w:trPr>
          <w:trHeight w:val="210"/>
        </w:trPr>
        <w:tc>
          <w:tcPr>
            <w:tcW w:w="680" w:type="dxa"/>
            <w:vAlign w:val="bottom"/>
          </w:tcPr>
          <w:p>
            <w:pPr>
              <w:spacing w:after="0"/>
              <w:rPr>
                <w:sz w:val="18"/>
                <w:szCs w:val="18"/>
                <w:color w:val="auto"/>
              </w:rPr>
            </w:pPr>
          </w:p>
        </w:tc>
        <w:tc>
          <w:tcPr>
            <w:tcW w:w="944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the Inline XBRL document.</w:t>
            </w:r>
          </w:p>
        </w:tc>
        <w:tc>
          <w:tcPr>
            <w:tcW w:w="4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78"/>
        </w:trPr>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8"/>
              </w:rPr>
              <w:t>101.SCH</w:t>
            </w:r>
          </w:p>
        </w:tc>
        <w:tc>
          <w:tcPr>
            <w:tcW w:w="944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Inline XBRL Taxonomy Extension Schema Document.</w:t>
            </w:r>
          </w:p>
        </w:tc>
        <w:tc>
          <w:tcPr>
            <w:tcW w:w="460" w:type="dxa"/>
            <w:vAlign w:val="bottom"/>
          </w:tcPr>
          <w:p>
            <w:pPr>
              <w:ind w:left="340"/>
              <w:spacing w:after="0"/>
              <w:rPr>
                <w:sz w:val="20"/>
                <w:szCs w:val="20"/>
                <w:color w:val="auto"/>
              </w:rPr>
            </w:pPr>
            <w:r>
              <w:rPr>
                <w:rFonts w:ascii="Times New Roman" w:cs="Times New Roman" w:eastAsia="Times New Roman" w:hAnsi="Times New Roman"/>
                <w:sz w:val="16"/>
                <w:szCs w:val="16"/>
                <w:color w:val="auto"/>
                <w:w w:val="86"/>
              </w:rPr>
              <w:t>X</w:t>
            </w:r>
          </w:p>
        </w:tc>
        <w:tc>
          <w:tcPr>
            <w:tcW w:w="0" w:type="dxa"/>
            <w:vAlign w:val="bottom"/>
          </w:tcPr>
          <w:p>
            <w:pPr>
              <w:spacing w:after="0"/>
              <w:rPr>
                <w:sz w:val="1"/>
                <w:szCs w:val="1"/>
                <w:color w:val="auto"/>
              </w:rPr>
            </w:pPr>
          </w:p>
        </w:tc>
      </w:tr>
      <w:tr>
        <w:trPr>
          <w:trHeight w:val="378"/>
        </w:trPr>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6"/>
              </w:rPr>
              <w:t>101.CAL</w:t>
            </w:r>
          </w:p>
        </w:tc>
        <w:tc>
          <w:tcPr>
            <w:tcW w:w="944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Inline XBRL Taxonomy Extension Calculation Linkbase Document.</w:t>
            </w:r>
          </w:p>
        </w:tc>
        <w:tc>
          <w:tcPr>
            <w:tcW w:w="460" w:type="dxa"/>
            <w:vAlign w:val="bottom"/>
          </w:tcPr>
          <w:p>
            <w:pPr>
              <w:ind w:left="340"/>
              <w:spacing w:after="0"/>
              <w:rPr>
                <w:sz w:val="20"/>
                <w:szCs w:val="20"/>
                <w:color w:val="auto"/>
              </w:rPr>
            </w:pPr>
            <w:r>
              <w:rPr>
                <w:rFonts w:ascii="Times New Roman" w:cs="Times New Roman" w:eastAsia="Times New Roman" w:hAnsi="Times New Roman"/>
                <w:sz w:val="16"/>
                <w:szCs w:val="16"/>
                <w:color w:val="auto"/>
                <w:w w:val="86"/>
              </w:rPr>
              <w:t>X</w:t>
            </w:r>
          </w:p>
        </w:tc>
        <w:tc>
          <w:tcPr>
            <w:tcW w:w="0" w:type="dxa"/>
            <w:vAlign w:val="bottom"/>
          </w:tcPr>
          <w:p>
            <w:pPr>
              <w:spacing w:after="0"/>
              <w:rPr>
                <w:sz w:val="1"/>
                <w:szCs w:val="1"/>
                <w:color w:val="auto"/>
              </w:rPr>
            </w:pPr>
          </w:p>
        </w:tc>
      </w:tr>
      <w:tr>
        <w:trPr>
          <w:trHeight w:val="378"/>
        </w:trPr>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101.DEF</w:t>
            </w:r>
          </w:p>
        </w:tc>
        <w:tc>
          <w:tcPr>
            <w:tcW w:w="944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Inline XBRL Taxonomy Extension Definition Linkbase Document.</w:t>
            </w:r>
          </w:p>
        </w:tc>
        <w:tc>
          <w:tcPr>
            <w:tcW w:w="460" w:type="dxa"/>
            <w:vAlign w:val="bottom"/>
          </w:tcPr>
          <w:p>
            <w:pPr>
              <w:ind w:left="340"/>
              <w:spacing w:after="0"/>
              <w:rPr>
                <w:sz w:val="20"/>
                <w:szCs w:val="20"/>
                <w:color w:val="auto"/>
              </w:rPr>
            </w:pPr>
            <w:r>
              <w:rPr>
                <w:rFonts w:ascii="Times New Roman" w:cs="Times New Roman" w:eastAsia="Times New Roman" w:hAnsi="Times New Roman"/>
                <w:sz w:val="16"/>
                <w:szCs w:val="16"/>
                <w:color w:val="auto"/>
                <w:w w:val="86"/>
              </w:rPr>
              <w:t>X</w:t>
            </w:r>
          </w:p>
        </w:tc>
        <w:tc>
          <w:tcPr>
            <w:tcW w:w="0" w:type="dxa"/>
            <w:vAlign w:val="bottom"/>
          </w:tcPr>
          <w:p>
            <w:pPr>
              <w:spacing w:after="0"/>
              <w:rPr>
                <w:sz w:val="1"/>
                <w:szCs w:val="1"/>
                <w:color w:val="auto"/>
              </w:rPr>
            </w:pPr>
          </w:p>
        </w:tc>
      </w:tr>
      <w:tr>
        <w:trPr>
          <w:trHeight w:val="378"/>
        </w:trPr>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6"/>
              </w:rPr>
              <w:t>101.LAB</w:t>
            </w:r>
          </w:p>
        </w:tc>
        <w:tc>
          <w:tcPr>
            <w:tcW w:w="944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Inline XBRL Taxonomy Extension Label Linkbase Document.</w:t>
            </w:r>
          </w:p>
        </w:tc>
        <w:tc>
          <w:tcPr>
            <w:tcW w:w="460" w:type="dxa"/>
            <w:vAlign w:val="bottom"/>
          </w:tcPr>
          <w:p>
            <w:pPr>
              <w:ind w:left="340"/>
              <w:spacing w:after="0"/>
              <w:rPr>
                <w:sz w:val="20"/>
                <w:szCs w:val="20"/>
                <w:color w:val="auto"/>
              </w:rPr>
            </w:pPr>
            <w:r>
              <w:rPr>
                <w:rFonts w:ascii="Times New Roman" w:cs="Times New Roman" w:eastAsia="Times New Roman" w:hAnsi="Times New Roman"/>
                <w:sz w:val="16"/>
                <w:szCs w:val="16"/>
                <w:color w:val="auto"/>
                <w:w w:val="86"/>
              </w:rPr>
              <w:t>X</w:t>
            </w:r>
          </w:p>
        </w:tc>
        <w:tc>
          <w:tcPr>
            <w:tcW w:w="0" w:type="dxa"/>
            <w:vAlign w:val="bottom"/>
          </w:tcPr>
          <w:p>
            <w:pPr>
              <w:spacing w:after="0"/>
              <w:rPr>
                <w:sz w:val="1"/>
                <w:szCs w:val="1"/>
                <w:color w:val="auto"/>
              </w:rPr>
            </w:pPr>
          </w:p>
        </w:tc>
      </w:tr>
      <w:tr>
        <w:trPr>
          <w:trHeight w:val="378"/>
        </w:trPr>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101.PRE</w:t>
            </w:r>
          </w:p>
        </w:tc>
        <w:tc>
          <w:tcPr>
            <w:tcW w:w="944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Inline XBRL Taxonomy Extension Presentation Linkbase Document.</w:t>
            </w:r>
          </w:p>
        </w:tc>
        <w:tc>
          <w:tcPr>
            <w:tcW w:w="460" w:type="dxa"/>
            <w:vAlign w:val="bottom"/>
          </w:tcPr>
          <w:p>
            <w:pPr>
              <w:ind w:left="340"/>
              <w:spacing w:after="0"/>
              <w:rPr>
                <w:sz w:val="20"/>
                <w:szCs w:val="20"/>
                <w:color w:val="auto"/>
              </w:rPr>
            </w:pPr>
            <w:r>
              <w:rPr>
                <w:rFonts w:ascii="Times New Roman" w:cs="Times New Roman" w:eastAsia="Times New Roman" w:hAnsi="Times New Roman"/>
                <w:sz w:val="16"/>
                <w:szCs w:val="16"/>
                <w:color w:val="auto"/>
                <w:w w:val="86"/>
              </w:rPr>
              <w:t>X</w:t>
            </w:r>
          </w:p>
        </w:tc>
        <w:tc>
          <w:tcPr>
            <w:tcW w:w="0" w:type="dxa"/>
            <w:vAlign w:val="bottom"/>
          </w:tcPr>
          <w:p>
            <w:pPr>
              <w:spacing w:after="0"/>
              <w:rPr>
                <w:sz w:val="1"/>
                <w:szCs w:val="1"/>
                <w:color w:val="auto"/>
              </w:rPr>
            </w:pPr>
          </w:p>
        </w:tc>
      </w:tr>
    </w:tbl>
    <w:p>
      <w:pPr>
        <w:spacing w:after="0" w:line="176"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EXHIBIT 104 -- COVER PAGE INTERACTIVE DATA FILE</w:t>
      </w:r>
    </w:p>
    <w:p>
      <w:pPr>
        <w:spacing w:after="0" w:line="163" w:lineRule="exact"/>
        <w:rPr>
          <w:sz w:val="20"/>
          <w:szCs w:val="20"/>
          <w:color w:val="auto"/>
        </w:rPr>
      </w:pPr>
    </w:p>
    <w:p>
      <w:pPr>
        <w:ind w:left="600"/>
        <w:spacing w:after="0"/>
        <w:tabs>
          <w:tab w:leader="none" w:pos="960" w:val="left"/>
        </w:tabs>
        <w:rPr>
          <w:sz w:val="20"/>
          <w:szCs w:val="20"/>
          <w:color w:val="auto"/>
        </w:rPr>
      </w:pPr>
      <w:r>
        <w:rPr>
          <w:rFonts w:ascii="Times New Roman" w:cs="Times New Roman" w:eastAsia="Times New Roman" w:hAnsi="Times New Roman"/>
          <w:sz w:val="16"/>
          <w:szCs w:val="16"/>
          <w:color w:val="auto"/>
        </w:rPr>
        <w:t>104</w:t>
        <w:tab/>
        <w:t>Cover Page Interactive Data File (formatted as Inline XBRL and contained in Exhibit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80645</wp:posOffset>
            </wp:positionV>
            <wp:extent cx="7132320" cy="825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9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21" w:right="339" w:bottom="52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157480</wp:posOffset>
            </wp:positionV>
            <wp:extent cx="7157720" cy="4254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526" w:gutter="0" w:footer="0" w:header="0"/>
          <w:type w:val="continuous"/>
        </w:sectPr>
      </w:pPr>
    </w:p>
    <w:bookmarkStart w:id="118" w:name="page119"/>
    <w:bookmarkEnd w:id="11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Sempra:</w:t>
      </w:r>
    </w:p>
    <w:p>
      <w:pPr>
        <w:spacing w:after="0" w:line="31" w:lineRule="exact"/>
        <w:rPr>
          <w:sz w:val="20"/>
          <w:szCs w:val="20"/>
          <w:color w:val="auto"/>
        </w:rPr>
      </w:pPr>
    </w:p>
    <w:p>
      <w:pPr>
        <w:ind w:left="20" w:right="160"/>
        <w:spacing w:after="0" w:line="234"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ind w:left="5920"/>
        <w:spacing w:after="0" w:line="238" w:lineRule="auto"/>
        <w:rPr>
          <w:sz w:val="20"/>
          <w:szCs w:val="20"/>
          <w:color w:val="auto"/>
        </w:rPr>
      </w:pPr>
      <w:r>
        <w:rPr>
          <w:rFonts w:ascii="Times New Roman" w:cs="Times New Roman" w:eastAsia="Times New Roman" w:hAnsi="Times New Roman"/>
          <w:sz w:val="18"/>
          <w:szCs w:val="18"/>
          <w:color w:val="auto"/>
        </w:rPr>
        <w:t>SEMPRA,</w:t>
      </w:r>
    </w:p>
    <w:p>
      <w:pPr>
        <w:ind w:left="5920"/>
        <w:spacing w:after="0"/>
        <w:rPr>
          <w:sz w:val="20"/>
          <w:szCs w:val="20"/>
          <w:color w:val="auto"/>
        </w:rPr>
      </w:pPr>
      <w:r>
        <w:rPr>
          <w:rFonts w:ascii="Times New Roman" w:cs="Times New Roman" w:eastAsia="Times New Roman" w:hAnsi="Times New Roman"/>
          <w:sz w:val="18"/>
          <w:szCs w:val="18"/>
          <w:color w:val="auto"/>
        </w:rPr>
        <w:t>(Registrant)</w:t>
      </w:r>
    </w:p>
    <w:p>
      <w:pPr>
        <w:spacing w:after="0" w:line="246" w:lineRule="exact"/>
        <w:rPr>
          <w:sz w:val="20"/>
          <w:szCs w:val="20"/>
          <w:color w:val="auto"/>
        </w:rPr>
      </w:pPr>
    </w:p>
    <w:p>
      <w:pPr>
        <w:ind w:left="4320"/>
        <w:spacing w:after="0"/>
        <w:tabs>
          <w:tab w:leader="none" w:pos="5900" w:val="left"/>
        </w:tabs>
        <w:rPr>
          <w:sz w:val="20"/>
          <w:szCs w:val="20"/>
          <w:color w:val="auto"/>
        </w:rPr>
      </w:pPr>
      <w:r>
        <w:rPr>
          <w:rFonts w:ascii="Times New Roman" w:cs="Times New Roman" w:eastAsia="Times New Roman" w:hAnsi="Times New Roman"/>
          <w:sz w:val="18"/>
          <w:szCs w:val="18"/>
          <w:color w:val="auto"/>
        </w:rPr>
        <w:t>Date: May 7, 2026</w:t>
      </w:r>
      <w:r>
        <w:rPr>
          <w:sz w:val="20"/>
          <w:szCs w:val="20"/>
          <w:color w:val="auto"/>
        </w:rPr>
        <w:tab/>
      </w:r>
      <w:r>
        <w:rPr>
          <w:rFonts w:ascii="Times New Roman" w:cs="Times New Roman" w:eastAsia="Times New Roman" w:hAnsi="Times New Roman"/>
          <w:sz w:val="17"/>
          <w:szCs w:val="17"/>
          <w:color w:val="auto"/>
        </w:rPr>
        <w:t>By: /s/ Dyan Z. Wold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3750945</wp:posOffset>
            </wp:positionH>
            <wp:positionV relativeFrom="paragraph">
              <wp:posOffset>17145</wp:posOffset>
            </wp:positionV>
            <wp:extent cx="3368675" cy="889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99">
                      <a:extLst>
                        <a:ext uri="{28A0092B-C50C-407E-A947-70E740481C1C}"/>
                      </a:extLst>
                    </a:blip>
                    <a:srcRect/>
                    <a:stretch>
                      <a:fillRect/>
                    </a:stretch>
                  </pic:blipFill>
                  <pic:spPr bwMode="auto">
                    <a:xfrm>
                      <a:off x="0" y="0"/>
                      <a:ext cx="3368675" cy="8890"/>
                    </a:xfrm>
                    <a:prstGeom prst="rect">
                      <a:avLst/>
                    </a:prstGeom>
                    <a:noFill/>
                  </pic:spPr>
                </pic:pic>
              </a:graphicData>
            </a:graphic>
          </wp:anchor>
        </w:drawing>
      </w:r>
    </w:p>
    <w:p>
      <w:pPr>
        <w:spacing w:after="0" w:line="16" w:lineRule="exact"/>
        <w:rPr>
          <w:sz w:val="20"/>
          <w:szCs w:val="20"/>
          <w:color w:val="auto"/>
        </w:rPr>
      </w:pPr>
    </w:p>
    <w:p>
      <w:pPr>
        <w:ind w:left="5920"/>
        <w:spacing w:after="0"/>
        <w:rPr>
          <w:sz w:val="20"/>
          <w:szCs w:val="20"/>
          <w:color w:val="auto"/>
        </w:rPr>
      </w:pPr>
      <w:r>
        <w:rPr>
          <w:rFonts w:ascii="Times New Roman" w:cs="Times New Roman" w:eastAsia="Times New Roman" w:hAnsi="Times New Roman"/>
          <w:sz w:val="18"/>
          <w:szCs w:val="18"/>
          <w:color w:val="auto"/>
        </w:rPr>
        <w:t>Dyan Z. Wold</w:t>
      </w:r>
    </w:p>
    <w:p>
      <w:pPr>
        <w:spacing w:after="0" w:line="23" w:lineRule="exact"/>
        <w:rPr>
          <w:sz w:val="20"/>
          <w:szCs w:val="20"/>
          <w:color w:val="auto"/>
        </w:rPr>
      </w:pPr>
    </w:p>
    <w:p>
      <w:pPr>
        <w:ind w:left="5920"/>
        <w:spacing w:after="0"/>
        <w:rPr>
          <w:sz w:val="20"/>
          <w:szCs w:val="20"/>
          <w:color w:val="auto"/>
        </w:rPr>
      </w:pPr>
      <w:r>
        <w:rPr>
          <w:rFonts w:ascii="Times New Roman" w:cs="Times New Roman" w:eastAsia="Times New Roman" w:hAnsi="Times New Roman"/>
          <w:sz w:val="17"/>
          <w:szCs w:val="17"/>
          <w:color w:val="auto"/>
        </w:rPr>
        <w:t>Vice President, Controller and Chief Accounting Officer (Duly</w:t>
      </w:r>
    </w:p>
    <w:p>
      <w:pPr>
        <w:ind w:left="5920"/>
        <w:spacing w:after="0"/>
        <w:rPr>
          <w:sz w:val="20"/>
          <w:szCs w:val="20"/>
          <w:color w:val="auto"/>
        </w:rPr>
      </w:pPr>
      <w:r>
        <w:rPr>
          <w:rFonts w:ascii="Times New Roman" w:cs="Times New Roman" w:eastAsia="Times New Roman" w:hAnsi="Times New Roman"/>
          <w:sz w:val="18"/>
          <w:szCs w:val="18"/>
          <w:color w:val="auto"/>
        </w:rPr>
        <w:t>Authorized Officer)</w:t>
      </w:r>
    </w:p>
    <w:p>
      <w:pPr>
        <w:spacing w:after="0" w:line="200" w:lineRule="exact"/>
        <w:rPr>
          <w:sz w:val="20"/>
          <w:szCs w:val="20"/>
          <w:color w:val="auto"/>
        </w:rPr>
      </w:pPr>
    </w:p>
    <w:p>
      <w:pPr>
        <w:spacing w:after="0" w:line="24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San Diego Gas &amp; Electric Company:</w:t>
      </w:r>
    </w:p>
    <w:p>
      <w:pPr>
        <w:spacing w:after="0" w:line="31" w:lineRule="exact"/>
        <w:rPr>
          <w:sz w:val="20"/>
          <w:szCs w:val="20"/>
          <w:color w:val="auto"/>
        </w:rPr>
      </w:pPr>
    </w:p>
    <w:p>
      <w:pPr>
        <w:ind w:left="20" w:right="160"/>
        <w:spacing w:after="0" w:line="234"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ind w:left="5920"/>
        <w:spacing w:after="0" w:line="238" w:lineRule="auto"/>
        <w:rPr>
          <w:sz w:val="20"/>
          <w:szCs w:val="20"/>
          <w:color w:val="auto"/>
        </w:rPr>
      </w:pPr>
      <w:r>
        <w:rPr>
          <w:rFonts w:ascii="Times New Roman" w:cs="Times New Roman" w:eastAsia="Times New Roman" w:hAnsi="Times New Roman"/>
          <w:sz w:val="18"/>
          <w:szCs w:val="18"/>
          <w:color w:val="auto"/>
        </w:rPr>
        <w:t>SAN DIEGO GAS &amp; ELECTRIC COMPANY,</w:t>
      </w:r>
    </w:p>
    <w:p>
      <w:pPr>
        <w:ind w:left="5920"/>
        <w:spacing w:after="0"/>
        <w:rPr>
          <w:sz w:val="20"/>
          <w:szCs w:val="20"/>
          <w:color w:val="auto"/>
        </w:rPr>
      </w:pPr>
      <w:r>
        <w:rPr>
          <w:rFonts w:ascii="Times New Roman" w:cs="Times New Roman" w:eastAsia="Times New Roman" w:hAnsi="Times New Roman"/>
          <w:sz w:val="18"/>
          <w:szCs w:val="18"/>
          <w:color w:val="auto"/>
        </w:rPr>
        <w:t>(Registrant)</w:t>
      </w:r>
    </w:p>
    <w:p>
      <w:pPr>
        <w:spacing w:after="0" w:line="246" w:lineRule="exact"/>
        <w:rPr>
          <w:sz w:val="20"/>
          <w:szCs w:val="20"/>
          <w:color w:val="auto"/>
        </w:rPr>
      </w:pPr>
    </w:p>
    <w:p>
      <w:pPr>
        <w:ind w:left="4320"/>
        <w:spacing w:after="0"/>
        <w:tabs>
          <w:tab w:leader="none" w:pos="5900" w:val="left"/>
        </w:tabs>
        <w:rPr>
          <w:sz w:val="20"/>
          <w:szCs w:val="20"/>
          <w:color w:val="auto"/>
        </w:rPr>
      </w:pPr>
      <w:r>
        <w:rPr>
          <w:rFonts w:ascii="Times New Roman" w:cs="Times New Roman" w:eastAsia="Times New Roman" w:hAnsi="Times New Roman"/>
          <w:sz w:val="18"/>
          <w:szCs w:val="18"/>
          <w:color w:val="auto"/>
        </w:rPr>
        <w:t>Date: May 7, 2026</w:t>
        <w:tab/>
        <w:t>By: /s/ Maritza Mekitarian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3750945</wp:posOffset>
            </wp:positionH>
            <wp:positionV relativeFrom="paragraph">
              <wp:posOffset>17145</wp:posOffset>
            </wp:positionV>
            <wp:extent cx="3368675" cy="825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300">
                      <a:extLst>
                        <a:ext uri="{28A0092B-C50C-407E-A947-70E740481C1C}"/>
                      </a:extLst>
                    </a:blip>
                    <a:srcRect/>
                    <a:stretch>
                      <a:fillRect/>
                    </a:stretch>
                  </pic:blipFill>
                  <pic:spPr bwMode="auto">
                    <a:xfrm>
                      <a:off x="0" y="0"/>
                      <a:ext cx="3368675" cy="8255"/>
                    </a:xfrm>
                    <a:prstGeom prst="rect">
                      <a:avLst/>
                    </a:prstGeom>
                    <a:noFill/>
                  </pic:spPr>
                </pic:pic>
              </a:graphicData>
            </a:graphic>
          </wp:anchor>
        </w:drawing>
      </w:r>
    </w:p>
    <w:p>
      <w:pPr>
        <w:spacing w:after="0" w:line="16" w:lineRule="exact"/>
        <w:rPr>
          <w:sz w:val="20"/>
          <w:szCs w:val="20"/>
          <w:color w:val="auto"/>
        </w:rPr>
      </w:pPr>
    </w:p>
    <w:p>
      <w:pPr>
        <w:ind w:left="5920"/>
        <w:spacing w:after="0"/>
        <w:rPr>
          <w:sz w:val="20"/>
          <w:szCs w:val="20"/>
          <w:color w:val="auto"/>
        </w:rPr>
      </w:pPr>
      <w:r>
        <w:rPr>
          <w:rFonts w:ascii="Times New Roman" w:cs="Times New Roman" w:eastAsia="Times New Roman" w:hAnsi="Times New Roman"/>
          <w:sz w:val="18"/>
          <w:szCs w:val="18"/>
          <w:color w:val="auto"/>
        </w:rPr>
        <w:t>Maritza Mekitarian</w:t>
      </w:r>
    </w:p>
    <w:p>
      <w:pPr>
        <w:spacing w:after="0" w:line="23" w:lineRule="exact"/>
        <w:rPr>
          <w:sz w:val="20"/>
          <w:szCs w:val="20"/>
          <w:color w:val="auto"/>
        </w:rPr>
      </w:pPr>
    </w:p>
    <w:p>
      <w:pPr>
        <w:ind w:left="5920"/>
        <w:spacing w:after="0"/>
        <w:rPr>
          <w:sz w:val="20"/>
          <w:szCs w:val="20"/>
          <w:color w:val="auto"/>
        </w:rPr>
      </w:pPr>
      <w:r>
        <w:rPr>
          <w:rFonts w:ascii="Times New Roman" w:cs="Times New Roman" w:eastAsia="Times New Roman" w:hAnsi="Times New Roman"/>
          <w:sz w:val="17"/>
          <w:szCs w:val="17"/>
          <w:color w:val="auto"/>
        </w:rPr>
        <w:t>Vice President, Controller and Chief Accounting Officer (Duly</w:t>
      </w:r>
    </w:p>
    <w:p>
      <w:pPr>
        <w:ind w:left="5920"/>
        <w:spacing w:after="0"/>
        <w:rPr>
          <w:sz w:val="20"/>
          <w:szCs w:val="20"/>
          <w:color w:val="auto"/>
        </w:rPr>
      </w:pPr>
      <w:r>
        <w:rPr>
          <w:rFonts w:ascii="Times New Roman" w:cs="Times New Roman" w:eastAsia="Times New Roman" w:hAnsi="Times New Roman"/>
          <w:sz w:val="18"/>
          <w:szCs w:val="18"/>
          <w:color w:val="auto"/>
        </w:rPr>
        <w:t>Authorized Officer)</w:t>
      </w:r>
    </w:p>
    <w:p>
      <w:pPr>
        <w:spacing w:after="0" w:line="200" w:lineRule="exact"/>
        <w:rPr>
          <w:sz w:val="20"/>
          <w:szCs w:val="20"/>
          <w:color w:val="auto"/>
        </w:rPr>
      </w:pPr>
    </w:p>
    <w:p>
      <w:pPr>
        <w:spacing w:after="0" w:line="36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Southern California Gas Company:</w:t>
      </w:r>
    </w:p>
    <w:p>
      <w:pPr>
        <w:spacing w:after="0" w:line="31" w:lineRule="exact"/>
        <w:rPr>
          <w:sz w:val="20"/>
          <w:szCs w:val="20"/>
          <w:color w:val="auto"/>
        </w:rPr>
      </w:pPr>
    </w:p>
    <w:p>
      <w:pPr>
        <w:ind w:left="20" w:right="160"/>
        <w:spacing w:after="0" w:line="234"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ind w:left="5920"/>
        <w:spacing w:after="0" w:line="238" w:lineRule="auto"/>
        <w:rPr>
          <w:sz w:val="20"/>
          <w:szCs w:val="20"/>
          <w:color w:val="auto"/>
        </w:rPr>
      </w:pPr>
      <w:r>
        <w:rPr>
          <w:rFonts w:ascii="Times New Roman" w:cs="Times New Roman" w:eastAsia="Times New Roman" w:hAnsi="Times New Roman"/>
          <w:sz w:val="18"/>
          <w:szCs w:val="18"/>
          <w:color w:val="auto"/>
        </w:rPr>
        <w:t>SOUTHERN CALIFORNIA GAS COMPANY,</w:t>
      </w:r>
    </w:p>
    <w:p>
      <w:pPr>
        <w:ind w:left="5920"/>
        <w:spacing w:after="0"/>
        <w:rPr>
          <w:sz w:val="20"/>
          <w:szCs w:val="20"/>
          <w:color w:val="auto"/>
        </w:rPr>
      </w:pPr>
      <w:r>
        <w:rPr>
          <w:rFonts w:ascii="Times New Roman" w:cs="Times New Roman" w:eastAsia="Times New Roman" w:hAnsi="Times New Roman"/>
          <w:sz w:val="18"/>
          <w:szCs w:val="18"/>
          <w:color w:val="auto"/>
        </w:rPr>
        <w:t>(Registrant)</w:t>
      </w:r>
    </w:p>
    <w:p>
      <w:pPr>
        <w:spacing w:after="0" w:line="246" w:lineRule="exact"/>
        <w:rPr>
          <w:sz w:val="20"/>
          <w:szCs w:val="20"/>
          <w:color w:val="auto"/>
        </w:rPr>
      </w:pPr>
    </w:p>
    <w:p>
      <w:pPr>
        <w:ind w:left="4320"/>
        <w:spacing w:after="0"/>
        <w:tabs>
          <w:tab w:leader="none" w:pos="5900" w:val="left"/>
        </w:tabs>
        <w:rPr>
          <w:sz w:val="20"/>
          <w:szCs w:val="20"/>
          <w:color w:val="auto"/>
        </w:rPr>
      </w:pPr>
      <w:r>
        <w:rPr>
          <w:rFonts w:ascii="Times New Roman" w:cs="Times New Roman" w:eastAsia="Times New Roman" w:hAnsi="Times New Roman"/>
          <w:sz w:val="18"/>
          <w:szCs w:val="18"/>
          <w:color w:val="auto"/>
        </w:rPr>
        <w:t>Date: May 7, 2026</w:t>
      </w:r>
      <w:r>
        <w:rPr>
          <w:sz w:val="20"/>
          <w:szCs w:val="20"/>
          <w:color w:val="auto"/>
        </w:rPr>
        <w:tab/>
      </w:r>
      <w:r>
        <w:rPr>
          <w:rFonts w:ascii="Times New Roman" w:cs="Times New Roman" w:eastAsia="Times New Roman" w:hAnsi="Times New Roman"/>
          <w:sz w:val="17"/>
          <w:szCs w:val="17"/>
          <w:color w:val="auto"/>
        </w:rPr>
        <w:t>By: /s/ Sara P. Mijares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3750945</wp:posOffset>
            </wp:positionH>
            <wp:positionV relativeFrom="paragraph">
              <wp:posOffset>17145</wp:posOffset>
            </wp:positionV>
            <wp:extent cx="3368675" cy="889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301">
                      <a:extLst>
                        <a:ext uri="{28A0092B-C50C-407E-A947-70E740481C1C}"/>
                      </a:extLst>
                    </a:blip>
                    <a:srcRect/>
                    <a:stretch>
                      <a:fillRect/>
                    </a:stretch>
                  </pic:blipFill>
                  <pic:spPr bwMode="auto">
                    <a:xfrm>
                      <a:off x="0" y="0"/>
                      <a:ext cx="3368675" cy="8890"/>
                    </a:xfrm>
                    <a:prstGeom prst="rect">
                      <a:avLst/>
                    </a:prstGeom>
                    <a:noFill/>
                  </pic:spPr>
                </pic:pic>
              </a:graphicData>
            </a:graphic>
          </wp:anchor>
        </w:drawing>
      </w:r>
    </w:p>
    <w:p>
      <w:pPr>
        <w:spacing w:after="0" w:line="16" w:lineRule="exact"/>
        <w:rPr>
          <w:sz w:val="20"/>
          <w:szCs w:val="20"/>
          <w:color w:val="auto"/>
        </w:rPr>
      </w:pPr>
    </w:p>
    <w:p>
      <w:pPr>
        <w:ind w:left="5920"/>
        <w:spacing w:after="0"/>
        <w:rPr>
          <w:sz w:val="20"/>
          <w:szCs w:val="20"/>
          <w:color w:val="auto"/>
        </w:rPr>
      </w:pPr>
      <w:r>
        <w:rPr>
          <w:rFonts w:ascii="Times New Roman" w:cs="Times New Roman" w:eastAsia="Times New Roman" w:hAnsi="Times New Roman"/>
          <w:sz w:val="18"/>
          <w:szCs w:val="18"/>
          <w:color w:val="auto"/>
        </w:rPr>
        <w:t>Sara P. Mijares</w:t>
      </w:r>
    </w:p>
    <w:p>
      <w:pPr>
        <w:spacing w:after="0" w:line="23" w:lineRule="exact"/>
        <w:rPr>
          <w:sz w:val="20"/>
          <w:szCs w:val="20"/>
          <w:color w:val="auto"/>
        </w:rPr>
      </w:pPr>
    </w:p>
    <w:p>
      <w:pPr>
        <w:ind w:left="5920"/>
        <w:spacing w:after="0"/>
        <w:rPr>
          <w:sz w:val="20"/>
          <w:szCs w:val="20"/>
          <w:color w:val="auto"/>
        </w:rPr>
      </w:pPr>
      <w:r>
        <w:rPr>
          <w:rFonts w:ascii="Times New Roman" w:cs="Times New Roman" w:eastAsia="Times New Roman" w:hAnsi="Times New Roman"/>
          <w:sz w:val="17"/>
          <w:szCs w:val="17"/>
          <w:color w:val="auto"/>
        </w:rPr>
        <w:t>Vice President, Controller and Chief Accounting Officer (Duly</w:t>
      </w:r>
    </w:p>
    <w:p>
      <w:pPr>
        <w:ind w:left="5920"/>
        <w:spacing w:after="0"/>
        <w:rPr>
          <w:sz w:val="20"/>
          <w:szCs w:val="20"/>
          <w:color w:val="auto"/>
        </w:rPr>
      </w:pPr>
      <w:r>
        <w:rPr>
          <w:rFonts w:ascii="Times New Roman" w:cs="Times New Roman" w:eastAsia="Times New Roman" w:hAnsi="Times New Roman"/>
          <w:sz w:val="18"/>
          <w:szCs w:val="18"/>
          <w:color w:val="auto"/>
        </w:rPr>
        <w:t>Authorized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119</w:t>
      </w:r>
    </w:p>
    <w:p>
      <w:pPr>
        <w:sectPr>
          <w:pgSz w:w="11900" w:h="16838" w:orient="portrait"/>
          <w:cols w:equalWidth="0" w:num="1">
            <w:col w:w="10460"/>
          </w:cols>
          <w:pgMar w:left="320" w:top="121" w:right="1119" w:bottom="1440" w:gutter="0" w:footer="0" w:header="0"/>
        </w:sectPr>
      </w:pPr>
    </w:p>
    <w:bookmarkStart w:id="119" w:name="page120"/>
    <w:bookmarkEnd w:id="119"/>
    <w:p>
      <w:pPr>
        <w:jc w:val="right"/>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2"/>
          <w:szCs w:val="22"/>
          <w:b w:val="1"/>
          <w:bCs w:val="1"/>
          <w:color w:val="auto"/>
        </w:rPr>
        <w:t>SEMPRA</w:t>
      </w:r>
    </w:p>
    <w:p>
      <w:pPr>
        <w:spacing w:after="0" w:line="260" w:lineRule="exact"/>
        <w:rPr>
          <w:sz w:val="20"/>
          <w:szCs w:val="20"/>
          <w:color w:val="auto"/>
        </w:rPr>
      </w:pPr>
    </w:p>
    <w:p>
      <w:pPr>
        <w:ind w:left="2680"/>
        <w:spacing w:after="0"/>
        <w:rPr>
          <w:sz w:val="20"/>
          <w:szCs w:val="20"/>
          <w:color w:val="auto"/>
        </w:rPr>
      </w:pPr>
      <w:r>
        <w:rPr>
          <w:rFonts w:ascii="Times New Roman" w:cs="Times New Roman" w:eastAsia="Times New Roman" w:hAnsi="Times New Roman"/>
          <w:sz w:val="22"/>
          <w:szCs w:val="22"/>
          <w:b w:val="1"/>
          <w:bCs w:val="1"/>
          <w:color w:val="auto"/>
        </w:rPr>
        <w:t>COMMON STOCK (NO PAR VALUE)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2"/>
          <w:szCs w:val="22"/>
          <w:b w:val="1"/>
          <w:bCs w:val="1"/>
          <w:color w:val="auto"/>
        </w:rPr>
        <w:t>AMENDMENT NO. 1 TO</w:t>
      </w:r>
    </w:p>
    <w:p>
      <w:pPr>
        <w:spacing w:after="0" w:line="220"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1"/>
          <w:szCs w:val="21"/>
          <w:b w:val="1"/>
          <w:bCs w:val="1"/>
          <w:color w:val="auto"/>
        </w:rPr>
        <w:t>ATM EQUITY OFFERING SALES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22"/>
          <w:szCs w:val="22"/>
          <w:color w:val="auto"/>
        </w:rPr>
        <w:t>May 6, 2026</w:t>
      </w:r>
    </w:p>
    <w:p>
      <w:pPr>
        <w:sectPr>
          <w:pgSz w:w="11900" w:h="16838" w:orient="portrait"/>
          <w:cols w:equalWidth="0" w:num="1">
            <w:col w:w="10120"/>
          </w:cols>
          <w:pgMar w:left="1440" w:top="117" w:right="339" w:bottom="1440" w:gutter="0" w:footer="0" w:header="0"/>
        </w:sectPr>
      </w:pPr>
    </w:p>
    <w:bookmarkStart w:id="120" w:name="page121"/>
    <w:bookmarkEnd w:id="120"/>
    <w:p>
      <w:pPr>
        <w:jc w:val="center"/>
        <w:spacing w:after="0"/>
        <w:rPr>
          <w:sz w:val="20"/>
          <w:szCs w:val="20"/>
          <w:color w:val="auto"/>
        </w:rPr>
      </w:pPr>
      <w:r>
        <w:rPr>
          <w:rFonts w:ascii="Times New Roman" w:cs="Times New Roman" w:eastAsia="Times New Roman" w:hAnsi="Times New Roman"/>
          <w:sz w:val="22"/>
          <w:szCs w:val="22"/>
          <w:b w:val="1"/>
          <w:bCs w:val="1"/>
          <w:color w:val="auto"/>
        </w:rPr>
        <w:t>AMENDMENT NO. 1 TO ATM EQUITY OFFERING SALES AGREEMENT</w:t>
      </w:r>
    </w:p>
    <w:p>
      <w:pPr>
        <w:spacing w:after="0" w:line="328"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21"/>
          <w:szCs w:val="21"/>
          <w:color w:val="auto"/>
        </w:rPr>
        <w:t>AMENDMENT NO. 1, dated as of May 6, 2026 (this “</w:t>
      </w:r>
      <w:r>
        <w:rPr>
          <w:rFonts w:ascii="Times New Roman" w:cs="Times New Roman" w:eastAsia="Times New Roman" w:hAnsi="Times New Roman"/>
          <w:sz w:val="21"/>
          <w:szCs w:val="21"/>
          <w:b w:val="1"/>
          <w:bCs w:val="1"/>
          <w:color w:val="auto"/>
        </w:rPr>
        <w:t>Amendment No. 1</w:t>
      </w:r>
      <w:r>
        <w:rPr>
          <w:rFonts w:ascii="Times New Roman" w:cs="Times New Roman" w:eastAsia="Times New Roman" w:hAnsi="Times New Roman"/>
          <w:sz w:val="21"/>
          <w:szCs w:val="21"/>
          <w:color w:val="auto"/>
        </w:rPr>
        <w:t>”), by and among Sempra, a California corporation (the “</w:t>
      </w:r>
      <w:r>
        <w:rPr>
          <w:rFonts w:ascii="Times New Roman" w:cs="Times New Roman" w:eastAsia="Times New Roman" w:hAnsi="Times New Roman"/>
          <w:sz w:val="21"/>
          <w:szCs w:val="21"/>
          <w:b w:val="1"/>
          <w:bCs w:val="1"/>
          <w:color w:val="auto"/>
        </w:rPr>
        <w:t>Company</w:t>
      </w:r>
      <w:r>
        <w:rPr>
          <w:rFonts w:ascii="Times New Roman" w:cs="Times New Roman" w:eastAsia="Times New Roman" w:hAnsi="Times New Roman"/>
          <w:sz w:val="21"/>
          <w:szCs w:val="21"/>
          <w:color w:val="auto"/>
        </w:rPr>
        <w:t>”), and Barclays Capital Inc., BMO Capital Markets Corp., BNP Paribas Securities Corp., BofA Securities, Inc., Citigroup Global Markets Inc., Credit Agricole Securities (USA) Inc., Goldman Sachs &amp; Co. LLC, J.P. Morgan Securities LLC, Mizuho Securities USA LLC, Morgan Stanley &amp; Co. LLC, MUFG Securities Americas Inc., RBC Capital Markets, LLC, Scotia Capital (USA) Inc., Truist Securities, Inc. and Wells Fargo Securities, LLC, each as sales agents, principals and/or forward sellers (in any such capacity, each an “</w:t>
      </w:r>
      <w:r>
        <w:rPr>
          <w:rFonts w:ascii="Times New Roman" w:cs="Times New Roman" w:eastAsia="Times New Roman" w:hAnsi="Times New Roman"/>
          <w:sz w:val="21"/>
          <w:szCs w:val="21"/>
          <w:b w:val="1"/>
          <w:bCs w:val="1"/>
          <w:color w:val="auto"/>
        </w:rPr>
        <w:t>Agent</w:t>
      </w:r>
      <w:r>
        <w:rPr>
          <w:rFonts w:ascii="Times New Roman" w:cs="Times New Roman" w:eastAsia="Times New Roman" w:hAnsi="Times New Roman"/>
          <w:sz w:val="21"/>
          <w:szCs w:val="21"/>
          <w:color w:val="auto"/>
        </w:rPr>
        <w:t>” and, collectively, the “</w:t>
      </w:r>
      <w:r>
        <w:rPr>
          <w:rFonts w:ascii="Times New Roman" w:cs="Times New Roman" w:eastAsia="Times New Roman" w:hAnsi="Times New Roman"/>
          <w:sz w:val="21"/>
          <w:szCs w:val="21"/>
          <w:b w:val="1"/>
          <w:bCs w:val="1"/>
          <w:color w:val="auto"/>
        </w:rPr>
        <w:t>Agents</w:t>
      </w:r>
      <w:r>
        <w:rPr>
          <w:rFonts w:ascii="Times New Roman" w:cs="Times New Roman" w:eastAsia="Times New Roman" w:hAnsi="Times New Roman"/>
          <w:sz w:val="21"/>
          <w:szCs w:val="21"/>
          <w:color w:val="auto"/>
        </w:rPr>
        <w:t>”), and Barclays Bank PLC, Bank of Montreal, BNP Paribas, Bank of America, N.A., Citibank, N.A., Crédit Agricole Corporate and Investment Bank, Goldman Sachs &amp; Co. LLC, JPMorgan Chase Bank, National Association, Mizuho Markets Americas LLC, Morgan Stanley &amp; Co. LLC, MUFG Securities EMEA plc, Royal Bank of Canada, The Bank of Nova Scotia, Truist Bank and Wells Fargo Bank, National Association, each as forward purchasers (in such capacity, each a “</w:t>
      </w:r>
      <w:r>
        <w:rPr>
          <w:rFonts w:ascii="Times New Roman" w:cs="Times New Roman" w:eastAsia="Times New Roman" w:hAnsi="Times New Roman"/>
          <w:sz w:val="21"/>
          <w:szCs w:val="21"/>
          <w:b w:val="1"/>
          <w:bCs w:val="1"/>
          <w:color w:val="auto"/>
        </w:rPr>
        <w:t>Forward Purchaser</w:t>
      </w:r>
      <w:r>
        <w:rPr>
          <w:rFonts w:ascii="Times New Roman" w:cs="Times New Roman" w:eastAsia="Times New Roman" w:hAnsi="Times New Roman"/>
          <w:sz w:val="21"/>
          <w:szCs w:val="21"/>
          <w:color w:val="auto"/>
        </w:rPr>
        <w:t>” and, collectively, the “</w:t>
      </w:r>
      <w:r>
        <w:rPr>
          <w:rFonts w:ascii="Times New Roman" w:cs="Times New Roman" w:eastAsia="Times New Roman" w:hAnsi="Times New Roman"/>
          <w:sz w:val="21"/>
          <w:szCs w:val="21"/>
          <w:b w:val="1"/>
          <w:bCs w:val="1"/>
          <w:color w:val="auto"/>
        </w:rPr>
        <w:t>Forward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color w:val="auto"/>
        </w:rPr>
        <w:t>Purchasers</w:t>
      </w:r>
      <w:r>
        <w:rPr>
          <w:rFonts w:ascii="Times New Roman" w:cs="Times New Roman" w:eastAsia="Times New Roman" w:hAnsi="Times New Roman"/>
          <w:sz w:val="21"/>
          <w:szCs w:val="21"/>
          <w:color w:val="auto"/>
        </w:rPr>
        <w:t>”), to that certain ATM Equity Offering Sales Agreement, dated November 6, 2024 (the “</w:t>
      </w:r>
      <w:r>
        <w:rPr>
          <w:rFonts w:ascii="Times New Roman" w:cs="Times New Roman" w:eastAsia="Times New Roman" w:hAnsi="Times New Roman"/>
          <w:sz w:val="21"/>
          <w:szCs w:val="21"/>
          <w:b w:val="1"/>
          <w:bCs w:val="1"/>
          <w:color w:val="auto"/>
        </w:rPr>
        <w:t>Agreement</w:t>
      </w:r>
      <w:r>
        <w:rPr>
          <w:rFonts w:ascii="Times New Roman" w:cs="Times New Roman" w:eastAsia="Times New Roman" w:hAnsi="Times New Roman"/>
          <w:sz w:val="21"/>
          <w:szCs w:val="21"/>
          <w:color w:val="auto"/>
        </w:rPr>
        <w:t>”).</w:t>
      </w:r>
    </w:p>
    <w:p>
      <w:pPr>
        <w:spacing w:after="0" w:line="1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W I T N E S S E T H</w:t>
      </w:r>
      <w:r>
        <w:rPr>
          <w:rFonts w:ascii="Times New Roman" w:cs="Times New Roman" w:eastAsia="Times New Roman" w:hAnsi="Times New Roman"/>
          <w:sz w:val="22"/>
          <w:szCs w:val="22"/>
          <w:b w:val="1"/>
          <w:bCs w:val="1"/>
          <w:color w:val="auto"/>
        </w:rPr>
        <w:t>:</w:t>
      </w:r>
    </w:p>
    <w:p>
      <w:pPr>
        <w:spacing w:after="0" w:line="332"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WHEREAS, the Company, Barclays Capital Inc., BofA Securities, Inc., Citigroup Global Markets Inc., Goldman Sachs &amp; Co. LLC, J.P. Morgan Securities LLC, Mizuho Securities USA LLC, Morgan Stanley &amp; Co. LLC, MUFG Securities Americas Inc., RBC Capital Markets, LLC, Scotia Capital (USA) Inc. and Wells Fargo Securities, LLC, as sales agents, principals and/or forward sellers (in such capacity, together the “</w:t>
      </w:r>
      <w:r>
        <w:rPr>
          <w:rFonts w:ascii="Times New Roman" w:cs="Times New Roman" w:eastAsia="Times New Roman" w:hAnsi="Times New Roman"/>
          <w:sz w:val="22"/>
          <w:szCs w:val="22"/>
          <w:b w:val="1"/>
          <w:bCs w:val="1"/>
          <w:color w:val="auto"/>
        </w:rPr>
        <w:t>Original Agents</w:t>
      </w:r>
      <w:r>
        <w:rPr>
          <w:rFonts w:ascii="Times New Roman" w:cs="Times New Roman" w:eastAsia="Times New Roman" w:hAnsi="Times New Roman"/>
          <w:sz w:val="22"/>
          <w:szCs w:val="22"/>
          <w:color w:val="auto"/>
        </w:rPr>
        <w:t>”), and Barclays Bank PLC, Bank of America, N.A., Citibank, N.A., Goldman Sachs &amp; Co. LLC, JPMorgan Chase Bank, National Association, Mizuho Markets Americas LLC, Morgan Stanley &amp; Co. LLC, MUFG Securities EMEA plc, Royal Bank of Canada, The Bank of Nova Scotia and Wells Fargo Bank, National Association, as forward purchasers (together with the Company and the Original Agents, the “</w:t>
      </w:r>
      <w:r>
        <w:rPr>
          <w:rFonts w:ascii="Times New Roman" w:cs="Times New Roman" w:eastAsia="Times New Roman" w:hAnsi="Times New Roman"/>
          <w:sz w:val="22"/>
          <w:szCs w:val="22"/>
          <w:b w:val="1"/>
          <w:bCs w:val="1"/>
          <w:color w:val="auto"/>
        </w:rPr>
        <w:t>Original Parties</w:t>
      </w:r>
      <w:r>
        <w:rPr>
          <w:rFonts w:ascii="Times New Roman" w:cs="Times New Roman" w:eastAsia="Times New Roman" w:hAnsi="Times New Roman"/>
          <w:sz w:val="22"/>
          <w:szCs w:val="22"/>
          <w:color w:val="auto"/>
        </w:rPr>
        <w:t>”) are parties to the Agreement;</w:t>
      </w:r>
    </w:p>
    <w:p>
      <w:pPr>
        <w:spacing w:after="0" w:line="214"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2"/>
          <w:szCs w:val="22"/>
          <w:color w:val="auto"/>
        </w:rPr>
        <w:t>WHEREAS, the Original Parties wish to amend the Agreement to add (i) BMO Capital Markets Corp., BNP Paribas Securities Corp., Credit Agricole Securities (USA) Inc. and Truist Securities, Inc., as sales agents, principals and/or forward sellers (together, the “</w:t>
      </w:r>
      <w:r>
        <w:rPr>
          <w:rFonts w:ascii="Times New Roman" w:cs="Times New Roman" w:eastAsia="Times New Roman" w:hAnsi="Times New Roman"/>
          <w:sz w:val="22"/>
          <w:szCs w:val="22"/>
          <w:b w:val="1"/>
          <w:bCs w:val="1"/>
          <w:color w:val="auto"/>
        </w:rPr>
        <w:t>Additional Agents</w:t>
      </w:r>
      <w:r>
        <w:rPr>
          <w:rFonts w:ascii="Times New Roman" w:cs="Times New Roman" w:eastAsia="Times New Roman" w:hAnsi="Times New Roman"/>
          <w:sz w:val="22"/>
          <w:szCs w:val="22"/>
          <w:color w:val="auto"/>
        </w:rPr>
        <w:t>”), and (ii) Bank of Montreal, BNP Paribas, Crédit Agricole Corporate and Investment Bank and Truist Bank, as forward purchasers (the “</w:t>
      </w:r>
      <w:r>
        <w:rPr>
          <w:rFonts w:ascii="Times New Roman" w:cs="Times New Roman" w:eastAsia="Times New Roman" w:hAnsi="Times New Roman"/>
          <w:sz w:val="22"/>
          <w:szCs w:val="22"/>
          <w:b w:val="1"/>
          <w:bCs w:val="1"/>
          <w:color w:val="auto"/>
        </w:rPr>
        <w:t>Additional Forward Purchasers</w:t>
      </w:r>
      <w:r>
        <w:rPr>
          <w:rFonts w:ascii="Times New Roman" w:cs="Times New Roman" w:eastAsia="Times New Roman" w:hAnsi="Times New Roman"/>
          <w:sz w:val="22"/>
          <w:szCs w:val="22"/>
          <w:color w:val="auto"/>
        </w:rPr>
        <w:t>” and, together with the Additional Agents, the “</w:t>
      </w:r>
      <w:r>
        <w:rPr>
          <w:rFonts w:ascii="Times New Roman" w:cs="Times New Roman" w:eastAsia="Times New Roman" w:hAnsi="Times New Roman"/>
          <w:sz w:val="22"/>
          <w:szCs w:val="22"/>
          <w:b w:val="1"/>
          <w:bCs w:val="1"/>
          <w:color w:val="auto"/>
        </w:rPr>
        <w:t>Additional Parties</w:t>
      </w:r>
      <w:r>
        <w:rPr>
          <w:rFonts w:ascii="Times New Roman" w:cs="Times New Roman" w:eastAsia="Times New Roman" w:hAnsi="Times New Roman"/>
          <w:sz w:val="22"/>
          <w:szCs w:val="22"/>
          <w:color w:val="auto"/>
        </w:rPr>
        <w:t>”) as parties to the Agreement and modify Section 3(u) of the Agreement;</w:t>
      </w:r>
    </w:p>
    <w:p>
      <w:pPr>
        <w:spacing w:after="0" w:line="17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color w:val="auto"/>
        </w:rPr>
        <w:t>WHEREAS, the Additional Parties wish to become parties to the Agreement, in each case with effect from and after the Company’s filing of a new automatic shelf registration statement on Form S-3, which includes a base prospectus and a new prospectus supplement relating to the Shares and the offering contemplated by the Agreement, which filing is expected to occur on or about May 15, 2026 (the “</w:t>
      </w:r>
      <w:r>
        <w:rPr>
          <w:rFonts w:ascii="Times New Roman" w:cs="Times New Roman" w:eastAsia="Times New Roman" w:hAnsi="Times New Roman"/>
          <w:sz w:val="22"/>
          <w:szCs w:val="22"/>
          <w:b w:val="1"/>
          <w:bCs w:val="1"/>
          <w:color w:val="auto"/>
        </w:rPr>
        <w:t>Effective Date</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w:t>
      </w:r>
    </w:p>
    <w:p>
      <w:pPr>
        <w:sectPr>
          <w:pgSz w:w="11900" w:h="16838" w:orient="portrait"/>
          <w:cols w:equalWidth="0" w:num="1">
            <w:col w:w="11240"/>
          </w:cols>
          <w:pgMar w:left="320" w:top="1418" w:right="339" w:bottom="1440" w:gutter="0" w:footer="0" w:header="0"/>
        </w:sectPr>
      </w:pPr>
    </w:p>
    <w:bookmarkStart w:id="121" w:name="page122"/>
    <w:bookmarkEnd w:id="121"/>
    <w:p>
      <w:pPr>
        <w:ind w:firstLine="648"/>
        <w:spacing w:after="0" w:line="271" w:lineRule="auto"/>
        <w:rPr>
          <w:sz w:val="20"/>
          <w:szCs w:val="20"/>
          <w:color w:val="auto"/>
        </w:rPr>
      </w:pPr>
      <w:r>
        <w:rPr>
          <w:rFonts w:ascii="Times New Roman" w:cs="Times New Roman" w:eastAsia="Times New Roman" w:hAnsi="Times New Roman"/>
          <w:sz w:val="22"/>
          <w:szCs w:val="22"/>
          <w:color w:val="auto"/>
        </w:rPr>
        <w:t>WHEREAS, the parties desire to make certain related conforming changes to the Agreement in connection with the addition of the Additional Parties; and</w:t>
      </w:r>
    </w:p>
    <w:p>
      <w:pPr>
        <w:spacing w:after="0" w:line="158" w:lineRule="exact"/>
        <w:rPr>
          <w:sz w:val="20"/>
          <w:szCs w:val="20"/>
          <w:color w:val="auto"/>
        </w:rPr>
      </w:pPr>
    </w:p>
    <w:p>
      <w:pPr>
        <w:ind w:firstLine="648"/>
        <w:spacing w:after="0" w:line="284" w:lineRule="auto"/>
        <w:rPr>
          <w:sz w:val="20"/>
          <w:szCs w:val="20"/>
          <w:color w:val="auto"/>
        </w:rPr>
      </w:pPr>
      <w:r>
        <w:rPr>
          <w:rFonts w:ascii="Times New Roman" w:cs="Times New Roman" w:eastAsia="Times New Roman" w:hAnsi="Times New Roman"/>
          <w:sz w:val="22"/>
          <w:szCs w:val="22"/>
          <w:color w:val="auto"/>
        </w:rPr>
        <w:t>WHEREAS, this Amendment No. 1 shall constitute an amendment to the Agreement, which shall remain in full force and effect as amended by this Amendment No. 1.</w:t>
      </w:r>
    </w:p>
    <w:p>
      <w:pPr>
        <w:spacing w:after="0" w:line="144" w:lineRule="exact"/>
        <w:rPr>
          <w:sz w:val="20"/>
          <w:szCs w:val="20"/>
          <w:color w:val="auto"/>
        </w:rPr>
      </w:pPr>
    </w:p>
    <w:p>
      <w:pPr>
        <w:ind w:right="20" w:firstLine="648"/>
        <w:spacing w:after="0" w:line="271" w:lineRule="auto"/>
        <w:rPr>
          <w:sz w:val="20"/>
          <w:szCs w:val="20"/>
          <w:color w:val="auto"/>
        </w:rPr>
      </w:pPr>
      <w:r>
        <w:rPr>
          <w:rFonts w:ascii="Times New Roman" w:cs="Times New Roman" w:eastAsia="Times New Roman" w:hAnsi="Times New Roman"/>
          <w:sz w:val="22"/>
          <w:szCs w:val="22"/>
          <w:color w:val="auto"/>
        </w:rPr>
        <w:t>NOW, THEREFORE, in consideration of the mutual agreement to amend the Agreement, the parties hereto, intending legally to be bound, hereby amend and modify the Agreement as of the date hereof as follows:</w:t>
      </w:r>
    </w:p>
    <w:p>
      <w:pPr>
        <w:spacing w:after="0" w:line="131" w:lineRule="exact"/>
        <w:rPr>
          <w:sz w:val="20"/>
          <w:szCs w:val="20"/>
          <w:color w:val="auto"/>
        </w:rPr>
      </w:pPr>
    </w:p>
    <w:p>
      <w:pPr>
        <w:ind w:left="660"/>
        <w:spacing w:after="0"/>
        <w:tabs>
          <w:tab w:leader="none" w:pos="1880" w:val="left"/>
        </w:tabs>
        <w:rPr>
          <w:sz w:val="20"/>
          <w:szCs w:val="20"/>
          <w:color w:val="auto"/>
        </w:rPr>
      </w:pPr>
      <w:r>
        <w:rPr>
          <w:rFonts w:ascii="Times New Roman" w:cs="Times New Roman" w:eastAsia="Times New Roman" w:hAnsi="Times New Roman"/>
          <w:sz w:val="22"/>
          <w:szCs w:val="22"/>
          <w:color w:val="auto"/>
        </w:rPr>
        <w:t>Section 1.</w:t>
      </w:r>
      <w:r>
        <w:rPr>
          <w:sz w:val="20"/>
          <w:szCs w:val="20"/>
          <w:color w:val="auto"/>
        </w:rPr>
        <w:tab/>
      </w:r>
      <w:r>
        <w:rPr>
          <w:rFonts w:ascii="Times New Roman" w:cs="Times New Roman" w:eastAsia="Times New Roman" w:hAnsi="Times New Roman"/>
          <w:sz w:val="21"/>
          <w:szCs w:val="21"/>
          <w:u w:val="single" w:color="auto"/>
          <w:color w:val="auto"/>
        </w:rPr>
        <w:t>Definitions</w:t>
      </w:r>
      <w:r>
        <w:rPr>
          <w:rFonts w:ascii="Times New Roman" w:cs="Times New Roman" w:eastAsia="Times New Roman" w:hAnsi="Times New Roman"/>
          <w:sz w:val="21"/>
          <w:szCs w:val="21"/>
          <w:color w:val="auto"/>
        </w:rPr>
        <w:t>.</w:t>
      </w:r>
    </w:p>
    <w:p>
      <w:pPr>
        <w:spacing w:after="0" w:line="179" w:lineRule="exact"/>
        <w:rPr>
          <w:sz w:val="20"/>
          <w:szCs w:val="20"/>
          <w:color w:val="auto"/>
        </w:rPr>
      </w:pPr>
    </w:p>
    <w:p>
      <w:pPr>
        <w:ind w:right="440" w:firstLine="216"/>
        <w:spacing w:after="0" w:line="236" w:lineRule="auto"/>
        <w:rPr>
          <w:sz w:val="20"/>
          <w:szCs w:val="20"/>
          <w:color w:val="auto"/>
        </w:rPr>
      </w:pPr>
      <w:r>
        <w:rPr>
          <w:rFonts w:ascii="Times New Roman" w:cs="Times New Roman" w:eastAsia="Times New Roman" w:hAnsi="Times New Roman"/>
          <w:sz w:val="22"/>
          <w:szCs w:val="22"/>
          <w:color w:val="auto"/>
        </w:rPr>
        <w:t>Unless otherwise specified herein, capitalized terms used herein shall have the respective meanings assigned thereto in the Agreement.</w:t>
      </w:r>
    </w:p>
    <w:p>
      <w:pPr>
        <w:spacing w:after="0" w:line="150" w:lineRule="exact"/>
        <w:rPr>
          <w:sz w:val="20"/>
          <w:szCs w:val="20"/>
          <w:color w:val="auto"/>
        </w:rPr>
      </w:pPr>
    </w:p>
    <w:p>
      <w:pPr>
        <w:ind w:left="660"/>
        <w:spacing w:after="0"/>
        <w:tabs>
          <w:tab w:leader="none" w:pos="1880" w:val="left"/>
        </w:tabs>
        <w:rPr>
          <w:sz w:val="20"/>
          <w:szCs w:val="20"/>
          <w:color w:val="auto"/>
        </w:rPr>
      </w:pPr>
      <w:r>
        <w:rPr>
          <w:rFonts w:ascii="Times New Roman" w:cs="Times New Roman" w:eastAsia="Times New Roman" w:hAnsi="Times New Roman"/>
          <w:sz w:val="22"/>
          <w:szCs w:val="22"/>
          <w:color w:val="auto"/>
        </w:rPr>
        <w:t>Section 2.</w:t>
      </w:r>
      <w:r>
        <w:rPr>
          <w:sz w:val="20"/>
          <w:szCs w:val="20"/>
          <w:color w:val="auto"/>
        </w:rPr>
        <w:tab/>
      </w:r>
      <w:r>
        <w:rPr>
          <w:rFonts w:ascii="Times New Roman" w:cs="Times New Roman" w:eastAsia="Times New Roman" w:hAnsi="Times New Roman"/>
          <w:sz w:val="21"/>
          <w:szCs w:val="21"/>
          <w:u w:val="single" w:color="auto"/>
          <w:color w:val="auto"/>
        </w:rPr>
        <w:t>Representation and Warranty</w:t>
      </w:r>
      <w:r>
        <w:rPr>
          <w:rFonts w:ascii="Times New Roman" w:cs="Times New Roman" w:eastAsia="Times New Roman" w:hAnsi="Times New Roman"/>
          <w:sz w:val="21"/>
          <w:szCs w:val="21"/>
          <w:color w:val="auto"/>
        </w:rPr>
        <w:t>.</w:t>
      </w:r>
    </w:p>
    <w:p>
      <w:pPr>
        <w:spacing w:after="0" w:line="179" w:lineRule="exact"/>
        <w:rPr>
          <w:sz w:val="20"/>
          <w:szCs w:val="20"/>
          <w:color w:val="auto"/>
        </w:rPr>
      </w:pPr>
    </w:p>
    <w:p>
      <w:pPr>
        <w:ind w:firstLine="656"/>
        <w:spacing w:after="0" w:line="236" w:lineRule="auto"/>
        <w:tabs>
          <w:tab w:leader="none" w:pos="1293" w:val="left"/>
        </w:tabs>
        <w:numPr>
          <w:ilvl w:val="0"/>
          <w:numId w:val="10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represents and warrants to the Agents and the Forward Purchasers that this Amendment No. 1 has been duly authorized, executed and delivered by, and is a valid and binding agreement of, the Company.</w:t>
      </w:r>
    </w:p>
    <w:p>
      <w:pPr>
        <w:spacing w:after="0" w:line="150" w:lineRule="exact"/>
        <w:rPr>
          <w:rFonts w:ascii="Times New Roman" w:cs="Times New Roman" w:eastAsia="Times New Roman" w:hAnsi="Times New Roman"/>
          <w:sz w:val="22"/>
          <w:szCs w:val="22"/>
          <w:color w:val="auto"/>
        </w:rPr>
      </w:pPr>
    </w:p>
    <w:p>
      <w:pPr>
        <w:jc w:val="both"/>
        <w:ind w:firstLine="656"/>
        <w:spacing w:after="0" w:line="225" w:lineRule="auto"/>
        <w:tabs>
          <w:tab w:leader="none" w:pos="1291" w:val="left"/>
        </w:tabs>
        <w:numPr>
          <w:ilvl w:val="0"/>
          <w:numId w:val="10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represents and warrants to the Agents and the Forward Purchasers that it is exercising its option pursuant to Section 3(u) of the Agreement to file a new automatic shelf registration statement relating to the Shares (which, upon effectiveness, shall replace the then-existing shelf registration statement relating to the Shares).</w:t>
      </w:r>
    </w:p>
    <w:p>
      <w:pPr>
        <w:spacing w:after="0" w:line="152" w:lineRule="exact"/>
        <w:rPr>
          <w:sz w:val="20"/>
          <w:szCs w:val="20"/>
          <w:color w:val="auto"/>
        </w:rPr>
      </w:pPr>
    </w:p>
    <w:p>
      <w:pPr>
        <w:ind w:left="660"/>
        <w:spacing w:after="0"/>
        <w:tabs>
          <w:tab w:leader="none" w:pos="1880" w:val="left"/>
        </w:tabs>
        <w:rPr>
          <w:sz w:val="20"/>
          <w:szCs w:val="20"/>
          <w:color w:val="auto"/>
        </w:rPr>
      </w:pPr>
      <w:r>
        <w:rPr>
          <w:rFonts w:ascii="Times New Roman" w:cs="Times New Roman" w:eastAsia="Times New Roman" w:hAnsi="Times New Roman"/>
          <w:sz w:val="22"/>
          <w:szCs w:val="22"/>
          <w:color w:val="auto"/>
        </w:rPr>
        <w:t>Section 3.</w:t>
      </w:r>
      <w:r>
        <w:rPr>
          <w:sz w:val="20"/>
          <w:szCs w:val="20"/>
          <w:color w:val="auto"/>
        </w:rPr>
        <w:tab/>
      </w:r>
      <w:r>
        <w:rPr>
          <w:rFonts w:ascii="Times New Roman" w:cs="Times New Roman" w:eastAsia="Times New Roman" w:hAnsi="Times New Roman"/>
          <w:sz w:val="21"/>
          <w:szCs w:val="21"/>
          <w:u w:val="single" w:color="auto"/>
          <w:color w:val="auto"/>
        </w:rPr>
        <w:t>Amendment of the Agreement</w:t>
      </w:r>
      <w:r>
        <w:rPr>
          <w:rFonts w:ascii="Times New Roman" w:cs="Times New Roman" w:eastAsia="Times New Roman" w:hAnsi="Times New Roman"/>
          <w:sz w:val="21"/>
          <w:szCs w:val="21"/>
          <w:color w:val="auto"/>
        </w:rPr>
        <w:t>.</w:t>
      </w:r>
    </w:p>
    <w:p>
      <w:pPr>
        <w:spacing w:after="0" w:line="175" w:lineRule="exact"/>
        <w:rPr>
          <w:sz w:val="20"/>
          <w:szCs w:val="20"/>
          <w:color w:val="auto"/>
        </w:rPr>
      </w:pPr>
    </w:p>
    <w:p>
      <w:pPr>
        <w:jc w:val="both"/>
        <w:ind w:firstLine="656"/>
        <w:spacing w:after="0" w:line="218" w:lineRule="auto"/>
        <w:tabs>
          <w:tab w:leader="none" w:pos="1293" w:val="left"/>
        </w:tabs>
        <w:numPr>
          <w:ilvl w:val="0"/>
          <w:numId w:val="10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On and after the Effective Date, all references to “</w:t>
      </w:r>
      <w:r>
        <w:rPr>
          <w:rFonts w:ascii="Times New Roman" w:cs="Times New Roman" w:eastAsia="Times New Roman" w:hAnsi="Times New Roman"/>
          <w:sz w:val="22"/>
          <w:szCs w:val="22"/>
          <w:b w:val="1"/>
          <w:bCs w:val="1"/>
          <w:color w:val="auto"/>
        </w:rPr>
        <w:t>Agent</w:t>
      </w:r>
      <w:r>
        <w:rPr>
          <w:rFonts w:ascii="Times New Roman" w:cs="Times New Roman" w:eastAsia="Times New Roman" w:hAnsi="Times New Roman"/>
          <w:sz w:val="22"/>
          <w:szCs w:val="22"/>
          <w:color w:val="auto"/>
        </w:rPr>
        <w:t>” and “</w:t>
      </w:r>
      <w:r>
        <w:rPr>
          <w:rFonts w:ascii="Times New Roman" w:cs="Times New Roman" w:eastAsia="Times New Roman" w:hAnsi="Times New Roman"/>
          <w:sz w:val="22"/>
          <w:szCs w:val="22"/>
          <w:b w:val="1"/>
          <w:bCs w:val="1"/>
          <w:color w:val="auto"/>
        </w:rPr>
        <w:t>Agents</w:t>
      </w:r>
      <w:r>
        <w:rPr>
          <w:rFonts w:ascii="Times New Roman" w:cs="Times New Roman" w:eastAsia="Times New Roman" w:hAnsi="Times New Roman"/>
          <w:sz w:val="22"/>
          <w:szCs w:val="22"/>
          <w:color w:val="auto"/>
        </w:rPr>
        <w:t>” in the Agreement shall refer to each of Barclays Capital Inc., BMO Capital Markets Corp., BNP Paribas Securities Corp., BofA Securities, Inc., Citigroup Global Markets Inc., Credit Agricole Securities (USA) Inc., Goldman Sachs &amp; Co. LLC, J.P. Morgan Securities LLC, Mizuho Securities USA LLC, Morgan Stanley &amp; Co. LLC, MUFG Securities Americas Inc., RBC Capital Markets, LLC, Scotia Capital (USA) Inc., Truist Securities, Inc. and Wells Fargo Securities, LLC.</w:t>
      </w:r>
    </w:p>
    <w:p>
      <w:pPr>
        <w:spacing w:after="0" w:line="147" w:lineRule="exact"/>
        <w:rPr>
          <w:rFonts w:ascii="Times New Roman" w:cs="Times New Roman" w:eastAsia="Times New Roman" w:hAnsi="Times New Roman"/>
          <w:sz w:val="22"/>
          <w:szCs w:val="22"/>
          <w:color w:val="auto"/>
        </w:rPr>
      </w:pPr>
    </w:p>
    <w:p>
      <w:pPr>
        <w:jc w:val="both"/>
        <w:ind w:firstLine="656"/>
        <w:spacing w:after="0" w:line="218" w:lineRule="auto"/>
        <w:tabs>
          <w:tab w:leader="none" w:pos="1291" w:val="left"/>
        </w:tabs>
        <w:numPr>
          <w:ilvl w:val="0"/>
          <w:numId w:val="10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On and after the Effective Date, all references to “</w:t>
      </w:r>
      <w:r>
        <w:rPr>
          <w:rFonts w:ascii="Times New Roman" w:cs="Times New Roman" w:eastAsia="Times New Roman" w:hAnsi="Times New Roman"/>
          <w:sz w:val="22"/>
          <w:szCs w:val="22"/>
          <w:b w:val="1"/>
          <w:bCs w:val="1"/>
          <w:color w:val="auto"/>
        </w:rPr>
        <w:t>Forward Purchaser”</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b w:val="1"/>
          <w:bCs w:val="1"/>
          <w:color w:val="auto"/>
        </w:rPr>
        <w:t>Forward Purchasers</w:t>
      </w:r>
      <w:r>
        <w:rPr>
          <w:rFonts w:ascii="Times New Roman" w:cs="Times New Roman" w:eastAsia="Times New Roman" w:hAnsi="Times New Roman"/>
          <w:sz w:val="22"/>
          <w:szCs w:val="22"/>
          <w:color w:val="auto"/>
        </w:rPr>
        <w:t>” in the Agreement shall refer to Barclays Bank PLC, Bank of Montreal, BNP Paribas, Bank of America, N.A., Citibank, N.A., Crédit Agricole Corporate and Investment Bank, Goldman Sachs &amp; Co. LLC, JPMorgan Chase Bank, National Association, Mizuho Markets Americas LLC, Morgan Stanley &amp; Co. LLC, MUFG Securities EMEA plc, Royal Bank of Canada, The Bank of Nova Scotia, Truist Bank and Wells Fargo Bank, National Association.</w:t>
      </w:r>
    </w:p>
    <w:p>
      <w:pPr>
        <w:spacing w:after="0" w:line="151" w:lineRule="exact"/>
        <w:rPr>
          <w:rFonts w:ascii="Times New Roman" w:cs="Times New Roman" w:eastAsia="Times New Roman" w:hAnsi="Times New Roman"/>
          <w:sz w:val="22"/>
          <w:szCs w:val="22"/>
          <w:color w:val="auto"/>
        </w:rPr>
      </w:pPr>
    </w:p>
    <w:p>
      <w:pPr>
        <w:jc w:val="both"/>
        <w:ind w:firstLine="656"/>
        <w:spacing w:after="0" w:line="213" w:lineRule="auto"/>
        <w:tabs>
          <w:tab w:leader="none" w:pos="1293" w:val="left"/>
        </w:tabs>
        <w:numPr>
          <w:ilvl w:val="0"/>
          <w:numId w:val="10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On and after the Effective Date, the sixth sentence of Section 2(b) of the Agreement is hereby amended and restated in its entirety as follows: “For the avoidance of doubt, the foregoing limitation on sales through only one Agent per Trading Day shall not apply to sales solely to employees or security holders of the Company or its subsidiaries or to a trustee or other person acquiring shares of the Company’s Common Stock for the accounts of such persons in which either Barclays, BMO Capital Markets Corp., BNP Paribas Securities Corp., BofAS, Citigroup, Credit Agricole Securities (USA) Inc., Goldman, JPM, Mizuho, MS, MUFG, RBC, Scotia, Truist Securities, Inc. or WFS is acting for the Company in a capacity other than as Agent or Forward Purchaser under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ectPr>
          <w:pgSz w:w="11900" w:h="16838" w:orient="portrait"/>
          <w:cols w:equalWidth="0" w:num="1">
            <w:col w:w="11240"/>
          </w:cols>
          <w:pgMar w:left="320" w:top="1422" w:right="339" w:bottom="1440" w:gutter="0" w:footer="0" w:header="0"/>
        </w:sectPr>
      </w:pPr>
    </w:p>
    <w:bookmarkStart w:id="122" w:name="page123"/>
    <w:bookmarkEnd w:id="122"/>
    <w:p>
      <w:pPr>
        <w:jc w:val="both"/>
        <w:ind w:firstLine="656"/>
        <w:spacing w:after="0" w:line="211" w:lineRule="auto"/>
        <w:tabs>
          <w:tab w:leader="none" w:pos="1291" w:val="left"/>
        </w:tabs>
        <w:numPr>
          <w:ilvl w:val="0"/>
          <w:numId w:val="10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On and after the Effective Date, the sixth sentence of Section 3(u) of the Agreement is hereby amended and restated in its entirety as follows: “From and after the effectiveness of any such new shelf registration statement, references herein to the “Registration Statement” and references to “such registration statement” appearing in the second and third sentences of the third paragraph of this Agreement shall be deemed to mean such new registration statement, </w:t>
      </w:r>
      <w:r>
        <w:rPr>
          <w:rFonts w:ascii="Times New Roman" w:cs="Times New Roman" w:eastAsia="Times New Roman" w:hAnsi="Times New Roman"/>
          <w:sz w:val="22"/>
          <w:szCs w:val="22"/>
          <w:i w:val="1"/>
          <w:iCs w:val="1"/>
          <w:color w:val="auto"/>
        </w:rPr>
        <w:t>mutatis mutandis</w:t>
      </w:r>
      <w:r>
        <w:rPr>
          <w:rFonts w:ascii="Times New Roman" w:cs="Times New Roman" w:eastAsia="Times New Roman" w:hAnsi="Times New Roman"/>
          <w:sz w:val="22"/>
          <w:szCs w:val="22"/>
          <w:color w:val="auto"/>
        </w:rPr>
        <w:t xml:space="preserve">, and, from and after the filing of any such new prospectus supplement and base prospectus pursuant to Rule 424(b) of the Securities Act Regulations, references herein to the “Prospectus Supplement” and the “Base Prospectus,” the reference to the “base prospectus” appearing in the third sentence of the third paragraph of this Agreement, the reference to “a prospectus supplement” appearing in the fourth sentence of the third paragraph of this Agreement, and the reference to “such prospectus supplement” appearing in the fifth sentence of the third paragraph of this Agreement, shall be deemed to mean such new prospectus supplement or such new base prospectus, as applicable, </w:t>
      </w:r>
      <w:r>
        <w:rPr>
          <w:rFonts w:ascii="Times New Roman" w:cs="Times New Roman" w:eastAsia="Times New Roman" w:hAnsi="Times New Roman"/>
          <w:sz w:val="22"/>
          <w:szCs w:val="22"/>
          <w:i w:val="1"/>
          <w:iCs w:val="1"/>
          <w:color w:val="auto"/>
        </w:rPr>
        <w:t>mutatis mutandis</w:t>
      </w:r>
      <w:r>
        <w:rPr>
          <w:rFonts w:ascii="Times New Roman" w:cs="Times New Roman" w:eastAsia="Times New Roman" w:hAnsi="Times New Roman"/>
          <w:sz w:val="22"/>
          <w:szCs w:val="22"/>
          <w:color w:val="auto"/>
        </w:rPr>
        <w:t>.”</w:t>
      </w:r>
    </w:p>
    <w:p>
      <w:pPr>
        <w:spacing w:after="0" w:line="150"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0"/>
          <w:numId w:val="10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On and after the Effective Date, Section 10 of the Agreement is hereby deleted in its entirety and replaced with the</w:t>
      </w:r>
    </w:p>
    <w:p>
      <w:pPr>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following:</w:t>
      </w:r>
    </w:p>
    <w:p>
      <w:pPr>
        <w:spacing w:after="0" w:line="155" w:lineRule="exact"/>
        <w:rPr>
          <w:sz w:val="20"/>
          <w:szCs w:val="20"/>
          <w:color w:val="auto"/>
        </w:rPr>
      </w:pPr>
    </w:p>
    <w:p>
      <w:pPr>
        <w:jc w:val="both"/>
        <w:ind w:left="660"/>
        <w:spacing w:after="0" w:line="219" w:lineRule="auto"/>
        <w:rPr>
          <w:sz w:val="20"/>
          <w:szCs w:val="20"/>
          <w:color w:val="auto"/>
        </w:rPr>
      </w:pPr>
      <w:r>
        <w:rPr>
          <w:rFonts w:ascii="Times New Roman" w:cs="Times New Roman" w:eastAsia="Times New Roman" w:hAnsi="Times New Roman"/>
          <w:sz w:val="21"/>
          <w:szCs w:val="21"/>
          <w:color w:val="auto"/>
        </w:rPr>
        <w:t xml:space="preserve">Section 10. </w:t>
      </w:r>
      <w:r>
        <w:rPr>
          <w:rFonts w:ascii="Times New Roman" w:cs="Times New Roman" w:eastAsia="Times New Roman" w:hAnsi="Times New Roman"/>
          <w:sz w:val="21"/>
          <w:szCs w:val="21"/>
          <w:u w:val="single" w:color="auto"/>
          <w:color w:val="auto"/>
        </w:rPr>
        <w:t>Notices</w:t>
      </w:r>
      <w:r>
        <w:rPr>
          <w:rFonts w:ascii="Times New Roman" w:cs="Times New Roman" w:eastAsia="Times New Roman" w:hAnsi="Times New Roman"/>
          <w:sz w:val="21"/>
          <w:szCs w:val="21"/>
          <w:color w:val="auto"/>
        </w:rPr>
        <w:t>. Except for notices expressly stated herein to be made by telephone, all notices and other communications hereunder shall be in writing and, except for notices expressly permitted herein to be made by email, shall be deemed to have been duly given if mailed or transmitted by overnight courier or telecopy. Notices to the Agents shall be directed to them at Barclays Capital Inc., 745 Seventh Avenue, New York, New York 10019, Attention: Syndicate Registration, facsimile: (646) 834-8133, or solely with respect to notices expressly stated herein to be made by telephone,</w:t>
      </w:r>
    </w:p>
    <w:p>
      <w:pPr>
        <w:spacing w:after="0" w:line="2" w:lineRule="exact"/>
        <w:rPr>
          <w:sz w:val="20"/>
          <w:szCs w:val="20"/>
          <w:color w:val="auto"/>
        </w:rPr>
      </w:pPr>
    </w:p>
    <w:p>
      <w:pPr>
        <w:jc w:val="both"/>
        <w:ind w:left="660" w:hanging="4"/>
        <w:spacing w:after="0" w:line="214" w:lineRule="auto"/>
        <w:tabs>
          <w:tab w:leader="none" w:pos="1251" w:val="left"/>
        </w:tabs>
        <w:numPr>
          <w:ilvl w:val="0"/>
          <w:numId w:val="10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526-3660, or solely with respect to notices expressly permitted herein to be made by email or telecopy, robert.stowe@barclays.com; BMO Capital Markets Corp., Equity-Linked Capital Markets, 151 W 42nd Street, 32nd Floor, New York, New York 10036, Attention: Equity Syndicate Department, with a copy to the Legal Department Telephone: (800) 414-3627; BNP Paribas Securities Corp., 787 Seventh Avenue, New York, New York 10019, Attn: Robert McDonald, e-mail: dl.nyk.ste@us.bnpparibas.com; BofA Securities, Inc., One Bryant Park, New York, New York 10036, Attention: ATM Execution Team, email: dg.atm_execution@bofa.com, facsimile: (646) 855-3073, with a copy to ECM Legal, or solely with respect to notices expressly stated herein to be made by telephone, (646) 855-8901, or solely with respect to notices expressly permitted herein to be made by email or telecopy, dg.atm_execution@bofa.com or (646) 855-3073; Citigroup Global Markets Inc., 388 Greenwich Street, New York, New York 10013, Attention: General Counsel, facsimile: (646) 291-1469, or solely with respect to notices expressly stated herein to be made by telephone,</w:t>
      </w:r>
    </w:p>
    <w:p>
      <w:pPr>
        <w:spacing w:after="0" w:line="6" w:lineRule="exact"/>
        <w:rPr>
          <w:rFonts w:ascii="Times New Roman" w:cs="Times New Roman" w:eastAsia="Times New Roman" w:hAnsi="Times New Roman"/>
          <w:sz w:val="21"/>
          <w:szCs w:val="21"/>
          <w:color w:val="auto"/>
        </w:rPr>
      </w:pPr>
    </w:p>
    <w:p>
      <w:pPr>
        <w:jc w:val="both"/>
        <w:ind w:left="660" w:hanging="4"/>
        <w:spacing w:after="0" w:line="218" w:lineRule="auto"/>
        <w:tabs>
          <w:tab w:leader="none" w:pos="1251" w:val="left"/>
        </w:tabs>
        <w:numPr>
          <w:ilvl w:val="0"/>
          <w:numId w:val="10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723-7833, or solely with respect to notices expressly permitted herein to be made by email or telecopy, setg.origination@citi.com; Credit Agricole Securities (USA) Inc., 1301 Avenue of the Americas, New York, New York 10019, Attention: Douglas Cheng, telephone: (212) 261-7008, Email: douglas.cheng@ca-cib.com, equitycapitalmarkets@ca-cib.com; equitycapitalmarkets@ca-cib.com; Goldman Sachs &amp; Co. LLC, 200 West Street, New York, New York 10282, Attention: Michael Voris, Ryan Cunn, Equity Capital Markets, email: michael.voris@gs.com, ryan.cunn@gs.com and email notification to the following addresses: gs-reecm@ny.email.gs.com, Eq-derivs-notifications@am.ibd.gs.com, facsimile: (212) 291-5027, telephone: (212) 902-4895, or solely with respect to notices expressly stated herein to be made by telephone, (212) 902-4895, or solely with respect to notices expressly permitted herein to be made by email or telecopy, michael.voris@gs.com, ryan.cunn@gs.com, gs-reecm@ny.email.gs.com, Eq-derivs-notifications@am.ibd.gs.com and (212) 291-5027; J.P. Morgan Securities LLC, 270 Park Avenue, New York, New York 10017, Attention: Sanjeet Dewal, email: sanjeet.s.dewal@jpmorgan.com, facsimile: (212) 622-8783, or solely with respect to notices expressly stated herein to be made by telephone, (212) 622-8783, or solely 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w:t>
      </w:r>
    </w:p>
    <w:p>
      <w:pPr>
        <w:sectPr>
          <w:pgSz w:w="11900" w:h="16838" w:orient="portrait"/>
          <w:cols w:equalWidth="0" w:num="1">
            <w:col w:w="11240"/>
          </w:cols>
          <w:pgMar w:left="320" w:top="1395" w:right="339" w:bottom="1440" w:gutter="0" w:footer="0" w:header="0"/>
        </w:sectPr>
      </w:pPr>
    </w:p>
    <w:bookmarkStart w:id="123" w:name="page124"/>
    <w:bookmarkEnd w:id="123"/>
    <w:p>
      <w:pPr>
        <w:jc w:val="both"/>
        <w:ind w:left="4"/>
        <w:spacing w:after="0" w:line="220" w:lineRule="auto"/>
        <w:rPr>
          <w:sz w:val="20"/>
          <w:szCs w:val="20"/>
          <w:color w:val="auto"/>
        </w:rPr>
      </w:pPr>
      <w:r>
        <w:rPr>
          <w:rFonts w:ascii="Times New Roman" w:cs="Times New Roman" w:eastAsia="Times New Roman" w:hAnsi="Times New Roman"/>
          <w:sz w:val="21"/>
          <w:szCs w:val="21"/>
          <w:color w:val="auto"/>
        </w:rPr>
        <w:t>respect to notices expressly permitted herein to be made by email or telecopy, sanjeet.s.dewal@jpmorgan.com; Mizuho Securities USA LLC, 1271 Avenue of the Americas, 3rd Floor, New York, New York 10020, Attention: Equity Capital Markets, or solely with respect to notices expressly stated herein to be made by telephone, (212) 205-7600, or solely with respect to notices expressly permitted herein to be made by email or telecopy, ecm@mizuhogroup.com; Morgan Stanley</w:t>
      </w:r>
    </w:p>
    <w:p>
      <w:pPr>
        <w:ind w:left="284" w:hanging="284"/>
        <w:spacing w:after="0" w:line="207" w:lineRule="auto"/>
        <w:tabs>
          <w:tab w:leader="none" w:pos="284" w:val="left"/>
        </w:tabs>
        <w:numPr>
          <w:ilvl w:val="0"/>
          <w:numId w:val="10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 LLC, 1585 Broadway, 6th Floor, New York, New York 10036, Attention: Ludivine Stein, Scott Finz, and</w:t>
      </w:r>
    </w:p>
    <w:p>
      <w:pPr>
        <w:jc w:val="both"/>
        <w:ind w:left="4"/>
        <w:spacing w:after="0" w:line="214" w:lineRule="auto"/>
        <w:rPr>
          <w:rFonts w:ascii="Times New Roman" w:cs="Times New Roman" w:eastAsia="Times New Roman" w:hAnsi="Times New Roman"/>
          <w:sz w:val="22"/>
          <w:szCs w:val="22"/>
          <w:color w:val="auto"/>
        </w:rPr>
      </w:pPr>
      <w:r>
        <w:rPr>
          <w:rFonts w:ascii="Times New Roman" w:cs="Times New Roman" w:eastAsia="Times New Roman" w:hAnsi="Times New Roman"/>
          <w:sz w:val="21"/>
          <w:szCs w:val="21"/>
          <w:color w:val="auto"/>
        </w:rPr>
        <w:t>Alexandra Min, email: Ludivine.stein@morganstanley.com, scott.finz@morganstanley.com, and Alexandra.min@morganstanley.com, or solely with respect to notices expressly stated herein to be made by telephone, (212) 761-2165 and (212) 761-5661, or solely with respect to notices expressly permitted herein to be made by email or telecopy, john.boyce@morganstanley.com and Brennan.scanlon@morganstanley.com; MUFG Securities Americas Inc.,</w:t>
      </w:r>
    </w:p>
    <w:p>
      <w:pPr>
        <w:spacing w:after="0" w:line="2" w:lineRule="exact"/>
        <w:rPr>
          <w:rFonts w:ascii="Times New Roman" w:cs="Times New Roman" w:eastAsia="Times New Roman" w:hAnsi="Times New Roman"/>
          <w:sz w:val="22"/>
          <w:szCs w:val="22"/>
          <w:color w:val="auto"/>
        </w:rPr>
      </w:pPr>
    </w:p>
    <w:p>
      <w:pPr>
        <w:jc w:val="both"/>
        <w:ind w:left="4"/>
        <w:spacing w:after="0" w:line="214" w:lineRule="auto"/>
        <w:rPr>
          <w:rFonts w:ascii="Times New Roman" w:cs="Times New Roman" w:eastAsia="Times New Roman" w:hAnsi="Times New Roman"/>
          <w:sz w:val="22"/>
          <w:szCs w:val="22"/>
          <w:color w:val="auto"/>
        </w:rPr>
      </w:pPr>
      <w:r>
        <w:rPr>
          <w:rFonts w:ascii="Times New Roman" w:cs="Times New Roman" w:eastAsia="Times New Roman" w:hAnsi="Times New Roman"/>
          <w:sz w:val="21"/>
          <w:szCs w:val="21"/>
          <w:color w:val="auto"/>
        </w:rPr>
        <w:t>1221 Avenue of the Americas, 6th Floor, New York, New York 10020, Attention: Equity Capital Markets, facsimile: (646) 434-3455, or solely with respect to notices expressly stated herein to be made by telephone, (212) 405-7456, or solely with respect to notices expressly permitted herein to be made by email or telecopy, FLOEStransactions@us.sc.mufg.jp and ECM@us.sc.mufg.jp; RBC Capital Markets, LLC, Brookfield Place, 200 Vesey Street, 8th Floor, New York, New York 10281, Attention: TJ Opladen, email: tj.opladen@rbccm.com, telephone: (212) 905-5846, or solely with respect to notices expressly stated herein to be made by telephone, (212) 905-5846, or solely with respect to notices expressly permitted herein to be made by email or telecopy, tj.opladen@rbccm.com; Scotia Capital (USA) Inc., 250 Vesey Street, 24th Floor, New York, New York 10281, Attention: Equity Capital Markets, email: us.ecm@scotiabank.com, with a copy to Chief Legal Officer U.S., email: us.legal@scotiabank.com, or solely with respect to notices expressly stated herein to be made by telephone, (212) 225-6679, or solely with respect to notices expressly permitted herein to be made by email or telecopy, us.ecm@scotiabank.com and us.legal@scotiabank.com; Truist Securities, Inc., 50 Hudson Yards, 70th Floor, New York, New York 10001, Attn: Equity Capital Markets, Email: dl.atm.offering@truist.com, with a copy to: Rakesh Mangat, Managing Director, telephone: 212-303-0137, email:rakesh.mangat@truist.com; and Wells Fargo Securities, LLC, 500 West 33rd Street, New York, New York 10001, Attention: Special Equities Group, email: WellsFargoSpecialEquitiesTrading@wellsfargo.com; and, notices to the Forward Purchasers shall be directed, as applicable, to Barclays Bank PLC, 745 Seventh Avenue, New York, New York 10019, Attention: Equity Linked &amp; Financing Solutions, email: ELHSNotifications@barclays.com, telephone: (212) 526-8627; Bank of Montreal, 55 Bloor Street West, 18th Floor, Toronto, Ontario M4W 1A5, Canada, Attention: Manager, Derivatives Operations, Facsimile: (416) 552-7904, Telephone: (416) 552-4177, with a copy to: Bank of Montreal, 100 King Street West, 20th Floor, Toronto, Ontario M5X 1A1, Canada, Attention: Associate General Counsel &amp; Managing Director, Derivatives Legal Group, Facsimile: (416) 956-2318; BNP Paribas, 787 Seventh Avenue, New York, New York 10019, Attention: Robert McDonald, Email: dl.nyk.ste@us.bnpparibas.com; Bank of America, N.A., One Bryant Park, New York, New York 10036, Attention: ATM Execution Team, email:dg.atm_execution@bofa.com, facsimile: (646) 855-3073, with a copy to ECM Legal; Citibank, N.A., 390 Greenwich Street, New York, New York 10013, Attention: Strategic Equity Solutions, email: eq.us.ses.notifications@citi.com; Crédit Agricole Corporate and Investment Bank, 12 place des États-Unis CS 70052, 92547 Montrouge Cedex, France, Attention: Legal Department, Facsimile: +33 1 41 89 64 79, + 33 1 41 89 29 86, with a copy to Mimoun Nadir, telephone: +33141899584, email: eqd-corporates-emea@ca-cib.com, with a copy to Crédit Agricole Corporate and Investment Bank, c/o Credit Agricole Securities (USA) Inc., 1301 Avenue of the Americas, New York, New York 10019, Attention: Antoine Jounet and Jonathan Fecowicz, telephone:</w:t>
      </w:r>
    </w:p>
    <w:p>
      <w:pPr>
        <w:spacing w:after="0" w:line="19" w:lineRule="exact"/>
        <w:rPr>
          <w:rFonts w:ascii="Times New Roman" w:cs="Times New Roman" w:eastAsia="Times New Roman" w:hAnsi="Times New Roman"/>
          <w:sz w:val="22"/>
          <w:szCs w:val="22"/>
          <w:color w:val="auto"/>
        </w:rPr>
      </w:pPr>
    </w:p>
    <w:p>
      <w:pPr>
        <w:ind w:left="4"/>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(212) 261-7372, (212) 261-3546, email: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4924"/>
        <w:spacing w:after="0"/>
        <w:rPr>
          <w:sz w:val="20"/>
          <w:szCs w:val="20"/>
          <w:color w:val="auto"/>
        </w:rPr>
      </w:pPr>
      <w:r>
        <w:rPr>
          <w:rFonts w:ascii="Times New Roman" w:cs="Times New Roman" w:eastAsia="Times New Roman" w:hAnsi="Times New Roman"/>
          <w:sz w:val="22"/>
          <w:szCs w:val="22"/>
          <w:color w:val="auto"/>
        </w:rPr>
        <w:t>4</w:t>
      </w:r>
    </w:p>
    <w:p>
      <w:pPr>
        <w:sectPr>
          <w:pgSz w:w="11900" w:h="16838" w:orient="portrait"/>
          <w:cols w:equalWidth="0" w:num="1">
            <w:col w:w="10584"/>
          </w:cols>
          <w:pgMar w:left="976" w:top="1395" w:right="339" w:bottom="1440" w:gutter="0" w:footer="0" w:header="0"/>
        </w:sectPr>
      </w:pPr>
    </w:p>
    <w:bookmarkStart w:id="124" w:name="page125"/>
    <w:bookmarkEnd w:id="124"/>
    <w:p>
      <w:pPr>
        <w:ind w:left="660"/>
        <w:spacing w:after="0"/>
        <w:rPr>
          <w:sz w:val="20"/>
          <w:szCs w:val="20"/>
          <w:color w:val="auto"/>
        </w:rPr>
      </w:pPr>
      <w:r>
        <w:rPr>
          <w:rFonts w:ascii="Times New Roman" w:cs="Times New Roman" w:eastAsia="Times New Roman" w:hAnsi="Times New Roman"/>
          <w:sz w:val="22"/>
          <w:szCs w:val="22"/>
          <w:color w:val="auto"/>
        </w:rPr>
        <w:t>antoine.jounet@ca-cib.com, jonathan.fecowicz@ca-cib.com; antoine.jounet@ca-cib.com; Goldman Sachs &amp; Co. LLC,</w:t>
      </w:r>
    </w:p>
    <w:p>
      <w:pPr>
        <w:ind w:left="660"/>
        <w:spacing w:after="0" w:line="204" w:lineRule="auto"/>
        <w:rPr>
          <w:sz w:val="20"/>
          <w:szCs w:val="20"/>
          <w:color w:val="auto"/>
        </w:rPr>
      </w:pPr>
      <w:r>
        <w:rPr>
          <w:rFonts w:ascii="Times New Roman" w:cs="Times New Roman" w:eastAsia="Times New Roman" w:hAnsi="Times New Roman"/>
          <w:sz w:val="22"/>
          <w:szCs w:val="22"/>
          <w:color w:val="auto"/>
        </w:rPr>
        <w:t>200 West Street, New York, New York 10282, Attention: Michael Voris, Ryan Cunn, Equity Capital Markets, email:</w:t>
      </w:r>
    </w:p>
    <w:p>
      <w:pPr>
        <w:ind w:left="660"/>
        <w:spacing w:after="0" w:line="215" w:lineRule="auto"/>
        <w:tabs>
          <w:tab w:leader="none" w:pos="2980" w:val="left"/>
          <w:tab w:leader="none" w:pos="4940" w:val="left"/>
          <w:tab w:leader="none" w:pos="5540" w:val="left"/>
          <w:tab w:leader="none" w:pos="6320" w:val="left"/>
          <w:tab w:leader="none" w:pos="7600" w:val="left"/>
          <w:tab w:leader="none" w:pos="8080" w:val="left"/>
          <w:tab w:leader="none" w:pos="8620" w:val="left"/>
          <w:tab w:leader="none" w:pos="9760" w:val="left"/>
          <w:tab w:leader="none" w:pos="10940" w:val="left"/>
        </w:tabs>
        <w:rPr>
          <w:sz w:val="20"/>
          <w:szCs w:val="20"/>
          <w:color w:val="auto"/>
        </w:rPr>
      </w:pPr>
      <w:r>
        <w:rPr>
          <w:rFonts w:ascii="Times New Roman" w:cs="Times New Roman" w:eastAsia="Times New Roman" w:hAnsi="Times New Roman"/>
          <w:sz w:val="22"/>
          <w:szCs w:val="22"/>
          <w:color w:val="auto"/>
        </w:rPr>
        <w:t>michael.voris@gs.com,</w:t>
        <w:tab/>
        <w:t>ryan.cunn@gs.com</w:t>
        <w:tab/>
        <w:t>and</w:t>
        <w:tab/>
        <w:t>email</w:t>
        <w:tab/>
        <w:t>notification</w:t>
        <w:tab/>
        <w:t>to</w:t>
        <w:tab/>
        <w:t>the</w:t>
        <w:tab/>
        <w:t>following</w:t>
        <w:tab/>
        <w:t>addresses:</w:t>
      </w:r>
      <w:r>
        <w:rPr>
          <w:sz w:val="20"/>
          <w:szCs w:val="20"/>
          <w:color w:val="auto"/>
        </w:rPr>
        <w:tab/>
      </w:r>
      <w:r>
        <w:rPr>
          <w:rFonts w:ascii="Times New Roman" w:cs="Times New Roman" w:eastAsia="Times New Roman" w:hAnsi="Times New Roman"/>
          <w:sz w:val="21"/>
          <w:szCs w:val="21"/>
          <w:color w:val="auto"/>
        </w:rPr>
        <w:t>gs-</w:t>
      </w:r>
    </w:p>
    <w:p>
      <w:pPr>
        <w:ind w:left="660"/>
        <w:spacing w:after="0" w:line="215" w:lineRule="auto"/>
        <w:rPr>
          <w:sz w:val="20"/>
          <w:szCs w:val="20"/>
          <w:color w:val="auto"/>
        </w:rPr>
      </w:pPr>
      <w:r>
        <w:rPr>
          <w:rFonts w:ascii="Times New Roman" w:cs="Times New Roman" w:eastAsia="Times New Roman" w:hAnsi="Times New Roman"/>
          <w:sz w:val="21"/>
          <w:szCs w:val="21"/>
          <w:color w:val="auto"/>
        </w:rPr>
        <w:t>reecm@ny.email.gs.com, Eq-derivs-notifications@am.ibd.gs.com, facsimile: (212) 291-5027, telephone: (212) 902-4895;</w:t>
      </w:r>
    </w:p>
    <w:p>
      <w:pPr>
        <w:ind w:left="660"/>
        <w:spacing w:after="0" w:line="214" w:lineRule="auto"/>
        <w:rPr>
          <w:sz w:val="20"/>
          <w:szCs w:val="20"/>
          <w:color w:val="auto"/>
        </w:rPr>
      </w:pPr>
      <w:r>
        <w:rPr>
          <w:rFonts w:ascii="Times New Roman" w:cs="Times New Roman" w:eastAsia="Times New Roman" w:hAnsi="Times New Roman"/>
          <w:sz w:val="21"/>
          <w:szCs w:val="21"/>
          <w:color w:val="auto"/>
        </w:rPr>
        <w:t>JPMorgan Chase Bank, National Association, 270 Park Avenue, New York, New York 10017, Attention: EDG Marketing</w:t>
      </w:r>
    </w:p>
    <w:p>
      <w:pPr>
        <w:ind w:left="660"/>
        <w:spacing w:after="0" w:line="205" w:lineRule="auto"/>
        <w:rPr>
          <w:sz w:val="20"/>
          <w:szCs w:val="20"/>
          <w:color w:val="auto"/>
        </w:rPr>
      </w:pPr>
      <w:r>
        <w:rPr>
          <w:rFonts w:ascii="Times New Roman" w:cs="Times New Roman" w:eastAsia="Times New Roman" w:hAnsi="Times New Roman"/>
          <w:sz w:val="22"/>
          <w:szCs w:val="22"/>
          <w:color w:val="auto"/>
        </w:rPr>
        <w:t>Support, email: edg_notices@jpmorgan.com and edg_ny_corporate_sales_support@jpmorgan.com, with a copy to</w:t>
      </w:r>
    </w:p>
    <w:p>
      <w:pPr>
        <w:ind w:left="660"/>
        <w:spacing w:after="0" w:line="205" w:lineRule="auto"/>
        <w:rPr>
          <w:sz w:val="20"/>
          <w:szCs w:val="20"/>
          <w:color w:val="auto"/>
        </w:rPr>
      </w:pPr>
      <w:r>
        <w:rPr>
          <w:rFonts w:ascii="Times New Roman" w:cs="Times New Roman" w:eastAsia="Times New Roman" w:hAnsi="Times New Roman"/>
          <w:sz w:val="22"/>
          <w:szCs w:val="22"/>
          <w:color w:val="auto"/>
        </w:rPr>
        <w:t>Sanjeet Dewal, email: sanjeet.s.dewal@jpmorgan.com; Mizuho Markets Americas LLC, 1271 Avenue of the Americas,</w:t>
      </w:r>
    </w:p>
    <w:p>
      <w:pPr>
        <w:spacing w:after="0" w:line="1" w:lineRule="exact"/>
        <w:rPr>
          <w:sz w:val="20"/>
          <w:szCs w:val="20"/>
          <w:color w:val="auto"/>
        </w:rPr>
      </w:pPr>
    </w:p>
    <w:p>
      <w:pPr>
        <w:jc w:val="both"/>
        <w:ind w:left="660"/>
        <w:spacing w:after="0" w:line="204" w:lineRule="auto"/>
        <w:rPr>
          <w:sz w:val="20"/>
          <w:szCs w:val="20"/>
          <w:color w:val="auto"/>
        </w:rPr>
      </w:pPr>
      <w:r>
        <w:rPr>
          <w:rFonts w:ascii="Times New Roman" w:cs="Times New Roman" w:eastAsia="Times New Roman" w:hAnsi="Times New Roman"/>
          <w:sz w:val="22"/>
          <w:szCs w:val="22"/>
          <w:color w:val="auto"/>
        </w:rPr>
        <w:t>3rd Floor, New York, New York 10020, Attention: Equity Capital Markets; Morgan Stanley &amp; Co. LLC, 1585 Broadway, 6th Floor, New York, New York 10036, Attention: Ludivine Stein, Scott Finz and Alexandra Min, email: Ludivine.stein@morganstanley.com, scott.finz@morganstanley.com and Alexandra.min@morganstanley.com; MUFG Securities EMEA plc, Ropemaker Place, 25 Ropemaker Street, London EC2Y 9AJ, United Kingdom, Attention: Derivative Confirmations, email: docsconfirms@int.sc.mufg.jp, facsimile: +44 (0) 20 7577 2898/2875, telephone: +44</w:t>
      </w:r>
    </w:p>
    <w:p>
      <w:pPr>
        <w:spacing w:after="0" w:line="5" w:lineRule="exact"/>
        <w:rPr>
          <w:sz w:val="20"/>
          <w:szCs w:val="20"/>
          <w:color w:val="auto"/>
        </w:rPr>
      </w:pPr>
    </w:p>
    <w:p>
      <w:pPr>
        <w:jc w:val="both"/>
        <w:ind w:left="660"/>
        <w:spacing w:after="0" w:line="212" w:lineRule="auto"/>
        <w:rPr>
          <w:sz w:val="20"/>
          <w:szCs w:val="20"/>
          <w:color w:val="auto"/>
        </w:rPr>
      </w:pPr>
      <w:r>
        <w:rPr>
          <w:rFonts w:ascii="Times New Roman" w:cs="Times New Roman" w:eastAsia="Times New Roman" w:hAnsi="Times New Roman"/>
          <w:sz w:val="21"/>
          <w:szCs w:val="21"/>
          <w:color w:val="auto"/>
        </w:rPr>
        <w:t>(0)207 577 4051, with a copy to ECM@us.sc.mufg.jp; Royal Bank of Canada, Brookfield Place, 200 Vesey Street, 8th Floor, New York, New York 10281, Attention: TJ Opladen, email: tj.opladen@rbccm.com, telephone: (212) 905-5846; The Bank of Nova Scotia at 44 King Street West, Toronto, Ontario, M5H 1H1 Canada, c/o Scotia Capital (USA) Inc., 250 Vesey Street, 24th Floor, New York, New York 10281, Attention: U.S. Equity Derivatives; Truist Bank, 50 Hudson Yards, 70th Floor, New York, New York 10001, Attention: Equity Capital Markets, Email: dl.atm.offering@truist.com; and Wells Fargo Bank, National Association, 500 West 33rd Street, New York, New York 10001, Attention: Special Equities Group and Corporate Equity Derivatives, or email: WellsFargoSpecialEquitiesTrading@wellsfargo.com and CorporateDerivativeNotifications@wellsfargo.com; and notices to the Company shall be directed to it at Sempra, 488 8</w:t>
      </w:r>
      <w:r>
        <w:rPr>
          <w:rFonts w:ascii="Times New Roman" w:cs="Times New Roman" w:eastAsia="Times New Roman" w:hAnsi="Times New Roman"/>
          <w:sz w:val="27"/>
          <w:szCs w:val="27"/>
          <w:color w:val="auto"/>
          <w:vertAlign w:val="superscript"/>
        </w:rPr>
        <w:t>th</w:t>
      </w:r>
      <w:r>
        <w:rPr>
          <w:rFonts w:ascii="Times New Roman" w:cs="Times New Roman" w:eastAsia="Times New Roman" w:hAnsi="Times New Roman"/>
          <w:sz w:val="21"/>
          <w:szCs w:val="21"/>
          <w:color w:val="auto"/>
        </w:rPr>
        <w:t xml:space="preserve"> Avenue, San Diego, California 92101, Attention: Treasurer, with a copy to the General Counsel or, solely with respect to notices expressly stated herein to be made by telephone, (619) 676-2488, or solely with respect to notices expressly permitted herein to be made by email or telecopy, SempraCorpFin@sempra.com.</w:t>
      </w:r>
    </w:p>
    <w:p>
      <w:pPr>
        <w:spacing w:after="0" w:line="188" w:lineRule="exact"/>
        <w:rPr>
          <w:sz w:val="20"/>
          <w:szCs w:val="20"/>
          <w:color w:val="auto"/>
        </w:rPr>
      </w:pPr>
    </w:p>
    <w:p>
      <w:pPr>
        <w:ind w:firstLine="656"/>
        <w:spacing w:after="0" w:line="236" w:lineRule="auto"/>
        <w:tabs>
          <w:tab w:leader="none" w:pos="1296" w:val="left"/>
        </w:tabs>
        <w:numPr>
          <w:ilvl w:val="0"/>
          <w:numId w:val="10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On and after the Effective Date, </w:t>
      </w:r>
      <w:r>
        <w:rPr>
          <w:rFonts w:ascii="Times New Roman" w:cs="Times New Roman" w:eastAsia="Times New Roman" w:hAnsi="Times New Roman"/>
          <w:sz w:val="22"/>
          <w:szCs w:val="22"/>
          <w:u w:val="single" w:color="auto"/>
          <w:color w:val="auto"/>
        </w:rPr>
        <w:t>Schedule I</w:t>
      </w:r>
      <w:r>
        <w:rPr>
          <w:rFonts w:ascii="Times New Roman" w:cs="Times New Roman" w:eastAsia="Times New Roman" w:hAnsi="Times New Roman"/>
          <w:sz w:val="22"/>
          <w:szCs w:val="22"/>
          <w:color w:val="auto"/>
        </w:rPr>
        <w:t xml:space="preserve"> of the Agreement is hereby deleted in its entirety and replaced with </w:t>
      </w:r>
      <w:r>
        <w:rPr>
          <w:rFonts w:ascii="Times New Roman" w:cs="Times New Roman" w:eastAsia="Times New Roman" w:hAnsi="Times New Roman"/>
          <w:sz w:val="22"/>
          <w:szCs w:val="22"/>
          <w:u w:val="single" w:color="auto"/>
          <w:color w:val="auto"/>
        </w:rPr>
        <w:t>Schedule I</w:t>
      </w:r>
      <w:r>
        <w:rPr>
          <w:rFonts w:ascii="Times New Roman" w:cs="Times New Roman" w:eastAsia="Times New Roman" w:hAnsi="Times New Roman"/>
          <w:sz w:val="22"/>
          <w:szCs w:val="22"/>
          <w:color w:val="auto"/>
        </w:rPr>
        <w:t xml:space="preserve"> attached hereto.</w:t>
      </w:r>
    </w:p>
    <w:p>
      <w:pPr>
        <w:spacing w:after="0" w:line="150" w:lineRule="exact"/>
        <w:rPr>
          <w:rFonts w:ascii="Times New Roman" w:cs="Times New Roman" w:eastAsia="Times New Roman" w:hAnsi="Times New Roman"/>
          <w:sz w:val="22"/>
          <w:szCs w:val="22"/>
          <w:color w:val="auto"/>
        </w:rPr>
      </w:pPr>
    </w:p>
    <w:p>
      <w:pPr>
        <w:ind w:right="20" w:firstLine="656"/>
        <w:spacing w:after="0" w:line="236" w:lineRule="auto"/>
        <w:tabs>
          <w:tab w:leader="none" w:pos="1291" w:val="left"/>
        </w:tabs>
        <w:numPr>
          <w:ilvl w:val="0"/>
          <w:numId w:val="10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On and after the Effective Date, the first paragraph of </w:t>
      </w:r>
      <w:r>
        <w:rPr>
          <w:rFonts w:ascii="Times New Roman" w:cs="Times New Roman" w:eastAsia="Times New Roman" w:hAnsi="Times New Roman"/>
          <w:sz w:val="22"/>
          <w:szCs w:val="22"/>
          <w:u w:val="single" w:color="auto"/>
          <w:color w:val="auto"/>
        </w:rPr>
        <w:t>Annex I</w:t>
      </w:r>
      <w:r>
        <w:rPr>
          <w:rFonts w:ascii="Times New Roman" w:cs="Times New Roman" w:eastAsia="Times New Roman" w:hAnsi="Times New Roman"/>
          <w:sz w:val="22"/>
          <w:szCs w:val="22"/>
          <w:color w:val="auto"/>
        </w:rPr>
        <w:t xml:space="preserve"> of the Agreement is amended and restated in its entirety and replaced with </w:t>
      </w:r>
      <w:r>
        <w:rPr>
          <w:rFonts w:ascii="Times New Roman" w:cs="Times New Roman" w:eastAsia="Times New Roman" w:hAnsi="Times New Roman"/>
          <w:sz w:val="22"/>
          <w:szCs w:val="22"/>
          <w:u w:val="single" w:color="auto"/>
          <w:color w:val="auto"/>
        </w:rPr>
        <w:t>the following</w:t>
      </w:r>
      <w:r>
        <w:rPr>
          <w:rFonts w:ascii="Times New Roman" w:cs="Times New Roman" w:eastAsia="Times New Roman" w:hAnsi="Times New Roman"/>
          <w:sz w:val="22"/>
          <w:szCs w:val="22"/>
          <w:color w:val="auto"/>
        </w:rPr>
        <w:t>:</w:t>
      </w:r>
    </w:p>
    <w:p>
      <w:pPr>
        <w:spacing w:after="0" w:line="177" w:lineRule="exact"/>
        <w:rPr>
          <w:sz w:val="20"/>
          <w:szCs w:val="20"/>
          <w:color w:val="auto"/>
        </w:rPr>
      </w:pPr>
    </w:p>
    <w:p>
      <w:pPr>
        <w:jc w:val="both"/>
        <w:ind w:left="1300"/>
        <w:spacing w:after="0" w:line="250" w:lineRule="auto"/>
        <w:rPr>
          <w:sz w:val="20"/>
          <w:szCs w:val="20"/>
          <w:color w:val="auto"/>
        </w:rPr>
      </w:pPr>
      <w:r>
        <w:rPr>
          <w:rFonts w:ascii="Times New Roman" w:cs="Times New Roman" w:eastAsia="Times New Roman" w:hAnsi="Times New Roman"/>
          <w:sz w:val="22"/>
          <w:szCs w:val="22"/>
          <w:color w:val="auto"/>
        </w:rPr>
        <w:t>Sempra, a California corporation (the “</w:t>
      </w:r>
      <w:r>
        <w:rPr>
          <w:rFonts w:ascii="Times New Roman" w:cs="Times New Roman" w:eastAsia="Times New Roman" w:hAnsi="Times New Roman"/>
          <w:sz w:val="22"/>
          <w:szCs w:val="22"/>
          <w:u w:val="single" w:color="auto"/>
          <w:color w:val="auto"/>
        </w:rPr>
        <w:t>Company</w:t>
      </w:r>
      <w:r>
        <w:rPr>
          <w:rFonts w:ascii="Times New Roman" w:cs="Times New Roman" w:eastAsia="Times New Roman" w:hAnsi="Times New Roman"/>
          <w:sz w:val="22"/>
          <w:szCs w:val="22"/>
          <w:color w:val="auto"/>
        </w:rPr>
        <w:t>”), proposes, on the basis of the representations and warranties, and subject to the terms and conditions, stated herein and in the ATM Equity Offering Sales Agreement, dated November 6, 2024, as amended (the “</w:t>
      </w:r>
      <w:r>
        <w:rPr>
          <w:rFonts w:ascii="Times New Roman" w:cs="Times New Roman" w:eastAsia="Times New Roman" w:hAnsi="Times New Roman"/>
          <w:sz w:val="22"/>
          <w:szCs w:val="22"/>
          <w:u w:val="single" w:color="auto"/>
          <w:color w:val="auto"/>
        </w:rPr>
        <w:t>Sales Agreement</w:t>
      </w:r>
      <w:r>
        <w:rPr>
          <w:rFonts w:ascii="Times New Roman" w:cs="Times New Roman" w:eastAsia="Times New Roman" w:hAnsi="Times New Roman"/>
          <w:sz w:val="22"/>
          <w:szCs w:val="22"/>
          <w:color w:val="auto"/>
        </w:rPr>
        <w:t>”), between the Company and Barclays Capital Inc., BMO Capital Markets Corp., BNP Paribas Securities Corp., BofA Securities, Inc., Citigroup Global Markets Inc., Credit Agricole Securities (USA) Inc., Goldman Sachs &amp; Co. LLC, J.P. Morgan Securities LLC, Mizuho Securities USA LLC, Morgan Stanley &amp; Co. LLC, MUFG Securities Americas Inc., RBC Capital Markets, LLC, Scotia Capital (USA) Inc., Truist Securities, Inc. and Wells Fargo Securities, LLC as sales agents, principals and/or forward sellers (in any such capacity, each an “</w:t>
      </w:r>
      <w:r>
        <w:rPr>
          <w:rFonts w:ascii="Times New Roman" w:cs="Times New Roman" w:eastAsia="Times New Roman" w:hAnsi="Times New Roman"/>
          <w:sz w:val="22"/>
          <w:szCs w:val="22"/>
          <w:u w:val="single" w:color="auto"/>
          <w:color w:val="auto"/>
        </w:rPr>
        <w:t>Agent</w:t>
      </w:r>
      <w:r>
        <w:rPr>
          <w:rFonts w:ascii="Times New Roman" w:cs="Times New Roman" w:eastAsia="Times New Roman" w:hAnsi="Times New Roman"/>
          <w:sz w:val="22"/>
          <w:szCs w:val="22"/>
          <w:color w:val="auto"/>
        </w:rPr>
        <w:t>”, and collectively, the “</w:t>
      </w:r>
      <w:r>
        <w:rPr>
          <w:rFonts w:ascii="Times New Roman" w:cs="Times New Roman" w:eastAsia="Times New Roman" w:hAnsi="Times New Roman"/>
          <w:sz w:val="22"/>
          <w:szCs w:val="22"/>
          <w:u w:val="single" w:color="auto"/>
          <w:color w:val="auto"/>
        </w:rPr>
        <w:t>Agents</w:t>
      </w:r>
      <w:r>
        <w:rPr>
          <w:rFonts w:ascii="Times New Roman" w:cs="Times New Roman" w:eastAsia="Times New Roman" w:hAnsi="Times New Roman"/>
          <w:sz w:val="22"/>
          <w:szCs w:val="22"/>
          <w:color w:val="auto"/>
        </w:rPr>
        <w:t>”) and Barclays Bank PLC, Bank of Montreal, BNP Paribas, Bank of America, N.A., Citibank,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w:t>
      </w:r>
    </w:p>
    <w:p>
      <w:pPr>
        <w:sectPr>
          <w:pgSz w:w="11900" w:h="16838" w:orient="portrait"/>
          <w:cols w:equalWidth="0" w:num="1">
            <w:col w:w="11240"/>
          </w:cols>
          <w:pgMar w:left="320" w:top="1382" w:right="339" w:bottom="1440" w:gutter="0" w:footer="0" w:header="0"/>
        </w:sectPr>
      </w:pPr>
    </w:p>
    <w:bookmarkStart w:id="125" w:name="page126"/>
    <w:bookmarkEnd w:id="125"/>
    <w:p>
      <w:pPr>
        <w:jc w:val="both"/>
        <w:ind w:left="1300"/>
        <w:spacing w:after="0" w:line="248" w:lineRule="auto"/>
        <w:rPr>
          <w:sz w:val="20"/>
          <w:szCs w:val="20"/>
          <w:color w:val="auto"/>
        </w:rPr>
      </w:pPr>
      <w:r>
        <w:rPr>
          <w:rFonts w:ascii="Times New Roman" w:cs="Times New Roman" w:eastAsia="Times New Roman" w:hAnsi="Times New Roman"/>
          <w:sz w:val="22"/>
          <w:szCs w:val="22"/>
          <w:color w:val="auto"/>
        </w:rPr>
        <w:t>N.A., Crédit Agricole Corporate and Investment Bank, Goldman Sachs &amp; Co. LLC, JPMorgan Chase Bank, National Association, Mizuho Markets Americas LLC, Morgan Stanley &amp; Co. LLC, MUFG Securities EMEA plc, Royal Bank of Canada, The Bank of Nova Scotia, Truist Bank and Wells Fargo Bank, National Association each as forward purchaser (in such capacity, each a “</w:t>
      </w:r>
      <w:r>
        <w:rPr>
          <w:rFonts w:ascii="Times New Roman" w:cs="Times New Roman" w:eastAsia="Times New Roman" w:hAnsi="Times New Roman"/>
          <w:sz w:val="22"/>
          <w:szCs w:val="22"/>
          <w:u w:val="single" w:color="auto"/>
          <w:color w:val="auto"/>
        </w:rPr>
        <w:t>Forward Purchaser</w:t>
      </w:r>
      <w:r>
        <w:rPr>
          <w:rFonts w:ascii="Times New Roman" w:cs="Times New Roman" w:eastAsia="Times New Roman" w:hAnsi="Times New Roman"/>
          <w:sz w:val="22"/>
          <w:szCs w:val="22"/>
          <w:color w:val="auto"/>
        </w:rPr>
        <w:t>” and, collectively, the “</w:t>
      </w:r>
      <w:r>
        <w:rPr>
          <w:rFonts w:ascii="Times New Roman" w:cs="Times New Roman" w:eastAsia="Times New Roman" w:hAnsi="Times New Roman"/>
          <w:sz w:val="22"/>
          <w:szCs w:val="22"/>
          <w:u w:val="single" w:color="auto"/>
          <w:color w:val="auto"/>
        </w:rPr>
        <w:t>Forward Purchasers</w:t>
      </w:r>
      <w:r>
        <w:rPr>
          <w:rFonts w:ascii="Times New Roman" w:cs="Times New Roman" w:eastAsia="Times New Roman" w:hAnsi="Times New Roman"/>
          <w:sz w:val="22"/>
          <w:szCs w:val="22"/>
          <w:color w:val="auto"/>
        </w:rPr>
        <w:t>”) to issue and sell to [ ● ], [ ● ], [ ● ] and [ ● ] as principal for resale (collectively, the “</w:t>
      </w:r>
      <w:r>
        <w:rPr>
          <w:rFonts w:ascii="Times New Roman" w:cs="Times New Roman" w:eastAsia="Times New Roman" w:hAnsi="Times New Roman"/>
          <w:sz w:val="22"/>
          <w:szCs w:val="22"/>
          <w:u w:val="single" w:color="auto"/>
          <w:color w:val="auto"/>
        </w:rPr>
        <w:t>Underwriters</w:t>
      </w:r>
      <w:r>
        <w:rPr>
          <w:rFonts w:ascii="Times New Roman" w:cs="Times New Roman" w:eastAsia="Times New Roman" w:hAnsi="Times New Roman"/>
          <w:sz w:val="22"/>
          <w:szCs w:val="22"/>
          <w:color w:val="auto"/>
        </w:rPr>
        <w:t>”), and the Underwriters severally agree to purchase from the Company, the shares of Common Stock specified in the Schedule A hereto (the “</w:t>
      </w:r>
      <w:r>
        <w:rPr>
          <w:rFonts w:ascii="Times New Roman" w:cs="Times New Roman" w:eastAsia="Times New Roman" w:hAnsi="Times New Roman"/>
          <w:sz w:val="22"/>
          <w:szCs w:val="22"/>
          <w:u w:val="single" w:color="auto"/>
          <w:color w:val="auto"/>
        </w:rPr>
        <w:t>[Initial] Securities</w:t>
      </w:r>
      <w:r>
        <w:rPr>
          <w:rFonts w:ascii="Times New Roman" w:cs="Times New Roman" w:eastAsia="Times New Roman" w:hAnsi="Times New Roman"/>
          <w:sz w:val="22"/>
          <w:szCs w:val="22"/>
          <w:color w:val="auto"/>
        </w:rPr>
        <w:t>”) [, and to grant to the Underwriters the option to purchase the additional shares of Common Stock specified in Schedule A hereto (the “</w:t>
      </w:r>
      <w:r>
        <w:rPr>
          <w:rFonts w:ascii="Times New Roman" w:cs="Times New Roman" w:eastAsia="Times New Roman" w:hAnsi="Times New Roman"/>
          <w:sz w:val="22"/>
          <w:szCs w:val="22"/>
          <w:u w:val="single" w:color="auto"/>
          <w:color w:val="auto"/>
        </w:rPr>
        <w:t>Option Securities</w:t>
      </w:r>
      <w:r>
        <w:rPr>
          <w:rFonts w:ascii="Times New Roman" w:cs="Times New Roman" w:eastAsia="Times New Roman" w:hAnsi="Times New Roman"/>
          <w:sz w:val="22"/>
          <w:szCs w:val="22"/>
          <w:color w:val="auto"/>
        </w:rPr>
        <w:t>”, and together with the Initial Securities, the “</w:t>
      </w:r>
      <w:r>
        <w:rPr>
          <w:rFonts w:ascii="Times New Roman" w:cs="Times New Roman" w:eastAsia="Times New Roman" w:hAnsi="Times New Roman"/>
          <w:sz w:val="22"/>
          <w:szCs w:val="22"/>
          <w:u w:val="single" w:color="auto"/>
          <w:color w:val="auto"/>
        </w:rPr>
        <w:t>Securities</w:t>
      </w:r>
      <w:r>
        <w:rPr>
          <w:rFonts w:ascii="Times New Roman" w:cs="Times New Roman" w:eastAsia="Times New Roman" w:hAnsi="Times New Roman"/>
          <w:sz w:val="22"/>
          <w:szCs w:val="22"/>
          <w:color w:val="auto"/>
        </w:rPr>
        <w:t>”)]*,[in each case]* on the terms specified herein, including Schedule A hereto, and in the Sales Agreement. Capitalized terms used but not defined herein have the respective meanings ascribed thereto in the Sales Agreement.</w:t>
      </w:r>
    </w:p>
    <w:p>
      <w:pPr>
        <w:spacing w:after="0" w:line="297" w:lineRule="exact"/>
        <w:rPr>
          <w:sz w:val="20"/>
          <w:szCs w:val="20"/>
          <w:color w:val="auto"/>
        </w:rPr>
      </w:pPr>
    </w:p>
    <w:p>
      <w:pPr>
        <w:jc w:val="both"/>
        <w:ind w:firstLine="656"/>
        <w:spacing w:after="0" w:line="215" w:lineRule="auto"/>
        <w:tabs>
          <w:tab w:leader="none" w:pos="1291" w:val="left"/>
        </w:tabs>
        <w:numPr>
          <w:ilvl w:val="0"/>
          <w:numId w:val="1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anything to the contrary contained herein, this Amendment No. 1 shall not have any effect on offerings or sales of Shares prior to the Effective Date or on the terms of the Agreement and the rights and obligations of the parties thereunder insofar as they relate to such offerings or sales, including, without limitation, the representations, warranties and agreements (including the indemnification and contribution provisions), as well as the definitions of “Registration Statement,” “Base Prospectus,” “Prospectus Supplement,” “Agent,” “Agents,” “Forward Purchaser” and “Forward Purchasers” contained in the Agreement prior to the Effective Date.</w:t>
      </w:r>
    </w:p>
    <w:p>
      <w:pPr>
        <w:spacing w:after="0" w:line="152" w:lineRule="exact"/>
        <w:rPr>
          <w:sz w:val="20"/>
          <w:szCs w:val="20"/>
          <w:color w:val="auto"/>
        </w:rPr>
      </w:pPr>
    </w:p>
    <w:p>
      <w:pPr>
        <w:ind w:right="880" w:firstLine="648"/>
        <w:spacing w:after="0" w:line="236" w:lineRule="auto"/>
        <w:rPr>
          <w:sz w:val="20"/>
          <w:szCs w:val="20"/>
          <w:color w:val="auto"/>
        </w:rPr>
      </w:pPr>
      <w:r>
        <w:rPr>
          <w:rFonts w:ascii="Times New Roman" w:cs="Times New Roman" w:eastAsia="Times New Roman" w:hAnsi="Times New Roman"/>
          <w:sz w:val="22"/>
          <w:szCs w:val="22"/>
          <w:color w:val="auto"/>
        </w:rPr>
        <w:t xml:space="preserve">Section 4. </w:t>
      </w:r>
      <w:r>
        <w:rPr>
          <w:rFonts w:ascii="Times New Roman" w:cs="Times New Roman" w:eastAsia="Times New Roman" w:hAnsi="Times New Roman"/>
          <w:sz w:val="22"/>
          <w:szCs w:val="22"/>
          <w:u w:val="single" w:color="auto"/>
          <w:color w:val="auto"/>
        </w:rPr>
        <w:t>No Other Amendments</w:t>
      </w:r>
      <w:r>
        <w:rPr>
          <w:rFonts w:ascii="Times New Roman" w:cs="Times New Roman" w:eastAsia="Times New Roman" w:hAnsi="Times New Roman"/>
          <w:sz w:val="22"/>
          <w:szCs w:val="22"/>
          <w:color w:val="auto"/>
        </w:rPr>
        <w:t>. Except as expressly set forth herein, all of the terms and provisions of the Agreement shall continue in full force and effect.</w:t>
      </w:r>
    </w:p>
    <w:p>
      <w:pPr>
        <w:spacing w:after="0" w:line="150" w:lineRule="exact"/>
        <w:rPr>
          <w:sz w:val="20"/>
          <w:szCs w:val="20"/>
          <w:color w:val="auto"/>
        </w:rPr>
      </w:pPr>
    </w:p>
    <w:p>
      <w:pPr>
        <w:ind w:right="80" w:firstLine="648"/>
        <w:spacing w:after="0" w:line="236" w:lineRule="auto"/>
        <w:rPr>
          <w:sz w:val="20"/>
          <w:szCs w:val="20"/>
          <w:color w:val="auto"/>
        </w:rPr>
      </w:pPr>
      <w:r>
        <w:rPr>
          <w:rFonts w:ascii="Times New Roman" w:cs="Times New Roman" w:eastAsia="Times New Roman" w:hAnsi="Times New Roman"/>
          <w:sz w:val="22"/>
          <w:szCs w:val="22"/>
          <w:color w:val="auto"/>
        </w:rPr>
        <w:t xml:space="preserve">Section 5. </w:t>
      </w:r>
      <w:r>
        <w:rPr>
          <w:rFonts w:ascii="Times New Roman" w:cs="Times New Roman" w:eastAsia="Times New Roman" w:hAnsi="Times New Roman"/>
          <w:sz w:val="22"/>
          <w:szCs w:val="22"/>
          <w:u w:val="single" w:color="auto"/>
          <w:color w:val="auto"/>
        </w:rPr>
        <w:t>GOVERNING LAW</w:t>
      </w:r>
      <w:r>
        <w:rPr>
          <w:rFonts w:ascii="Times New Roman" w:cs="Times New Roman" w:eastAsia="Times New Roman" w:hAnsi="Times New Roman"/>
          <w:sz w:val="22"/>
          <w:szCs w:val="22"/>
          <w:color w:val="auto"/>
        </w:rPr>
        <w:t>. THIS AMENDMENT NO. 1 SHALL BE GOVERNED BY AND CONSTRUED IN ACCORDANCE WITH THE LAWS OF THE STATE OF NEW YORK.</w:t>
      </w:r>
    </w:p>
    <w:p>
      <w:pPr>
        <w:spacing w:after="0" w:line="150"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22"/>
          <w:szCs w:val="22"/>
          <w:color w:val="auto"/>
        </w:rPr>
        <w:t xml:space="preserve">Section 6. </w:t>
      </w:r>
      <w:r>
        <w:rPr>
          <w:rFonts w:ascii="Times New Roman" w:cs="Times New Roman" w:eastAsia="Times New Roman" w:hAnsi="Times New Roman"/>
          <w:sz w:val="22"/>
          <w:szCs w:val="22"/>
          <w:u w:val="single" w:color="auto"/>
          <w:color w:val="auto"/>
        </w:rPr>
        <w:t>Trial by Jury; Consent to Jurisdiction; Waiver of Immunity</w:t>
      </w:r>
      <w:r>
        <w:rPr>
          <w:rFonts w:ascii="Times New Roman" w:cs="Times New Roman" w:eastAsia="Times New Roman" w:hAnsi="Times New Roman"/>
          <w:sz w:val="22"/>
          <w:szCs w:val="22"/>
          <w:color w:val="auto"/>
        </w:rPr>
        <w:t xml:space="preserve">. Section 14 and Section 16 of the Agreement are hereby incorporated by reference into this Amendment No. 1 and shall apply </w:t>
      </w:r>
      <w:r>
        <w:rPr>
          <w:rFonts w:ascii="Times New Roman" w:cs="Times New Roman" w:eastAsia="Times New Roman" w:hAnsi="Times New Roman"/>
          <w:sz w:val="22"/>
          <w:szCs w:val="22"/>
          <w:i w:val="1"/>
          <w:iCs w:val="1"/>
          <w:color w:val="auto"/>
        </w:rPr>
        <w:t>mutatis mutandis</w:t>
      </w:r>
      <w:r>
        <w:rPr>
          <w:rFonts w:ascii="Times New Roman" w:cs="Times New Roman" w:eastAsia="Times New Roman" w:hAnsi="Times New Roman"/>
          <w:sz w:val="22"/>
          <w:szCs w:val="22"/>
          <w:color w:val="auto"/>
        </w:rPr>
        <w:t xml:space="preserve"> hereto.</w:t>
      </w:r>
    </w:p>
    <w:p>
      <w:pPr>
        <w:spacing w:after="0" w:line="150" w:lineRule="exact"/>
        <w:rPr>
          <w:sz w:val="20"/>
          <w:szCs w:val="20"/>
          <w:color w:val="auto"/>
        </w:rPr>
      </w:pPr>
    </w:p>
    <w:p>
      <w:pPr>
        <w:jc w:val="both"/>
        <w:ind w:firstLine="648"/>
        <w:spacing w:after="0" w:line="220" w:lineRule="auto"/>
        <w:rPr>
          <w:sz w:val="20"/>
          <w:szCs w:val="20"/>
          <w:color w:val="auto"/>
        </w:rPr>
      </w:pPr>
      <w:r>
        <w:rPr>
          <w:rFonts w:ascii="Times New Roman" w:cs="Times New Roman" w:eastAsia="Times New Roman" w:hAnsi="Times New Roman"/>
          <w:sz w:val="22"/>
          <w:szCs w:val="22"/>
          <w:color w:val="auto"/>
        </w:rPr>
        <w:t xml:space="preserve">Section 7. </w:t>
      </w:r>
      <w:r>
        <w:rPr>
          <w:rFonts w:ascii="Times New Roman" w:cs="Times New Roman" w:eastAsia="Times New Roman" w:hAnsi="Times New Roman"/>
          <w:sz w:val="22"/>
          <w:szCs w:val="22"/>
          <w:u w:val="single" w:color="auto"/>
          <w:color w:val="auto"/>
        </w:rPr>
        <w:t>Entire Agreement</w:t>
      </w:r>
      <w:r>
        <w:rPr>
          <w:rFonts w:ascii="Times New Roman" w:cs="Times New Roman" w:eastAsia="Times New Roman" w:hAnsi="Times New Roman"/>
          <w:sz w:val="22"/>
          <w:szCs w:val="22"/>
          <w:color w:val="auto"/>
        </w:rPr>
        <w:t>. The Agreement, as amended by this Amendment No. 1, and any Confirmation, if applicable, represents the entire agreement between the Company, each Agent and each Forward Purchaser with respect to the preparation of any Registration Statement, Prospectus Supplement or the Prospectus, the conduct of the offering and the sale and distribution of the 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w:t>
      </w:r>
    </w:p>
    <w:p>
      <w:pPr>
        <w:sectPr>
          <w:pgSz w:w="11900" w:h="16838" w:orient="portrait"/>
          <w:cols w:equalWidth="0" w:num="1">
            <w:col w:w="11240"/>
          </w:cols>
          <w:pgMar w:left="320" w:top="1422" w:right="339" w:bottom="1440" w:gutter="0" w:footer="0" w:header="0"/>
        </w:sectPr>
      </w:pPr>
    </w:p>
    <w:bookmarkStart w:id="126" w:name="page127"/>
    <w:bookmarkEnd w:id="126"/>
    <w:p>
      <w:pPr>
        <w:jc w:val="both"/>
        <w:ind w:firstLine="648"/>
        <w:spacing w:after="0" w:line="210" w:lineRule="auto"/>
        <w:rPr>
          <w:sz w:val="20"/>
          <w:szCs w:val="20"/>
          <w:color w:val="auto"/>
        </w:rPr>
      </w:pPr>
      <w:r>
        <w:rPr>
          <w:rFonts w:ascii="Times New Roman" w:cs="Times New Roman" w:eastAsia="Times New Roman" w:hAnsi="Times New Roman"/>
          <w:sz w:val="22"/>
          <w:szCs w:val="22"/>
          <w:color w:val="auto"/>
        </w:rPr>
        <w:t xml:space="preserve">Section 8. </w:t>
      </w:r>
      <w:r>
        <w:rPr>
          <w:rFonts w:ascii="Times New Roman" w:cs="Times New Roman" w:eastAsia="Times New Roman" w:hAnsi="Times New Roman"/>
          <w:sz w:val="22"/>
          <w:szCs w:val="22"/>
          <w:u w:val="single" w:color="auto"/>
          <w:color w:val="auto"/>
        </w:rPr>
        <w:t>Execution in Counterparts</w:t>
      </w:r>
      <w:r>
        <w:rPr>
          <w:rFonts w:ascii="Times New Roman" w:cs="Times New Roman" w:eastAsia="Times New Roman" w:hAnsi="Times New Roman"/>
          <w:sz w:val="22"/>
          <w:szCs w:val="22"/>
          <w:color w:val="auto"/>
        </w:rPr>
        <w:t>. This Amendment No. 1 may be executed by any one or more of the parties hereto in any number of counterparts, each of which shall be deemed to be an original, but all such respective counterparts shall together constitute one and the same instrument. The words “execution,” “signed,” “signature,” and words of like import in this Amendment No. 1 shall include images of manually executed signatures transmitted by facsimile or other electronic format (including, without limitation, “pdf,” “tif” or “jpg”) and electronic signatures (including, without limitation, DocuSign and AdobeSign), and this Amendment No. 1 may be executed, attested and transmitted by any of the foregoing electronic means and formats. The use of electronic signatures and electronic records (including, without limitation, any contract or other record created, generated, sent, communicated, received, or stored by electronic means) shall be of the same legal effect, validity and enforceability as a manually executed signature or use of a paper-based record-keeping system to the fullest extent permitted by applicable law, including the Federal Electronic Signatures in Global and National Commerce Act, the New York State Electronic Signatures and Records Act and any other applicable law, including, without limitation, any state law based on the Uniform Electronic Transactions Act or the Uniform Commercial Code.</w:t>
      </w:r>
    </w:p>
    <w:p>
      <w:pPr>
        <w:spacing w:after="0" w:line="179"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22"/>
          <w:szCs w:val="22"/>
          <w:color w:val="auto"/>
        </w:rPr>
        <w:t>[SIGNATURE PAGES FOLLOW]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w:t>
      </w:r>
    </w:p>
    <w:p>
      <w:pPr>
        <w:sectPr>
          <w:pgSz w:w="11900" w:h="16838" w:orient="portrait"/>
          <w:cols w:equalWidth="0" w:num="1">
            <w:col w:w="11240"/>
          </w:cols>
          <w:pgMar w:left="320" w:top="1395" w:right="339" w:bottom="1440" w:gutter="0" w:footer="0" w:header="0"/>
        </w:sectPr>
      </w:pPr>
    </w:p>
    <w:bookmarkStart w:id="127" w:name="page128"/>
    <w:bookmarkEnd w:id="127"/>
    <w:p>
      <w:pPr>
        <w:spacing w:after="0" w:line="333" w:lineRule="exact"/>
        <w:rPr>
          <w:sz w:val="20"/>
          <w:szCs w:val="20"/>
          <w:color w:val="auto"/>
        </w:rPr>
      </w:pPr>
    </w:p>
    <w:p>
      <w:pPr>
        <w:ind w:firstLine="648"/>
        <w:spacing w:after="0" w:line="257" w:lineRule="auto"/>
        <w:rPr>
          <w:sz w:val="20"/>
          <w:szCs w:val="20"/>
          <w:color w:val="auto"/>
        </w:rPr>
      </w:pPr>
      <w:r>
        <w:rPr>
          <w:rFonts w:ascii="Times New Roman" w:cs="Times New Roman" w:eastAsia="Times New Roman" w:hAnsi="Times New Roman"/>
          <w:sz w:val="22"/>
          <w:szCs w:val="22"/>
          <w:color w:val="auto"/>
        </w:rPr>
        <w:t>If the foregoing is in accordance with your understanding of our agreement, please sign and return to the Company a counterpart hereof, whereupon this instrument, along with all counterparts, will become a binding agreement among the Agents, the Forward Purchasers and the Company in accordance with its terms.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ind w:left="6000"/>
        <w:spacing w:after="0"/>
        <w:rPr>
          <w:sz w:val="20"/>
          <w:szCs w:val="20"/>
          <w:color w:val="auto"/>
        </w:rPr>
      </w:pPr>
      <w:r>
        <w:rPr>
          <w:rFonts w:ascii="Times New Roman" w:cs="Times New Roman" w:eastAsia="Times New Roman" w:hAnsi="Times New Roman"/>
          <w:sz w:val="22"/>
          <w:szCs w:val="22"/>
          <w:color w:val="auto"/>
        </w:rPr>
        <w:t>Very truly yours,</w:t>
      </w:r>
    </w:p>
    <w:p>
      <w:pPr>
        <w:spacing w:after="0" w:line="179" w:lineRule="exact"/>
        <w:rPr>
          <w:sz w:val="20"/>
          <w:szCs w:val="20"/>
          <w:color w:val="auto"/>
        </w:rPr>
      </w:pPr>
    </w:p>
    <w:p>
      <w:pPr>
        <w:ind w:left="6000"/>
        <w:spacing w:after="0"/>
        <w:rPr>
          <w:sz w:val="20"/>
          <w:szCs w:val="20"/>
          <w:color w:val="auto"/>
        </w:rPr>
      </w:pPr>
      <w:r>
        <w:rPr>
          <w:rFonts w:ascii="Times New Roman" w:cs="Times New Roman" w:eastAsia="Times New Roman" w:hAnsi="Times New Roman"/>
          <w:sz w:val="22"/>
          <w:szCs w:val="22"/>
          <w:color w:val="auto"/>
        </w:rPr>
        <w:t>Sempra</w:t>
      </w:r>
    </w:p>
    <w:p>
      <w:pPr>
        <w:spacing w:after="0" w:line="29" w:lineRule="exact"/>
        <w:rPr>
          <w:sz w:val="20"/>
          <w:szCs w:val="20"/>
          <w:color w:val="auto"/>
        </w:rPr>
      </w:pPr>
    </w:p>
    <w:p>
      <w:pPr>
        <w:ind w:left="6000"/>
        <w:spacing w:after="0"/>
        <w:tabs>
          <w:tab w:leader="none" w:pos="6560" w:val="left"/>
        </w:tabs>
        <w:rPr>
          <w:sz w:val="20"/>
          <w:szCs w:val="20"/>
          <w:color w:val="auto"/>
        </w:rPr>
      </w:pPr>
      <w:r>
        <w:rPr>
          <w:rFonts w:ascii="Times New Roman" w:cs="Times New Roman" w:eastAsia="Times New Roman" w:hAnsi="Times New Roman"/>
          <w:sz w:val="22"/>
          <w:szCs w:val="22"/>
          <w:color w:val="auto"/>
        </w:rPr>
        <w:t>By:</w:t>
        <w:tab/>
        <w:t>/s/ Patrick S. Billings</w:t>
      </w:r>
    </w:p>
    <w:p>
      <w:pPr>
        <w:spacing w:after="0" w:line="18"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22"/>
          <w:szCs w:val="22"/>
          <w:color w:val="auto"/>
        </w:rPr>
        <w:t>Name: Patrick S. Billings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4162425</wp:posOffset>
            </wp:positionH>
            <wp:positionV relativeFrom="paragraph">
              <wp:posOffset>-160020</wp:posOffset>
            </wp:positionV>
            <wp:extent cx="2828925" cy="825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302">
                      <a:extLst>
                        <a:ext uri="{28A0092B-C50C-407E-A947-70E740481C1C}"/>
                      </a:extLst>
                    </a:blip>
                    <a:srcRect/>
                    <a:stretch>
                      <a:fillRect/>
                    </a:stretch>
                  </pic:blipFill>
                  <pic:spPr bwMode="auto">
                    <a:xfrm>
                      <a:off x="0" y="0"/>
                      <a:ext cx="2828925" cy="8255"/>
                    </a:xfrm>
                    <a:prstGeom prst="rect">
                      <a:avLst/>
                    </a:prstGeom>
                    <a:noFill/>
                  </pic:spPr>
                </pic:pic>
              </a:graphicData>
            </a:graphic>
          </wp:anchor>
        </w:drawing>
      </w:r>
    </w:p>
    <w:p>
      <w:pPr>
        <w:spacing w:after="0" w:line="9"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22"/>
          <w:szCs w:val="22"/>
          <w:color w:val="auto"/>
        </w:rPr>
        <w:t>Title:Vice President and</w:t>
      </w:r>
    </w:p>
    <w:p>
      <w:pPr>
        <w:spacing w:after="0" w:line="17" w:lineRule="exact"/>
        <w:rPr>
          <w:sz w:val="20"/>
          <w:szCs w:val="20"/>
          <w:color w:val="auto"/>
        </w:rPr>
      </w:pPr>
    </w:p>
    <w:p>
      <w:pPr>
        <w:ind w:left="7060"/>
        <w:spacing w:after="0"/>
        <w:rPr>
          <w:sz w:val="20"/>
          <w:szCs w:val="20"/>
          <w:color w:val="auto"/>
        </w:rPr>
      </w:pPr>
      <w:r>
        <w:rPr>
          <w:rFonts w:ascii="Times New Roman" w:cs="Times New Roman" w:eastAsia="Times New Roman" w:hAnsi="Times New Roman"/>
          <w:sz w:val="22"/>
          <w:szCs w:val="22"/>
          <w:color w:val="auto"/>
        </w:rPr>
        <w:t>Treasurer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22"/>
          <w:szCs w:val="22"/>
          <w:color w:val="auto"/>
        </w:rPr>
        <w:t>8</w:t>
      </w:r>
    </w:p>
    <w:p>
      <w:pPr>
        <w:sectPr>
          <w:pgSz w:w="11900" w:h="16838" w:orient="portrait"/>
          <w:cols w:equalWidth="0" w:num="1">
            <w:col w:w="11100"/>
          </w:cols>
          <w:pgMar w:left="320" w:top="1440" w:right="479" w:bottom="1440" w:gutter="0" w:footer="0" w:header="0"/>
        </w:sectPr>
      </w:pPr>
    </w:p>
    <w:bookmarkStart w:id="128" w:name="page129"/>
    <w:bookmarkEnd w:id="128"/>
    <w:p>
      <w:pPr>
        <w:spacing w:after="0"/>
        <w:rPr>
          <w:sz w:val="20"/>
          <w:szCs w:val="20"/>
          <w:color w:val="auto"/>
        </w:rPr>
      </w:pPr>
      <w:r>
        <w:rPr>
          <w:rFonts w:ascii="Times New Roman" w:cs="Times New Roman" w:eastAsia="Times New Roman" w:hAnsi="Times New Roman"/>
          <w:sz w:val="21"/>
          <w:szCs w:val="21"/>
          <w:color w:val="auto"/>
        </w:rPr>
        <w:t>Accepted as of the date first written above</w:t>
      </w:r>
    </w:p>
    <w:p>
      <w:pPr>
        <w:spacing w:after="0" w:line="200" w:lineRule="exact"/>
        <w:rPr>
          <w:sz w:val="20"/>
          <w:szCs w:val="20"/>
          <w:color w:val="auto"/>
        </w:rPr>
      </w:pPr>
    </w:p>
    <w:p>
      <w:pPr>
        <w:spacing w:after="0" w:line="328" w:lineRule="exact"/>
        <w:rPr>
          <w:sz w:val="20"/>
          <w:szCs w:val="20"/>
          <w:color w:val="auto"/>
        </w:rPr>
      </w:pPr>
    </w:p>
    <w:p>
      <w:pPr>
        <w:ind w:left="20"/>
        <w:spacing w:after="0"/>
        <w:tabs>
          <w:tab w:leader="none" w:pos="620" w:val="left"/>
        </w:tabs>
        <w:rPr>
          <w:sz w:val="20"/>
          <w:szCs w:val="20"/>
          <w:color w:val="auto"/>
        </w:rPr>
      </w:pPr>
      <w:r>
        <w:rPr>
          <w:rFonts w:ascii="Times New Roman" w:cs="Times New Roman" w:eastAsia="Times New Roman" w:hAnsi="Times New Roman"/>
          <w:sz w:val="22"/>
          <w:szCs w:val="22"/>
          <w:color w:val="auto"/>
        </w:rPr>
        <w:t>By:</w:t>
        <w:tab/>
        <w:t>Barclays Capital Inc.</w:t>
      </w:r>
    </w:p>
    <w:p>
      <w:pPr>
        <w:spacing w:after="0" w:line="200" w:lineRule="exact"/>
        <w:rPr>
          <w:sz w:val="20"/>
          <w:szCs w:val="20"/>
          <w:color w:val="auto"/>
        </w:rPr>
      </w:pPr>
    </w:p>
    <w:p>
      <w:pPr>
        <w:spacing w:after="0" w:line="384" w:lineRule="exact"/>
        <w:rPr>
          <w:sz w:val="20"/>
          <w:szCs w:val="20"/>
          <w:color w:val="auto"/>
        </w:rPr>
      </w:pPr>
    </w:p>
    <w:p>
      <w:pPr>
        <w:ind w:left="20"/>
        <w:spacing w:after="0"/>
        <w:tabs>
          <w:tab w:leader="none" w:pos="620" w:val="left"/>
        </w:tabs>
        <w:rPr>
          <w:sz w:val="20"/>
          <w:szCs w:val="20"/>
          <w:color w:val="auto"/>
        </w:rPr>
      </w:pPr>
      <w:r>
        <w:rPr>
          <w:rFonts w:ascii="Times New Roman" w:cs="Times New Roman" w:eastAsia="Times New Roman" w:hAnsi="Times New Roman"/>
          <w:sz w:val="22"/>
          <w:szCs w:val="22"/>
          <w:color w:val="auto"/>
        </w:rPr>
        <w:t>By:</w:t>
        <w:tab/>
        <w:t>/s/ Gabrielle LeBlanc</w:t>
      </w:r>
    </w:p>
    <w:p>
      <w:pPr>
        <w:spacing w:after="0" w:line="4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2"/>
          <w:szCs w:val="22"/>
          <w:color w:val="auto"/>
        </w:rPr>
        <w:t>Name: Gabrielle LeBlanc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399415</wp:posOffset>
            </wp:positionH>
            <wp:positionV relativeFrom="paragraph">
              <wp:posOffset>-160020</wp:posOffset>
            </wp:positionV>
            <wp:extent cx="3951605" cy="825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303">
                      <a:extLst>
                        <a:ext uri="{28A0092B-C50C-407E-A947-70E740481C1C}"/>
                      </a:extLst>
                    </a:blip>
                    <a:srcRect/>
                    <a:stretch>
                      <a:fillRect/>
                    </a:stretch>
                  </pic:blipFill>
                  <pic:spPr bwMode="auto">
                    <a:xfrm>
                      <a:off x="0" y="0"/>
                      <a:ext cx="3951605" cy="8255"/>
                    </a:xfrm>
                    <a:prstGeom prst="rect">
                      <a:avLst/>
                    </a:prstGeom>
                    <a:noFill/>
                  </pic:spPr>
                </pic:pic>
              </a:graphicData>
            </a:graphic>
          </wp:anchor>
        </w:drawing>
      </w:r>
    </w:p>
    <w:p>
      <w:pPr>
        <w:spacing w:after="0" w:line="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2"/>
          <w:szCs w:val="22"/>
          <w:color w:val="auto"/>
        </w:rPr>
        <w:t>Title: Director</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0"/>
        <w:spacing w:after="0"/>
        <w:tabs>
          <w:tab w:leader="none" w:pos="620" w:val="left"/>
        </w:tabs>
        <w:rPr>
          <w:sz w:val="20"/>
          <w:szCs w:val="20"/>
          <w:color w:val="auto"/>
        </w:rPr>
      </w:pPr>
      <w:r>
        <w:rPr>
          <w:rFonts w:ascii="Times New Roman" w:cs="Times New Roman" w:eastAsia="Times New Roman" w:hAnsi="Times New Roman"/>
          <w:sz w:val="22"/>
          <w:szCs w:val="22"/>
          <w:color w:val="auto"/>
        </w:rPr>
        <w:t>By:</w:t>
        <w:tab/>
        <w:t>BMO Capital Markets Corp.</w:t>
      </w:r>
    </w:p>
    <w:p>
      <w:pPr>
        <w:spacing w:after="0" w:line="200" w:lineRule="exact"/>
        <w:rPr>
          <w:sz w:val="20"/>
          <w:szCs w:val="20"/>
          <w:color w:val="auto"/>
        </w:rPr>
      </w:pPr>
    </w:p>
    <w:p>
      <w:pPr>
        <w:spacing w:after="0" w:line="384" w:lineRule="exact"/>
        <w:rPr>
          <w:sz w:val="20"/>
          <w:szCs w:val="20"/>
          <w:color w:val="auto"/>
        </w:rPr>
      </w:pPr>
    </w:p>
    <w:p>
      <w:pPr>
        <w:ind w:left="20"/>
        <w:spacing w:after="0"/>
        <w:tabs>
          <w:tab w:leader="none" w:pos="620" w:val="left"/>
        </w:tabs>
        <w:rPr>
          <w:sz w:val="20"/>
          <w:szCs w:val="20"/>
          <w:color w:val="auto"/>
        </w:rPr>
      </w:pPr>
      <w:r>
        <w:rPr>
          <w:rFonts w:ascii="Times New Roman" w:cs="Times New Roman" w:eastAsia="Times New Roman" w:hAnsi="Times New Roman"/>
          <w:sz w:val="22"/>
          <w:szCs w:val="22"/>
          <w:color w:val="auto"/>
        </w:rPr>
        <w:t>By:</w:t>
        <w:tab/>
        <w:t>/s/ Brad Pavelka</w:t>
      </w:r>
    </w:p>
    <w:p>
      <w:pPr>
        <w:spacing w:after="0" w:line="4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2"/>
          <w:szCs w:val="22"/>
          <w:color w:val="auto"/>
        </w:rPr>
        <w:t>Name: Brad Pavelka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399415</wp:posOffset>
            </wp:positionH>
            <wp:positionV relativeFrom="paragraph">
              <wp:posOffset>-160020</wp:posOffset>
            </wp:positionV>
            <wp:extent cx="3951605" cy="825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304">
                      <a:extLst>
                        <a:ext uri="{28A0092B-C50C-407E-A947-70E740481C1C}"/>
                      </a:extLst>
                    </a:blip>
                    <a:srcRect/>
                    <a:stretch>
                      <a:fillRect/>
                    </a:stretch>
                  </pic:blipFill>
                  <pic:spPr bwMode="auto">
                    <a:xfrm>
                      <a:off x="0" y="0"/>
                      <a:ext cx="3951605" cy="8255"/>
                    </a:xfrm>
                    <a:prstGeom prst="rect">
                      <a:avLst/>
                    </a:prstGeom>
                    <a:noFill/>
                  </pic:spPr>
                </pic:pic>
              </a:graphicData>
            </a:graphic>
          </wp:anchor>
        </w:drawing>
      </w:r>
    </w:p>
    <w:p>
      <w:pPr>
        <w:spacing w:after="0" w:line="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2"/>
          <w:szCs w:val="22"/>
          <w:color w:val="auto"/>
        </w:rPr>
        <w:t>Title: Managing Director</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0"/>
        <w:spacing w:after="0"/>
        <w:tabs>
          <w:tab w:leader="none" w:pos="620" w:val="left"/>
        </w:tabs>
        <w:rPr>
          <w:sz w:val="20"/>
          <w:szCs w:val="20"/>
          <w:color w:val="auto"/>
        </w:rPr>
      </w:pPr>
      <w:r>
        <w:rPr>
          <w:rFonts w:ascii="Times New Roman" w:cs="Times New Roman" w:eastAsia="Times New Roman" w:hAnsi="Times New Roman"/>
          <w:sz w:val="22"/>
          <w:szCs w:val="22"/>
          <w:color w:val="auto"/>
        </w:rPr>
        <w:t>By:</w:t>
        <w:tab/>
        <w:t>BNP Paribas Securities Corp.</w:t>
      </w:r>
    </w:p>
    <w:p>
      <w:pPr>
        <w:spacing w:after="0" w:line="200" w:lineRule="exact"/>
        <w:rPr>
          <w:sz w:val="20"/>
          <w:szCs w:val="20"/>
          <w:color w:val="auto"/>
        </w:rPr>
      </w:pPr>
    </w:p>
    <w:p>
      <w:pPr>
        <w:spacing w:after="0" w:line="384" w:lineRule="exact"/>
        <w:rPr>
          <w:sz w:val="20"/>
          <w:szCs w:val="20"/>
          <w:color w:val="auto"/>
        </w:rPr>
      </w:pPr>
    </w:p>
    <w:p>
      <w:pPr>
        <w:ind w:left="20"/>
        <w:spacing w:after="0"/>
        <w:tabs>
          <w:tab w:leader="none" w:pos="620" w:val="left"/>
        </w:tabs>
        <w:rPr>
          <w:sz w:val="20"/>
          <w:szCs w:val="20"/>
          <w:color w:val="auto"/>
        </w:rPr>
      </w:pPr>
      <w:r>
        <w:rPr>
          <w:rFonts w:ascii="Times New Roman" w:cs="Times New Roman" w:eastAsia="Times New Roman" w:hAnsi="Times New Roman"/>
          <w:sz w:val="22"/>
          <w:szCs w:val="22"/>
          <w:color w:val="auto"/>
        </w:rPr>
        <w:t>By:</w:t>
        <w:tab/>
        <w:t>/s/ Robert McDonald</w:t>
      </w:r>
    </w:p>
    <w:p>
      <w:pPr>
        <w:spacing w:after="0" w:line="4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2"/>
          <w:szCs w:val="22"/>
          <w:color w:val="auto"/>
        </w:rPr>
        <w:t>Name: Robert McDonald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399415</wp:posOffset>
            </wp:positionH>
            <wp:positionV relativeFrom="paragraph">
              <wp:posOffset>-160020</wp:posOffset>
            </wp:positionV>
            <wp:extent cx="3951605" cy="825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305">
                      <a:extLst>
                        <a:ext uri="{28A0092B-C50C-407E-A947-70E740481C1C}"/>
                      </a:extLst>
                    </a:blip>
                    <a:srcRect/>
                    <a:stretch>
                      <a:fillRect/>
                    </a:stretch>
                  </pic:blipFill>
                  <pic:spPr bwMode="auto">
                    <a:xfrm>
                      <a:off x="0" y="0"/>
                      <a:ext cx="3951605" cy="8255"/>
                    </a:xfrm>
                    <a:prstGeom prst="rect">
                      <a:avLst/>
                    </a:prstGeom>
                    <a:noFill/>
                  </pic:spPr>
                </pic:pic>
              </a:graphicData>
            </a:graphic>
          </wp:anchor>
        </w:drawing>
      </w:r>
    </w:p>
    <w:p>
      <w:pPr>
        <w:spacing w:after="0" w:line="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2"/>
          <w:szCs w:val="22"/>
          <w:color w:val="auto"/>
        </w:rPr>
        <w:t>Title: Managing Director</w:t>
      </w:r>
    </w:p>
    <w:p>
      <w:pPr>
        <w:spacing w:after="0" w:line="200" w:lineRule="exact"/>
        <w:rPr>
          <w:sz w:val="20"/>
          <w:szCs w:val="20"/>
          <w:color w:val="auto"/>
        </w:rPr>
      </w:pPr>
    </w:p>
    <w:p>
      <w:pPr>
        <w:spacing w:after="0" w:line="399" w:lineRule="exact"/>
        <w:rPr>
          <w:sz w:val="20"/>
          <w:szCs w:val="20"/>
          <w:color w:val="auto"/>
        </w:rPr>
      </w:pPr>
    </w:p>
    <w:p>
      <w:pPr>
        <w:ind w:left="20"/>
        <w:spacing w:after="0"/>
        <w:tabs>
          <w:tab w:leader="none" w:pos="620" w:val="left"/>
        </w:tabs>
        <w:rPr>
          <w:sz w:val="20"/>
          <w:szCs w:val="20"/>
          <w:color w:val="auto"/>
        </w:rPr>
      </w:pPr>
      <w:r>
        <w:rPr>
          <w:rFonts w:ascii="Times New Roman" w:cs="Times New Roman" w:eastAsia="Times New Roman" w:hAnsi="Times New Roman"/>
          <w:sz w:val="22"/>
          <w:szCs w:val="22"/>
          <w:color w:val="auto"/>
        </w:rPr>
        <w:t>By:</w:t>
        <w:tab/>
        <w:t>BofA Securities, Inc.</w:t>
      </w:r>
    </w:p>
    <w:p>
      <w:pPr>
        <w:spacing w:after="0" w:line="200" w:lineRule="exact"/>
        <w:rPr>
          <w:sz w:val="20"/>
          <w:szCs w:val="20"/>
          <w:color w:val="auto"/>
        </w:rPr>
      </w:pPr>
    </w:p>
    <w:p>
      <w:pPr>
        <w:spacing w:after="0" w:line="384" w:lineRule="exact"/>
        <w:rPr>
          <w:sz w:val="20"/>
          <w:szCs w:val="20"/>
          <w:color w:val="auto"/>
        </w:rPr>
      </w:pPr>
    </w:p>
    <w:p>
      <w:pPr>
        <w:ind w:left="20"/>
        <w:spacing w:after="0"/>
        <w:tabs>
          <w:tab w:leader="none" w:pos="620" w:val="left"/>
        </w:tabs>
        <w:rPr>
          <w:sz w:val="20"/>
          <w:szCs w:val="20"/>
          <w:color w:val="auto"/>
        </w:rPr>
      </w:pPr>
      <w:r>
        <w:rPr>
          <w:rFonts w:ascii="Times New Roman" w:cs="Times New Roman" w:eastAsia="Times New Roman" w:hAnsi="Times New Roman"/>
          <w:sz w:val="22"/>
          <w:szCs w:val="22"/>
          <w:color w:val="auto"/>
        </w:rPr>
        <w:t>By:</w:t>
        <w:tab/>
        <w:t>/s/ Partho Sanyal</w:t>
      </w:r>
    </w:p>
    <w:p>
      <w:pPr>
        <w:spacing w:after="0" w:line="4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2"/>
          <w:szCs w:val="22"/>
          <w:color w:val="auto"/>
        </w:rPr>
        <w:t>Name: Partho Sanyal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399415</wp:posOffset>
            </wp:positionH>
            <wp:positionV relativeFrom="paragraph">
              <wp:posOffset>-160020</wp:posOffset>
            </wp:positionV>
            <wp:extent cx="3951605" cy="889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306">
                      <a:extLst>
                        <a:ext uri="{28A0092B-C50C-407E-A947-70E740481C1C}"/>
                      </a:extLst>
                    </a:blip>
                    <a:srcRect/>
                    <a:stretch>
                      <a:fillRect/>
                    </a:stretch>
                  </pic:blipFill>
                  <pic:spPr bwMode="auto">
                    <a:xfrm>
                      <a:off x="0" y="0"/>
                      <a:ext cx="3951605" cy="8890"/>
                    </a:xfrm>
                    <a:prstGeom prst="rect">
                      <a:avLst/>
                    </a:prstGeom>
                    <a:noFill/>
                  </pic:spPr>
                </pic:pic>
              </a:graphicData>
            </a:graphic>
          </wp:anchor>
        </w:drawing>
      </w:r>
    </w:p>
    <w:p>
      <w:pPr>
        <w:spacing w:after="0" w:line="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2"/>
          <w:szCs w:val="22"/>
          <w:color w:val="auto"/>
        </w:rPr>
        <w:t>Title: Managing Director</w:t>
      </w:r>
    </w:p>
    <w:p>
      <w:pPr>
        <w:sectPr>
          <w:pgSz w:w="11900" w:h="16838" w:orient="portrait"/>
          <w:cols w:equalWidth="0" w:num="1">
            <w:col w:w="10139"/>
          </w:cols>
          <w:pgMar w:left="320" w:top="1422" w:right="1440" w:bottom="1440" w:gutter="0" w:footer="0" w:header="0"/>
        </w:sectPr>
      </w:pPr>
    </w:p>
    <w:bookmarkStart w:id="129" w:name="page130"/>
    <w:bookmarkEnd w:id="129"/>
    <w:p>
      <w:pPr>
        <w:spacing w:after="0" w:line="9"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22"/>
          <w:szCs w:val="22"/>
          <w:color w:val="auto"/>
        </w:rPr>
        <w:t>By:</w:t>
        <w:tab/>
        <w:t>Citigroup Global Markets Inc.</w:t>
      </w:r>
    </w:p>
    <w:p>
      <w:pPr>
        <w:spacing w:after="0" w:line="200" w:lineRule="exact"/>
        <w:rPr>
          <w:sz w:val="20"/>
          <w:szCs w:val="20"/>
          <w:color w:val="auto"/>
        </w:rPr>
      </w:pPr>
    </w:p>
    <w:p>
      <w:pPr>
        <w:spacing w:after="0" w:line="384"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22"/>
          <w:szCs w:val="22"/>
          <w:color w:val="auto"/>
        </w:rPr>
        <w:t>By:</w:t>
        <w:tab/>
        <w:t>/s/ Ashwani Khubani</w:t>
      </w:r>
    </w:p>
    <w:p>
      <w:pPr>
        <w:spacing w:after="0" w:line="44"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2"/>
          <w:szCs w:val="22"/>
          <w:color w:val="auto"/>
        </w:rPr>
        <w:t>Name: Ashwani Khubani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386715</wp:posOffset>
            </wp:positionH>
            <wp:positionV relativeFrom="paragraph">
              <wp:posOffset>-160020</wp:posOffset>
            </wp:positionV>
            <wp:extent cx="3951605" cy="825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307">
                      <a:extLst>
                        <a:ext uri="{28A0092B-C50C-407E-A947-70E740481C1C}"/>
                      </a:extLst>
                    </a:blip>
                    <a:srcRect/>
                    <a:stretch>
                      <a:fillRect/>
                    </a:stretch>
                  </pic:blipFill>
                  <pic:spPr bwMode="auto">
                    <a:xfrm>
                      <a:off x="0" y="0"/>
                      <a:ext cx="3951605" cy="8255"/>
                    </a:xfrm>
                    <a:prstGeom prst="rect">
                      <a:avLst/>
                    </a:prstGeom>
                    <a:noFill/>
                  </pic:spPr>
                </pic:pic>
              </a:graphicData>
            </a:graphic>
          </wp:anchor>
        </w:drawing>
      </w:r>
    </w:p>
    <w:p>
      <w:pPr>
        <w:spacing w:after="0" w:line="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2"/>
          <w:szCs w:val="22"/>
          <w:color w:val="auto"/>
        </w:rPr>
        <w:t>Title: Authorized Signatory</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21"/>
          <w:szCs w:val="21"/>
          <w:color w:val="auto"/>
        </w:rPr>
        <w:t>By:</w:t>
        <w:tab/>
        <w:t>Credit Agricole Securities (USA) Inc.</w:t>
      </w:r>
    </w:p>
    <w:p>
      <w:pPr>
        <w:spacing w:after="0" w:line="200" w:lineRule="exact"/>
        <w:rPr>
          <w:sz w:val="20"/>
          <w:szCs w:val="20"/>
          <w:color w:val="auto"/>
        </w:rPr>
      </w:pPr>
    </w:p>
    <w:p>
      <w:pPr>
        <w:spacing w:after="0" w:line="396"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22"/>
          <w:szCs w:val="22"/>
          <w:color w:val="auto"/>
        </w:rPr>
        <w:t>By:</w:t>
        <w:tab/>
        <w:t>/s/ Jean-Marc Nguyen</w:t>
      </w:r>
    </w:p>
    <w:p>
      <w:pPr>
        <w:spacing w:after="0" w:line="44"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2"/>
          <w:szCs w:val="22"/>
          <w:color w:val="auto"/>
        </w:rPr>
        <w:t>Name: Jean-Marc Nguyen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386715</wp:posOffset>
            </wp:positionH>
            <wp:positionV relativeFrom="paragraph">
              <wp:posOffset>-160020</wp:posOffset>
            </wp:positionV>
            <wp:extent cx="3951605" cy="825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308">
                      <a:extLst>
                        <a:ext uri="{28A0092B-C50C-407E-A947-70E740481C1C}"/>
                      </a:extLst>
                    </a:blip>
                    <a:srcRect/>
                    <a:stretch>
                      <a:fillRect/>
                    </a:stretch>
                  </pic:blipFill>
                  <pic:spPr bwMode="auto">
                    <a:xfrm>
                      <a:off x="0" y="0"/>
                      <a:ext cx="3951605" cy="8255"/>
                    </a:xfrm>
                    <a:prstGeom prst="rect">
                      <a:avLst/>
                    </a:prstGeom>
                    <a:noFill/>
                  </pic:spPr>
                </pic:pic>
              </a:graphicData>
            </a:graphic>
          </wp:anchor>
        </w:drawing>
      </w:r>
    </w:p>
    <w:p>
      <w:pPr>
        <w:spacing w:after="0" w:line="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2"/>
          <w:szCs w:val="22"/>
          <w:color w:val="auto"/>
        </w:rPr>
        <w:t>Title: Managing Director</w:t>
      </w:r>
    </w:p>
    <w:p>
      <w:pPr>
        <w:spacing w:after="0" w:line="302"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22"/>
          <w:szCs w:val="22"/>
          <w:color w:val="auto"/>
        </w:rPr>
        <w:t>By:</w:t>
        <w:tab/>
        <w:t>/s/ Douglas Cheng</w:t>
      </w:r>
    </w:p>
    <w:p>
      <w:pPr>
        <w:spacing w:after="0" w:line="44"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2"/>
          <w:szCs w:val="22"/>
          <w:color w:val="auto"/>
        </w:rPr>
        <w:t>Name: Douglas Cheng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386715</wp:posOffset>
            </wp:positionH>
            <wp:positionV relativeFrom="paragraph">
              <wp:posOffset>-160020</wp:posOffset>
            </wp:positionV>
            <wp:extent cx="3951605" cy="889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309">
                      <a:extLst>
                        <a:ext uri="{28A0092B-C50C-407E-A947-70E740481C1C}"/>
                      </a:extLst>
                    </a:blip>
                    <a:srcRect/>
                    <a:stretch>
                      <a:fillRect/>
                    </a:stretch>
                  </pic:blipFill>
                  <pic:spPr bwMode="auto">
                    <a:xfrm>
                      <a:off x="0" y="0"/>
                      <a:ext cx="3951605" cy="8890"/>
                    </a:xfrm>
                    <a:prstGeom prst="rect">
                      <a:avLst/>
                    </a:prstGeom>
                    <a:noFill/>
                  </pic:spPr>
                </pic:pic>
              </a:graphicData>
            </a:graphic>
          </wp:anchor>
        </w:drawing>
      </w:r>
    </w:p>
    <w:p>
      <w:pPr>
        <w:spacing w:after="0" w:line="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2"/>
          <w:szCs w:val="22"/>
          <w:color w:val="auto"/>
        </w:rPr>
        <w:t>Title: Managing Director</w:t>
      </w:r>
    </w:p>
    <w:p>
      <w:pPr>
        <w:spacing w:after="0" w:line="200" w:lineRule="exact"/>
        <w:rPr>
          <w:sz w:val="20"/>
          <w:szCs w:val="20"/>
          <w:color w:val="auto"/>
        </w:rPr>
      </w:pPr>
    </w:p>
    <w:p>
      <w:pPr>
        <w:spacing w:after="0" w:line="399"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22"/>
          <w:szCs w:val="22"/>
          <w:color w:val="auto"/>
        </w:rPr>
        <w:t>By:</w:t>
        <w:tab/>
        <w:t>Goldman Sachs &amp; Co. LLC</w:t>
      </w:r>
    </w:p>
    <w:p>
      <w:pPr>
        <w:spacing w:after="0" w:line="200" w:lineRule="exact"/>
        <w:rPr>
          <w:sz w:val="20"/>
          <w:szCs w:val="20"/>
          <w:color w:val="auto"/>
        </w:rPr>
      </w:pPr>
    </w:p>
    <w:p>
      <w:pPr>
        <w:spacing w:after="0" w:line="384"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22"/>
          <w:szCs w:val="22"/>
          <w:color w:val="auto"/>
        </w:rPr>
        <w:t>By:</w:t>
        <w:tab/>
        <w:t>/s/ Michael Voris</w:t>
      </w:r>
    </w:p>
    <w:p>
      <w:pPr>
        <w:spacing w:after="0" w:line="44"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2"/>
          <w:szCs w:val="22"/>
          <w:color w:val="auto"/>
        </w:rPr>
        <w:t>Name: Michael Voris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386715</wp:posOffset>
            </wp:positionH>
            <wp:positionV relativeFrom="paragraph">
              <wp:posOffset>-160020</wp:posOffset>
            </wp:positionV>
            <wp:extent cx="3951605" cy="825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310">
                      <a:extLst>
                        <a:ext uri="{28A0092B-C50C-407E-A947-70E740481C1C}"/>
                      </a:extLst>
                    </a:blip>
                    <a:srcRect/>
                    <a:stretch>
                      <a:fillRect/>
                    </a:stretch>
                  </pic:blipFill>
                  <pic:spPr bwMode="auto">
                    <a:xfrm>
                      <a:off x="0" y="0"/>
                      <a:ext cx="3951605" cy="8255"/>
                    </a:xfrm>
                    <a:prstGeom prst="rect">
                      <a:avLst/>
                    </a:prstGeom>
                    <a:noFill/>
                  </pic:spPr>
                </pic:pic>
              </a:graphicData>
            </a:graphic>
          </wp:anchor>
        </w:drawing>
      </w:r>
    </w:p>
    <w:p>
      <w:pPr>
        <w:spacing w:after="0" w:line="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2"/>
          <w:szCs w:val="22"/>
          <w:color w:val="auto"/>
        </w:rPr>
        <w:t>Title: Managing Director</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22"/>
          <w:szCs w:val="22"/>
          <w:color w:val="auto"/>
        </w:rPr>
        <w:t>By:</w:t>
        <w:tab/>
        <w:t>J.P. Morgan Securities LLC</w:t>
      </w:r>
    </w:p>
    <w:p>
      <w:pPr>
        <w:spacing w:after="0" w:line="200" w:lineRule="exact"/>
        <w:rPr>
          <w:sz w:val="20"/>
          <w:szCs w:val="20"/>
          <w:color w:val="auto"/>
        </w:rPr>
      </w:pPr>
    </w:p>
    <w:p>
      <w:pPr>
        <w:spacing w:after="0" w:line="384"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22"/>
          <w:szCs w:val="22"/>
          <w:color w:val="auto"/>
        </w:rPr>
        <w:t>By:</w:t>
        <w:tab/>
        <w:t>/s/ Sanjeet Dewal</w:t>
      </w:r>
    </w:p>
    <w:p>
      <w:pPr>
        <w:spacing w:after="0" w:line="44"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2"/>
          <w:szCs w:val="22"/>
          <w:color w:val="auto"/>
        </w:rPr>
        <w:t>Name: Sanjeet Dewal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386715</wp:posOffset>
            </wp:positionH>
            <wp:positionV relativeFrom="paragraph">
              <wp:posOffset>-160020</wp:posOffset>
            </wp:positionV>
            <wp:extent cx="3951605" cy="825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311">
                      <a:extLst>
                        <a:ext uri="{28A0092B-C50C-407E-A947-70E740481C1C}"/>
                      </a:extLst>
                    </a:blip>
                    <a:srcRect/>
                    <a:stretch>
                      <a:fillRect/>
                    </a:stretch>
                  </pic:blipFill>
                  <pic:spPr bwMode="auto">
                    <a:xfrm>
                      <a:off x="0" y="0"/>
                      <a:ext cx="3951605" cy="8255"/>
                    </a:xfrm>
                    <a:prstGeom prst="rect">
                      <a:avLst/>
                    </a:prstGeom>
                    <a:noFill/>
                  </pic:spPr>
                </pic:pic>
              </a:graphicData>
            </a:graphic>
          </wp:anchor>
        </w:drawing>
      </w:r>
    </w:p>
    <w:p>
      <w:pPr>
        <w:spacing w:after="0" w:line="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2"/>
          <w:szCs w:val="22"/>
          <w:color w:val="auto"/>
        </w:rPr>
        <w:t>Title: Managing Director</w:t>
      </w:r>
    </w:p>
    <w:p>
      <w:pPr>
        <w:sectPr>
          <w:pgSz w:w="11900" w:h="16838" w:orient="portrait"/>
          <w:cols w:equalWidth="0" w:num="1">
            <w:col w:w="10119"/>
          </w:cols>
          <w:pgMar w:left="340" w:top="1440" w:right="1440" w:bottom="1440" w:gutter="0" w:footer="0" w:header="0"/>
        </w:sectPr>
      </w:pPr>
    </w:p>
    <w:bookmarkStart w:id="130" w:name="page131"/>
    <w:bookmarkEnd w:id="130"/>
    <w:p>
      <w:pPr>
        <w:spacing w:after="0" w:line="9"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22"/>
          <w:szCs w:val="22"/>
          <w:color w:val="auto"/>
        </w:rPr>
        <w:t>By:</w:t>
        <w:tab/>
        <w:t>Mizuho Securities USA LLC</w:t>
      </w:r>
    </w:p>
    <w:p>
      <w:pPr>
        <w:spacing w:after="0" w:line="200" w:lineRule="exact"/>
        <w:rPr>
          <w:sz w:val="20"/>
          <w:szCs w:val="20"/>
          <w:color w:val="auto"/>
        </w:rPr>
      </w:pPr>
    </w:p>
    <w:p>
      <w:pPr>
        <w:spacing w:after="0" w:line="384"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22"/>
          <w:szCs w:val="22"/>
          <w:color w:val="auto"/>
        </w:rPr>
        <w:t>By:</w:t>
        <w:tab/>
        <w:t>/s/ James Watts</w:t>
      </w:r>
    </w:p>
    <w:p>
      <w:pPr>
        <w:spacing w:after="0" w:line="44"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2"/>
          <w:szCs w:val="22"/>
          <w:color w:val="auto"/>
        </w:rPr>
        <w:t>Name: James Watts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386715</wp:posOffset>
            </wp:positionH>
            <wp:positionV relativeFrom="paragraph">
              <wp:posOffset>-160020</wp:posOffset>
            </wp:positionV>
            <wp:extent cx="3951605" cy="825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312">
                      <a:extLst>
                        <a:ext uri="{28A0092B-C50C-407E-A947-70E740481C1C}"/>
                      </a:extLst>
                    </a:blip>
                    <a:srcRect/>
                    <a:stretch>
                      <a:fillRect/>
                    </a:stretch>
                  </pic:blipFill>
                  <pic:spPr bwMode="auto">
                    <a:xfrm>
                      <a:off x="0" y="0"/>
                      <a:ext cx="3951605" cy="8255"/>
                    </a:xfrm>
                    <a:prstGeom prst="rect">
                      <a:avLst/>
                    </a:prstGeom>
                    <a:noFill/>
                  </pic:spPr>
                </pic:pic>
              </a:graphicData>
            </a:graphic>
          </wp:anchor>
        </w:drawing>
      </w:r>
    </w:p>
    <w:p>
      <w:pPr>
        <w:spacing w:after="0" w:line="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2"/>
          <w:szCs w:val="22"/>
          <w:color w:val="auto"/>
        </w:rPr>
        <w:t>Title: Managing Director</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22"/>
          <w:szCs w:val="22"/>
          <w:color w:val="auto"/>
        </w:rPr>
        <w:t>By:</w:t>
        <w:tab/>
        <w:t>Morgan Stanley &amp; Co. LLC</w:t>
      </w:r>
    </w:p>
    <w:p>
      <w:pPr>
        <w:spacing w:after="0" w:line="200" w:lineRule="exact"/>
        <w:rPr>
          <w:sz w:val="20"/>
          <w:szCs w:val="20"/>
          <w:color w:val="auto"/>
        </w:rPr>
      </w:pPr>
    </w:p>
    <w:p>
      <w:pPr>
        <w:spacing w:after="0" w:line="384"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22"/>
          <w:szCs w:val="22"/>
          <w:color w:val="auto"/>
        </w:rPr>
        <w:t>By:</w:t>
        <w:tab/>
        <w:t>/s/ Daniel J. F. McCullough</w:t>
      </w:r>
    </w:p>
    <w:p>
      <w:pPr>
        <w:spacing w:after="0" w:line="44"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color w:val="auto"/>
        </w:rPr>
        <w:t>Name: Daniel J. F. McCullough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386715</wp:posOffset>
            </wp:positionH>
            <wp:positionV relativeFrom="paragraph">
              <wp:posOffset>-152400</wp:posOffset>
            </wp:positionV>
            <wp:extent cx="3951605" cy="825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13">
                      <a:extLst>
                        <a:ext uri="{28A0092B-C50C-407E-A947-70E740481C1C}"/>
                      </a:extLst>
                    </a:blip>
                    <a:srcRect/>
                    <a:stretch>
                      <a:fillRect/>
                    </a:stretch>
                  </pic:blipFill>
                  <pic:spPr bwMode="auto">
                    <a:xfrm>
                      <a:off x="0" y="0"/>
                      <a:ext cx="3951605" cy="8255"/>
                    </a:xfrm>
                    <a:prstGeom prst="rect">
                      <a:avLst/>
                    </a:prstGeom>
                    <a:noFill/>
                  </pic:spPr>
                </pic:pic>
              </a:graphicData>
            </a:graphic>
          </wp:anchor>
        </w:drawing>
      </w:r>
    </w:p>
    <w:p>
      <w:pPr>
        <w:spacing w:after="0" w:line="2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2"/>
          <w:szCs w:val="22"/>
          <w:color w:val="auto"/>
        </w:rPr>
        <w:t>Title: Executive Director</w:t>
      </w:r>
    </w:p>
    <w:p>
      <w:pPr>
        <w:spacing w:after="0" w:line="200" w:lineRule="exact"/>
        <w:rPr>
          <w:sz w:val="20"/>
          <w:szCs w:val="20"/>
          <w:color w:val="auto"/>
        </w:rPr>
      </w:pPr>
    </w:p>
    <w:p>
      <w:pPr>
        <w:spacing w:after="0" w:line="399"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21"/>
          <w:szCs w:val="21"/>
          <w:color w:val="auto"/>
        </w:rPr>
        <w:t>By:</w:t>
        <w:tab/>
        <w:t>MUFG Securities Americas Inc.</w:t>
      </w:r>
    </w:p>
    <w:p>
      <w:pPr>
        <w:spacing w:after="0" w:line="200" w:lineRule="exact"/>
        <w:rPr>
          <w:sz w:val="20"/>
          <w:szCs w:val="20"/>
          <w:color w:val="auto"/>
        </w:rPr>
      </w:pPr>
    </w:p>
    <w:p>
      <w:pPr>
        <w:spacing w:after="0" w:line="396"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22"/>
          <w:szCs w:val="22"/>
          <w:color w:val="auto"/>
        </w:rPr>
        <w:t>By:</w:t>
        <w:tab/>
        <w:t>/s/ Geoffrey Paul</w:t>
      </w:r>
    </w:p>
    <w:p>
      <w:pPr>
        <w:spacing w:after="0" w:line="44"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2"/>
          <w:szCs w:val="22"/>
          <w:color w:val="auto"/>
        </w:rPr>
        <w:t>Name: Geoffrey Paul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386715</wp:posOffset>
            </wp:positionH>
            <wp:positionV relativeFrom="paragraph">
              <wp:posOffset>-160020</wp:posOffset>
            </wp:positionV>
            <wp:extent cx="3951605" cy="889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14">
                      <a:extLst>
                        <a:ext uri="{28A0092B-C50C-407E-A947-70E740481C1C}"/>
                      </a:extLst>
                    </a:blip>
                    <a:srcRect/>
                    <a:stretch>
                      <a:fillRect/>
                    </a:stretch>
                  </pic:blipFill>
                  <pic:spPr bwMode="auto">
                    <a:xfrm>
                      <a:off x="0" y="0"/>
                      <a:ext cx="3951605" cy="8890"/>
                    </a:xfrm>
                    <a:prstGeom prst="rect">
                      <a:avLst/>
                    </a:prstGeom>
                    <a:noFill/>
                  </pic:spPr>
                </pic:pic>
              </a:graphicData>
            </a:graphic>
          </wp:anchor>
        </w:drawing>
      </w:r>
    </w:p>
    <w:p>
      <w:pPr>
        <w:spacing w:after="0" w:line="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2"/>
          <w:szCs w:val="22"/>
          <w:color w:val="auto"/>
        </w:rPr>
        <w:t>Title: Managing Director</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22"/>
          <w:szCs w:val="22"/>
          <w:color w:val="auto"/>
        </w:rPr>
        <w:t>By:</w:t>
        <w:tab/>
        <w:t>RBC Capital Markets, LLC</w:t>
      </w:r>
    </w:p>
    <w:p>
      <w:pPr>
        <w:spacing w:after="0" w:line="200" w:lineRule="exact"/>
        <w:rPr>
          <w:sz w:val="20"/>
          <w:szCs w:val="20"/>
          <w:color w:val="auto"/>
        </w:rPr>
      </w:pPr>
    </w:p>
    <w:p>
      <w:pPr>
        <w:spacing w:after="0" w:line="384"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22"/>
          <w:szCs w:val="22"/>
          <w:color w:val="auto"/>
        </w:rPr>
        <w:t>By:</w:t>
        <w:tab/>
        <w:t>/s/ Patrick Hamer</w:t>
      </w:r>
    </w:p>
    <w:p>
      <w:pPr>
        <w:spacing w:after="0" w:line="44"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2"/>
          <w:szCs w:val="22"/>
          <w:color w:val="auto"/>
        </w:rPr>
        <w:t>Name: Patrick Hamer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386715</wp:posOffset>
            </wp:positionH>
            <wp:positionV relativeFrom="paragraph">
              <wp:posOffset>-160020</wp:posOffset>
            </wp:positionV>
            <wp:extent cx="3951605" cy="825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15">
                      <a:extLst>
                        <a:ext uri="{28A0092B-C50C-407E-A947-70E740481C1C}"/>
                      </a:extLst>
                    </a:blip>
                    <a:srcRect/>
                    <a:stretch>
                      <a:fillRect/>
                    </a:stretch>
                  </pic:blipFill>
                  <pic:spPr bwMode="auto">
                    <a:xfrm>
                      <a:off x="0" y="0"/>
                      <a:ext cx="3951605" cy="8255"/>
                    </a:xfrm>
                    <a:prstGeom prst="rect">
                      <a:avLst/>
                    </a:prstGeom>
                    <a:noFill/>
                  </pic:spPr>
                </pic:pic>
              </a:graphicData>
            </a:graphic>
          </wp:anchor>
        </w:drawing>
      </w:r>
    </w:p>
    <w:p>
      <w:pPr>
        <w:spacing w:after="0" w:line="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2"/>
          <w:szCs w:val="22"/>
          <w:color w:val="auto"/>
        </w:rPr>
        <w:t>Title: Managing Director</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22"/>
          <w:szCs w:val="22"/>
          <w:color w:val="auto"/>
        </w:rPr>
        <w:t>By:</w:t>
        <w:tab/>
        <w:t>Scotia Capital (USA) Inc.</w:t>
      </w:r>
    </w:p>
    <w:p>
      <w:pPr>
        <w:spacing w:after="0" w:line="200" w:lineRule="exact"/>
        <w:rPr>
          <w:sz w:val="20"/>
          <w:szCs w:val="20"/>
          <w:color w:val="auto"/>
        </w:rPr>
      </w:pPr>
    </w:p>
    <w:p>
      <w:pPr>
        <w:spacing w:after="0" w:line="384"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22"/>
          <w:szCs w:val="22"/>
          <w:color w:val="auto"/>
        </w:rPr>
        <w:t>By:</w:t>
        <w:tab/>
        <w:t>/s/ Tim Mann</w:t>
      </w:r>
    </w:p>
    <w:p>
      <w:pPr>
        <w:spacing w:after="0" w:line="44"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2"/>
          <w:szCs w:val="22"/>
          <w:color w:val="auto"/>
        </w:rPr>
        <w:t>Name: Tim Mann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386715</wp:posOffset>
            </wp:positionH>
            <wp:positionV relativeFrom="paragraph">
              <wp:posOffset>-160020</wp:posOffset>
            </wp:positionV>
            <wp:extent cx="3951605" cy="825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16">
                      <a:extLst>
                        <a:ext uri="{28A0092B-C50C-407E-A947-70E740481C1C}"/>
                      </a:extLst>
                    </a:blip>
                    <a:srcRect/>
                    <a:stretch>
                      <a:fillRect/>
                    </a:stretch>
                  </pic:blipFill>
                  <pic:spPr bwMode="auto">
                    <a:xfrm>
                      <a:off x="0" y="0"/>
                      <a:ext cx="3951605" cy="8255"/>
                    </a:xfrm>
                    <a:prstGeom prst="rect">
                      <a:avLst/>
                    </a:prstGeom>
                    <a:noFill/>
                  </pic:spPr>
                </pic:pic>
              </a:graphicData>
            </a:graphic>
          </wp:anchor>
        </w:drawing>
      </w:r>
    </w:p>
    <w:p>
      <w:pPr>
        <w:spacing w:after="0" w:line="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2"/>
          <w:szCs w:val="22"/>
          <w:color w:val="auto"/>
        </w:rPr>
        <w:t>Title: Managing Director</w:t>
      </w:r>
    </w:p>
    <w:p>
      <w:pPr>
        <w:sectPr>
          <w:pgSz w:w="11900" w:h="16838" w:orient="portrait"/>
          <w:cols w:equalWidth="0" w:num="1">
            <w:col w:w="10119"/>
          </w:cols>
          <w:pgMar w:left="340" w:top="1440" w:right="1440" w:bottom="1440" w:gutter="0" w:footer="0" w:header="0"/>
        </w:sectPr>
      </w:pPr>
    </w:p>
    <w:bookmarkStart w:id="131" w:name="page132"/>
    <w:bookmarkEnd w:id="131"/>
    <w:p>
      <w:pPr>
        <w:spacing w:after="0" w:line="9" w:lineRule="exact"/>
        <w:rPr>
          <w:sz w:val="20"/>
          <w:szCs w:val="20"/>
          <w:color w:val="auto"/>
        </w:rPr>
      </w:pPr>
    </w:p>
    <w:p>
      <w:pPr>
        <w:ind w:left="20"/>
        <w:spacing w:after="0"/>
        <w:tabs>
          <w:tab w:leader="none" w:pos="620" w:val="left"/>
        </w:tabs>
        <w:rPr>
          <w:sz w:val="20"/>
          <w:szCs w:val="20"/>
          <w:color w:val="auto"/>
        </w:rPr>
      </w:pPr>
      <w:r>
        <w:rPr>
          <w:rFonts w:ascii="Times New Roman" w:cs="Times New Roman" w:eastAsia="Times New Roman" w:hAnsi="Times New Roman"/>
          <w:sz w:val="22"/>
          <w:szCs w:val="22"/>
          <w:color w:val="auto"/>
        </w:rPr>
        <w:t>By:</w:t>
        <w:tab/>
        <w:t>Truist Securities, Inc.</w:t>
      </w:r>
    </w:p>
    <w:p>
      <w:pPr>
        <w:spacing w:after="0" w:line="200" w:lineRule="exact"/>
        <w:rPr>
          <w:sz w:val="20"/>
          <w:szCs w:val="20"/>
          <w:color w:val="auto"/>
        </w:rPr>
      </w:pPr>
    </w:p>
    <w:p>
      <w:pPr>
        <w:spacing w:after="0" w:line="384" w:lineRule="exact"/>
        <w:rPr>
          <w:sz w:val="20"/>
          <w:szCs w:val="20"/>
          <w:color w:val="auto"/>
        </w:rPr>
      </w:pPr>
    </w:p>
    <w:p>
      <w:pPr>
        <w:ind w:left="20"/>
        <w:spacing w:after="0"/>
        <w:tabs>
          <w:tab w:leader="none" w:pos="620" w:val="left"/>
        </w:tabs>
        <w:rPr>
          <w:sz w:val="20"/>
          <w:szCs w:val="20"/>
          <w:color w:val="auto"/>
        </w:rPr>
      </w:pPr>
      <w:r>
        <w:rPr>
          <w:rFonts w:ascii="Times New Roman" w:cs="Times New Roman" w:eastAsia="Times New Roman" w:hAnsi="Times New Roman"/>
          <w:sz w:val="22"/>
          <w:szCs w:val="22"/>
          <w:color w:val="auto"/>
        </w:rPr>
        <w:t>By:</w:t>
        <w:tab/>
        <w:t>/s/ Geoffrey Fennel</w:t>
      </w:r>
    </w:p>
    <w:p>
      <w:pPr>
        <w:spacing w:after="0" w:line="4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2"/>
          <w:szCs w:val="22"/>
          <w:color w:val="auto"/>
        </w:rPr>
        <w:t>Name: Geoffrey Fennel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399415</wp:posOffset>
            </wp:positionH>
            <wp:positionV relativeFrom="paragraph">
              <wp:posOffset>-160020</wp:posOffset>
            </wp:positionV>
            <wp:extent cx="3951605" cy="825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17">
                      <a:extLst>
                        <a:ext uri="{28A0092B-C50C-407E-A947-70E740481C1C}"/>
                      </a:extLst>
                    </a:blip>
                    <a:srcRect/>
                    <a:stretch>
                      <a:fillRect/>
                    </a:stretch>
                  </pic:blipFill>
                  <pic:spPr bwMode="auto">
                    <a:xfrm>
                      <a:off x="0" y="0"/>
                      <a:ext cx="3951605" cy="8255"/>
                    </a:xfrm>
                    <a:prstGeom prst="rect">
                      <a:avLst/>
                    </a:prstGeom>
                    <a:noFill/>
                  </pic:spPr>
                </pic:pic>
              </a:graphicData>
            </a:graphic>
          </wp:anchor>
        </w:drawing>
      </w:r>
    </w:p>
    <w:p>
      <w:pPr>
        <w:spacing w:after="0" w:line="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2"/>
          <w:szCs w:val="22"/>
          <w:color w:val="auto"/>
        </w:rPr>
        <w:t>Title: Director</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0"/>
        <w:spacing w:after="0"/>
        <w:tabs>
          <w:tab w:leader="none" w:pos="620" w:val="left"/>
        </w:tabs>
        <w:rPr>
          <w:sz w:val="20"/>
          <w:szCs w:val="20"/>
          <w:color w:val="auto"/>
        </w:rPr>
      </w:pPr>
      <w:r>
        <w:rPr>
          <w:rFonts w:ascii="Times New Roman" w:cs="Times New Roman" w:eastAsia="Times New Roman" w:hAnsi="Times New Roman"/>
          <w:sz w:val="22"/>
          <w:szCs w:val="22"/>
          <w:color w:val="auto"/>
        </w:rPr>
        <w:t>By:</w:t>
        <w:tab/>
        <w:t>Wells Fargo Securities, LLC</w:t>
      </w:r>
    </w:p>
    <w:p>
      <w:pPr>
        <w:spacing w:after="0" w:line="200" w:lineRule="exact"/>
        <w:rPr>
          <w:sz w:val="20"/>
          <w:szCs w:val="20"/>
          <w:color w:val="auto"/>
        </w:rPr>
      </w:pPr>
    </w:p>
    <w:p>
      <w:pPr>
        <w:spacing w:after="0" w:line="384" w:lineRule="exact"/>
        <w:rPr>
          <w:sz w:val="20"/>
          <w:szCs w:val="20"/>
          <w:color w:val="auto"/>
        </w:rPr>
      </w:pPr>
    </w:p>
    <w:p>
      <w:pPr>
        <w:ind w:left="20"/>
        <w:spacing w:after="0"/>
        <w:tabs>
          <w:tab w:leader="none" w:pos="620" w:val="left"/>
        </w:tabs>
        <w:rPr>
          <w:sz w:val="20"/>
          <w:szCs w:val="20"/>
          <w:color w:val="auto"/>
        </w:rPr>
      </w:pPr>
      <w:r>
        <w:rPr>
          <w:rFonts w:ascii="Times New Roman" w:cs="Times New Roman" w:eastAsia="Times New Roman" w:hAnsi="Times New Roman"/>
          <w:sz w:val="22"/>
          <w:szCs w:val="22"/>
          <w:color w:val="auto"/>
        </w:rPr>
        <w:t>By:</w:t>
        <w:tab/>
        <w:t>/s/ Michael Tiedemann</w:t>
      </w:r>
    </w:p>
    <w:p>
      <w:pPr>
        <w:spacing w:after="0" w:line="4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2"/>
          <w:szCs w:val="22"/>
          <w:color w:val="auto"/>
        </w:rPr>
        <w:t>Name: Michael Tiedemann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399415</wp:posOffset>
            </wp:positionH>
            <wp:positionV relativeFrom="paragraph">
              <wp:posOffset>-160020</wp:posOffset>
            </wp:positionV>
            <wp:extent cx="3951605" cy="825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18">
                      <a:extLst>
                        <a:ext uri="{28A0092B-C50C-407E-A947-70E740481C1C}"/>
                      </a:extLst>
                    </a:blip>
                    <a:srcRect/>
                    <a:stretch>
                      <a:fillRect/>
                    </a:stretch>
                  </pic:blipFill>
                  <pic:spPr bwMode="auto">
                    <a:xfrm>
                      <a:off x="0" y="0"/>
                      <a:ext cx="3951605" cy="8255"/>
                    </a:xfrm>
                    <a:prstGeom prst="rect">
                      <a:avLst/>
                    </a:prstGeom>
                    <a:noFill/>
                  </pic:spPr>
                </pic:pic>
              </a:graphicData>
            </a:graphic>
          </wp:anchor>
        </w:drawing>
      </w:r>
    </w:p>
    <w:p>
      <w:pPr>
        <w:spacing w:after="0" w:line="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2"/>
          <w:szCs w:val="22"/>
          <w:color w:val="auto"/>
        </w:rPr>
        <w:t>Title: Managing Director</w:t>
      </w:r>
    </w:p>
    <w:p>
      <w:pPr>
        <w:spacing w:after="0" w:line="200" w:lineRule="exact"/>
        <w:rPr>
          <w:sz w:val="20"/>
          <w:szCs w:val="20"/>
          <w:color w:val="auto"/>
        </w:rPr>
      </w:pPr>
    </w:p>
    <w:p>
      <w:pPr>
        <w:spacing w:after="0" w:line="31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As Agents</w:t>
      </w:r>
    </w:p>
    <w:p>
      <w:pPr>
        <w:spacing w:after="0" w:line="200" w:lineRule="exact"/>
        <w:rPr>
          <w:sz w:val="20"/>
          <w:szCs w:val="20"/>
          <w:color w:val="auto"/>
        </w:rPr>
      </w:pPr>
    </w:p>
    <w:p>
      <w:pPr>
        <w:spacing w:after="0" w:line="35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Accepted as of the date first written above</w:t>
      </w:r>
    </w:p>
    <w:p>
      <w:pPr>
        <w:spacing w:after="0" w:line="200" w:lineRule="exact"/>
        <w:rPr>
          <w:sz w:val="20"/>
          <w:szCs w:val="20"/>
          <w:color w:val="auto"/>
        </w:rPr>
      </w:pPr>
    </w:p>
    <w:p>
      <w:pPr>
        <w:spacing w:after="0" w:line="303" w:lineRule="exact"/>
        <w:rPr>
          <w:sz w:val="20"/>
          <w:szCs w:val="20"/>
          <w:color w:val="auto"/>
        </w:rPr>
      </w:pPr>
    </w:p>
    <w:p>
      <w:pPr>
        <w:ind w:left="20"/>
        <w:spacing w:after="0"/>
        <w:tabs>
          <w:tab w:leader="none" w:pos="620" w:val="left"/>
        </w:tabs>
        <w:rPr>
          <w:sz w:val="20"/>
          <w:szCs w:val="20"/>
          <w:color w:val="auto"/>
        </w:rPr>
      </w:pPr>
      <w:r>
        <w:rPr>
          <w:rFonts w:ascii="Times New Roman" w:cs="Times New Roman" w:eastAsia="Times New Roman" w:hAnsi="Times New Roman"/>
          <w:sz w:val="22"/>
          <w:szCs w:val="22"/>
          <w:color w:val="auto"/>
        </w:rPr>
        <w:t>By:</w:t>
        <w:tab/>
        <w:t>Barclays Bank PLC</w:t>
      </w:r>
    </w:p>
    <w:p>
      <w:pPr>
        <w:spacing w:after="0" w:line="200" w:lineRule="exact"/>
        <w:rPr>
          <w:sz w:val="20"/>
          <w:szCs w:val="20"/>
          <w:color w:val="auto"/>
        </w:rPr>
      </w:pPr>
    </w:p>
    <w:p>
      <w:pPr>
        <w:spacing w:after="0" w:line="384" w:lineRule="exact"/>
        <w:rPr>
          <w:sz w:val="20"/>
          <w:szCs w:val="20"/>
          <w:color w:val="auto"/>
        </w:rPr>
      </w:pPr>
    </w:p>
    <w:p>
      <w:pPr>
        <w:ind w:left="20"/>
        <w:spacing w:after="0"/>
        <w:tabs>
          <w:tab w:leader="none" w:pos="620" w:val="left"/>
        </w:tabs>
        <w:rPr>
          <w:sz w:val="20"/>
          <w:szCs w:val="20"/>
          <w:color w:val="auto"/>
        </w:rPr>
      </w:pPr>
      <w:r>
        <w:rPr>
          <w:rFonts w:ascii="Times New Roman" w:cs="Times New Roman" w:eastAsia="Times New Roman" w:hAnsi="Times New Roman"/>
          <w:sz w:val="22"/>
          <w:szCs w:val="22"/>
          <w:color w:val="auto"/>
        </w:rPr>
        <w:t>By:</w:t>
        <w:tab/>
        <w:t>/s/ Kevin Cheng</w:t>
      </w:r>
    </w:p>
    <w:p>
      <w:pPr>
        <w:spacing w:after="0" w:line="4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2"/>
          <w:szCs w:val="22"/>
          <w:color w:val="auto"/>
        </w:rPr>
        <w:t>Name: Kevin Cheng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399415</wp:posOffset>
            </wp:positionH>
            <wp:positionV relativeFrom="paragraph">
              <wp:posOffset>-160020</wp:posOffset>
            </wp:positionV>
            <wp:extent cx="3951605" cy="889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19">
                      <a:extLst>
                        <a:ext uri="{28A0092B-C50C-407E-A947-70E740481C1C}"/>
                      </a:extLst>
                    </a:blip>
                    <a:srcRect/>
                    <a:stretch>
                      <a:fillRect/>
                    </a:stretch>
                  </pic:blipFill>
                  <pic:spPr bwMode="auto">
                    <a:xfrm>
                      <a:off x="0" y="0"/>
                      <a:ext cx="3951605" cy="8890"/>
                    </a:xfrm>
                    <a:prstGeom prst="rect">
                      <a:avLst/>
                    </a:prstGeom>
                    <a:noFill/>
                  </pic:spPr>
                </pic:pic>
              </a:graphicData>
            </a:graphic>
          </wp:anchor>
        </w:drawing>
      </w:r>
    </w:p>
    <w:p>
      <w:pPr>
        <w:spacing w:after="0" w:line="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2"/>
          <w:szCs w:val="22"/>
          <w:color w:val="auto"/>
        </w:rPr>
        <w:t>Title: Managing Director</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0"/>
        <w:spacing w:after="0"/>
        <w:tabs>
          <w:tab w:leader="none" w:pos="620" w:val="left"/>
        </w:tabs>
        <w:rPr>
          <w:sz w:val="20"/>
          <w:szCs w:val="20"/>
          <w:color w:val="auto"/>
        </w:rPr>
      </w:pPr>
      <w:r>
        <w:rPr>
          <w:rFonts w:ascii="Times New Roman" w:cs="Times New Roman" w:eastAsia="Times New Roman" w:hAnsi="Times New Roman"/>
          <w:sz w:val="22"/>
          <w:szCs w:val="22"/>
          <w:color w:val="auto"/>
        </w:rPr>
        <w:t>By:</w:t>
        <w:tab/>
        <w:t>Bank of Montreal</w:t>
      </w:r>
    </w:p>
    <w:p>
      <w:pPr>
        <w:spacing w:after="0" w:line="200" w:lineRule="exact"/>
        <w:rPr>
          <w:sz w:val="20"/>
          <w:szCs w:val="20"/>
          <w:color w:val="auto"/>
        </w:rPr>
      </w:pPr>
    </w:p>
    <w:p>
      <w:pPr>
        <w:spacing w:after="0" w:line="384" w:lineRule="exact"/>
        <w:rPr>
          <w:sz w:val="20"/>
          <w:szCs w:val="20"/>
          <w:color w:val="auto"/>
        </w:rPr>
      </w:pPr>
    </w:p>
    <w:p>
      <w:pPr>
        <w:ind w:left="20"/>
        <w:spacing w:after="0"/>
        <w:tabs>
          <w:tab w:leader="none" w:pos="620" w:val="left"/>
        </w:tabs>
        <w:rPr>
          <w:sz w:val="20"/>
          <w:szCs w:val="20"/>
          <w:color w:val="auto"/>
        </w:rPr>
      </w:pPr>
      <w:r>
        <w:rPr>
          <w:rFonts w:ascii="Times New Roman" w:cs="Times New Roman" w:eastAsia="Times New Roman" w:hAnsi="Times New Roman"/>
          <w:sz w:val="22"/>
          <w:szCs w:val="22"/>
          <w:color w:val="auto"/>
        </w:rPr>
        <w:t>By:</w:t>
        <w:tab/>
        <w:t>/s/ Brian Riley</w:t>
      </w:r>
    </w:p>
    <w:p>
      <w:pPr>
        <w:spacing w:after="0" w:line="4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2"/>
          <w:szCs w:val="22"/>
          <w:color w:val="auto"/>
        </w:rPr>
        <w:t>Name: Brian Riley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399415</wp:posOffset>
            </wp:positionH>
            <wp:positionV relativeFrom="paragraph">
              <wp:posOffset>-160020</wp:posOffset>
            </wp:positionV>
            <wp:extent cx="3951605" cy="889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20">
                      <a:extLst>
                        <a:ext uri="{28A0092B-C50C-407E-A947-70E740481C1C}"/>
                      </a:extLst>
                    </a:blip>
                    <a:srcRect/>
                    <a:stretch>
                      <a:fillRect/>
                    </a:stretch>
                  </pic:blipFill>
                  <pic:spPr bwMode="auto">
                    <a:xfrm>
                      <a:off x="0" y="0"/>
                      <a:ext cx="3951605" cy="8890"/>
                    </a:xfrm>
                    <a:prstGeom prst="rect">
                      <a:avLst/>
                    </a:prstGeom>
                    <a:noFill/>
                  </pic:spPr>
                </pic:pic>
              </a:graphicData>
            </a:graphic>
          </wp:anchor>
        </w:drawing>
      </w:r>
    </w:p>
    <w:p>
      <w:pPr>
        <w:spacing w:after="0" w:line="9" w:lineRule="exact"/>
        <w:rPr>
          <w:sz w:val="20"/>
          <w:szCs w:val="20"/>
          <w:color w:val="auto"/>
        </w:rPr>
      </w:pPr>
    </w:p>
    <w:p>
      <w:pPr>
        <w:jc w:val="right"/>
        <w:ind w:right="4579"/>
        <w:spacing w:after="0"/>
        <w:rPr>
          <w:sz w:val="20"/>
          <w:szCs w:val="20"/>
          <w:color w:val="auto"/>
        </w:rPr>
      </w:pPr>
      <w:r>
        <w:rPr>
          <w:rFonts w:ascii="Times New Roman" w:cs="Times New Roman" w:eastAsia="Times New Roman" w:hAnsi="Times New Roman"/>
          <w:sz w:val="22"/>
          <w:szCs w:val="22"/>
          <w:color w:val="auto"/>
        </w:rPr>
        <w:t>Title: Managing Director, Global Equity Capital Markets</w:t>
      </w:r>
    </w:p>
    <w:p>
      <w:pPr>
        <w:sectPr>
          <w:pgSz w:w="11900" w:h="16838" w:orient="portrait"/>
          <w:cols w:equalWidth="0" w:num="1">
            <w:col w:w="10139"/>
          </w:cols>
          <w:pgMar w:left="320" w:top="1440" w:right="1440" w:bottom="1440" w:gutter="0" w:footer="0" w:header="0"/>
        </w:sectPr>
      </w:pPr>
    </w:p>
    <w:bookmarkStart w:id="132" w:name="page133"/>
    <w:bookmarkEnd w:id="132"/>
    <w:p>
      <w:pPr>
        <w:spacing w:after="0" w:line="9"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22"/>
          <w:szCs w:val="22"/>
          <w:color w:val="auto"/>
        </w:rPr>
        <w:t>By:</w:t>
        <w:tab/>
        <w:t>BNP Paribas</w:t>
      </w:r>
    </w:p>
    <w:p>
      <w:pPr>
        <w:spacing w:after="0" w:line="200" w:lineRule="exact"/>
        <w:rPr>
          <w:sz w:val="20"/>
          <w:szCs w:val="20"/>
          <w:color w:val="auto"/>
        </w:rPr>
      </w:pPr>
    </w:p>
    <w:p>
      <w:pPr>
        <w:spacing w:after="0" w:line="384"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22"/>
          <w:szCs w:val="22"/>
          <w:color w:val="auto"/>
        </w:rPr>
        <w:t>By:</w:t>
        <w:tab/>
        <w:t>/s/ Robert McDonald</w:t>
      </w:r>
    </w:p>
    <w:p>
      <w:pPr>
        <w:spacing w:after="0" w:line="44"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2"/>
          <w:szCs w:val="22"/>
          <w:color w:val="auto"/>
        </w:rPr>
        <w:t>Name: Robert McDonald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386715</wp:posOffset>
            </wp:positionH>
            <wp:positionV relativeFrom="paragraph">
              <wp:posOffset>-160020</wp:posOffset>
            </wp:positionV>
            <wp:extent cx="3951605" cy="825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21">
                      <a:extLst>
                        <a:ext uri="{28A0092B-C50C-407E-A947-70E740481C1C}"/>
                      </a:extLst>
                    </a:blip>
                    <a:srcRect/>
                    <a:stretch>
                      <a:fillRect/>
                    </a:stretch>
                  </pic:blipFill>
                  <pic:spPr bwMode="auto">
                    <a:xfrm>
                      <a:off x="0" y="0"/>
                      <a:ext cx="3951605" cy="8255"/>
                    </a:xfrm>
                    <a:prstGeom prst="rect">
                      <a:avLst/>
                    </a:prstGeom>
                    <a:noFill/>
                  </pic:spPr>
                </pic:pic>
              </a:graphicData>
            </a:graphic>
          </wp:anchor>
        </w:drawing>
      </w:r>
    </w:p>
    <w:p>
      <w:pPr>
        <w:spacing w:after="0" w:line="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2"/>
          <w:szCs w:val="22"/>
          <w:color w:val="auto"/>
        </w:rPr>
        <w:t>Title: Managing Director</w:t>
      </w:r>
    </w:p>
    <w:p>
      <w:pPr>
        <w:spacing w:after="0" w:line="302"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22"/>
          <w:szCs w:val="22"/>
          <w:color w:val="auto"/>
        </w:rPr>
        <w:t>By:</w:t>
        <w:tab/>
        <w:t>/s/ John Nunziata</w:t>
      </w:r>
    </w:p>
    <w:p>
      <w:pPr>
        <w:spacing w:after="0" w:line="44"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2"/>
          <w:szCs w:val="22"/>
          <w:color w:val="auto"/>
        </w:rPr>
        <w:t>Name: John Nunziata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386715</wp:posOffset>
            </wp:positionH>
            <wp:positionV relativeFrom="paragraph">
              <wp:posOffset>-160020</wp:posOffset>
            </wp:positionV>
            <wp:extent cx="3951605" cy="825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22">
                      <a:extLst>
                        <a:ext uri="{28A0092B-C50C-407E-A947-70E740481C1C}"/>
                      </a:extLst>
                    </a:blip>
                    <a:srcRect/>
                    <a:stretch>
                      <a:fillRect/>
                    </a:stretch>
                  </pic:blipFill>
                  <pic:spPr bwMode="auto">
                    <a:xfrm>
                      <a:off x="0" y="0"/>
                      <a:ext cx="3951605" cy="8255"/>
                    </a:xfrm>
                    <a:prstGeom prst="rect">
                      <a:avLst/>
                    </a:prstGeom>
                    <a:noFill/>
                  </pic:spPr>
                </pic:pic>
              </a:graphicData>
            </a:graphic>
          </wp:anchor>
        </w:drawing>
      </w:r>
    </w:p>
    <w:p>
      <w:pPr>
        <w:spacing w:after="0" w:line="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2"/>
          <w:szCs w:val="22"/>
          <w:color w:val="auto"/>
        </w:rPr>
        <w:t>Title: Managing Director</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22"/>
          <w:szCs w:val="22"/>
          <w:color w:val="auto"/>
        </w:rPr>
        <w:t>By:</w:t>
        <w:tab/>
        <w:t>Bank of America, N.A.</w:t>
      </w:r>
    </w:p>
    <w:p>
      <w:pPr>
        <w:spacing w:after="0" w:line="200" w:lineRule="exact"/>
        <w:rPr>
          <w:sz w:val="20"/>
          <w:szCs w:val="20"/>
          <w:color w:val="auto"/>
        </w:rPr>
      </w:pPr>
    </w:p>
    <w:p>
      <w:pPr>
        <w:spacing w:after="0" w:line="384"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22"/>
          <w:szCs w:val="22"/>
          <w:color w:val="auto"/>
        </w:rPr>
        <w:t>By:</w:t>
        <w:tab/>
        <w:t>/s/ Eric Coghlin</w:t>
      </w:r>
    </w:p>
    <w:p>
      <w:pPr>
        <w:spacing w:after="0" w:line="44"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2"/>
          <w:szCs w:val="22"/>
          <w:color w:val="auto"/>
        </w:rPr>
        <w:t>Name: Eric Coghlin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386715</wp:posOffset>
            </wp:positionH>
            <wp:positionV relativeFrom="paragraph">
              <wp:posOffset>-160020</wp:posOffset>
            </wp:positionV>
            <wp:extent cx="3951605" cy="825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23">
                      <a:extLst>
                        <a:ext uri="{28A0092B-C50C-407E-A947-70E740481C1C}"/>
                      </a:extLst>
                    </a:blip>
                    <a:srcRect/>
                    <a:stretch>
                      <a:fillRect/>
                    </a:stretch>
                  </pic:blipFill>
                  <pic:spPr bwMode="auto">
                    <a:xfrm>
                      <a:off x="0" y="0"/>
                      <a:ext cx="3951605" cy="8255"/>
                    </a:xfrm>
                    <a:prstGeom prst="rect">
                      <a:avLst/>
                    </a:prstGeom>
                    <a:noFill/>
                  </pic:spPr>
                </pic:pic>
              </a:graphicData>
            </a:graphic>
          </wp:anchor>
        </w:drawing>
      </w:r>
    </w:p>
    <w:p>
      <w:pPr>
        <w:spacing w:after="0" w:line="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2"/>
          <w:szCs w:val="22"/>
          <w:color w:val="auto"/>
        </w:rPr>
        <w:t>Title: Managing Director</w:t>
      </w:r>
    </w:p>
    <w:p>
      <w:pPr>
        <w:spacing w:after="0" w:line="200" w:lineRule="exact"/>
        <w:rPr>
          <w:sz w:val="20"/>
          <w:szCs w:val="20"/>
          <w:color w:val="auto"/>
        </w:rPr>
      </w:pPr>
    </w:p>
    <w:p>
      <w:pPr>
        <w:spacing w:after="0" w:line="399"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22"/>
          <w:szCs w:val="22"/>
          <w:color w:val="auto"/>
        </w:rPr>
        <w:t>By:</w:t>
        <w:tab/>
        <w:t>Citibank, N.A.</w:t>
      </w:r>
    </w:p>
    <w:p>
      <w:pPr>
        <w:spacing w:after="0" w:line="200" w:lineRule="exact"/>
        <w:rPr>
          <w:sz w:val="20"/>
          <w:szCs w:val="20"/>
          <w:color w:val="auto"/>
        </w:rPr>
      </w:pPr>
    </w:p>
    <w:p>
      <w:pPr>
        <w:spacing w:after="0" w:line="384"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22"/>
          <w:szCs w:val="22"/>
          <w:color w:val="auto"/>
        </w:rPr>
        <w:t>By:</w:t>
        <w:tab/>
        <w:t>/s/ Eric Natelson</w:t>
      </w:r>
    </w:p>
    <w:p>
      <w:pPr>
        <w:spacing w:after="0" w:line="44"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2"/>
          <w:szCs w:val="22"/>
          <w:color w:val="auto"/>
        </w:rPr>
        <w:t>Name: Eric Natelson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386715</wp:posOffset>
            </wp:positionH>
            <wp:positionV relativeFrom="paragraph">
              <wp:posOffset>-160020</wp:posOffset>
            </wp:positionV>
            <wp:extent cx="3951605" cy="825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24">
                      <a:extLst>
                        <a:ext uri="{28A0092B-C50C-407E-A947-70E740481C1C}"/>
                      </a:extLst>
                    </a:blip>
                    <a:srcRect/>
                    <a:stretch>
                      <a:fillRect/>
                    </a:stretch>
                  </pic:blipFill>
                  <pic:spPr bwMode="auto">
                    <a:xfrm>
                      <a:off x="0" y="0"/>
                      <a:ext cx="3951605" cy="8255"/>
                    </a:xfrm>
                    <a:prstGeom prst="rect">
                      <a:avLst/>
                    </a:prstGeom>
                    <a:noFill/>
                  </pic:spPr>
                </pic:pic>
              </a:graphicData>
            </a:graphic>
          </wp:anchor>
        </w:drawing>
      </w:r>
    </w:p>
    <w:p>
      <w:pPr>
        <w:spacing w:after="0" w:line="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color w:val="auto"/>
        </w:rPr>
        <w:t>Title: Authorized Signatory</w:t>
      </w:r>
    </w:p>
    <w:p>
      <w:pPr>
        <w:sectPr>
          <w:pgSz w:w="11900" w:h="16838" w:orient="portrait"/>
          <w:cols w:equalWidth="0" w:num="1">
            <w:col w:w="10119"/>
          </w:cols>
          <w:pgMar w:left="340" w:top="1440" w:right="1440" w:bottom="1440" w:gutter="0" w:footer="0" w:header="0"/>
        </w:sectPr>
      </w:pPr>
    </w:p>
    <w:bookmarkStart w:id="133" w:name="page134"/>
    <w:bookmarkEnd w:id="133"/>
    <w:p>
      <w:pPr>
        <w:spacing w:after="0" w:line="9"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21"/>
          <w:szCs w:val="21"/>
          <w:color w:val="auto"/>
        </w:rPr>
        <w:t>By:</w:t>
        <w:tab/>
        <w:t>Crédit Agricole Corporate and Investment Bank</w:t>
      </w:r>
    </w:p>
    <w:p>
      <w:pPr>
        <w:spacing w:after="0" w:line="41"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21"/>
          <w:szCs w:val="21"/>
          <w:color w:val="auto"/>
        </w:rPr>
        <w:t>By:</w:t>
        <w:tab/>
        <w:t>Credit Agricole Securities (USA) Inc., as Agent</w:t>
      </w:r>
    </w:p>
    <w:p>
      <w:pPr>
        <w:spacing w:after="0" w:line="200" w:lineRule="exact"/>
        <w:rPr>
          <w:sz w:val="20"/>
          <w:szCs w:val="20"/>
          <w:color w:val="auto"/>
        </w:rPr>
      </w:pPr>
    </w:p>
    <w:p>
      <w:pPr>
        <w:spacing w:after="0" w:line="383"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22"/>
          <w:szCs w:val="22"/>
          <w:color w:val="auto"/>
        </w:rPr>
        <w:t>By:</w:t>
        <w:tab/>
        <w:t>/s/ Lydie Michel</w:t>
      </w:r>
    </w:p>
    <w:p>
      <w:pPr>
        <w:spacing w:after="0" w:line="44"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2"/>
          <w:szCs w:val="22"/>
          <w:color w:val="auto"/>
        </w:rPr>
        <w:t>Name: Lydie Michel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386715</wp:posOffset>
            </wp:positionH>
            <wp:positionV relativeFrom="paragraph">
              <wp:posOffset>-160020</wp:posOffset>
            </wp:positionV>
            <wp:extent cx="3951605" cy="825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25">
                      <a:extLst>
                        <a:ext uri="{28A0092B-C50C-407E-A947-70E740481C1C}"/>
                      </a:extLst>
                    </a:blip>
                    <a:srcRect/>
                    <a:stretch>
                      <a:fillRect/>
                    </a:stretch>
                  </pic:blipFill>
                  <pic:spPr bwMode="auto">
                    <a:xfrm>
                      <a:off x="0" y="0"/>
                      <a:ext cx="3951605" cy="8255"/>
                    </a:xfrm>
                    <a:prstGeom prst="rect">
                      <a:avLst/>
                    </a:prstGeom>
                    <a:noFill/>
                  </pic:spPr>
                </pic:pic>
              </a:graphicData>
            </a:graphic>
          </wp:anchor>
        </w:drawing>
      </w:r>
    </w:p>
    <w:p>
      <w:pPr>
        <w:spacing w:after="0" w:line="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2"/>
          <w:szCs w:val="22"/>
          <w:color w:val="auto"/>
        </w:rPr>
        <w:t>Title: Managing Director</w:t>
      </w:r>
    </w:p>
    <w:p>
      <w:pPr>
        <w:spacing w:after="0" w:line="302"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22"/>
          <w:szCs w:val="22"/>
          <w:color w:val="auto"/>
        </w:rPr>
        <w:t>By:</w:t>
        <w:tab/>
        <w:t>/s/ Rachel Tresser</w:t>
      </w:r>
    </w:p>
    <w:p>
      <w:pPr>
        <w:spacing w:after="0" w:line="44"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2"/>
          <w:szCs w:val="22"/>
          <w:color w:val="auto"/>
        </w:rPr>
        <w:t>Name: Rachel Tresser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386715</wp:posOffset>
            </wp:positionH>
            <wp:positionV relativeFrom="paragraph">
              <wp:posOffset>-160020</wp:posOffset>
            </wp:positionV>
            <wp:extent cx="3951605" cy="825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26">
                      <a:extLst>
                        <a:ext uri="{28A0092B-C50C-407E-A947-70E740481C1C}"/>
                      </a:extLst>
                    </a:blip>
                    <a:srcRect/>
                    <a:stretch>
                      <a:fillRect/>
                    </a:stretch>
                  </pic:blipFill>
                  <pic:spPr bwMode="auto">
                    <a:xfrm>
                      <a:off x="0" y="0"/>
                      <a:ext cx="3951605" cy="8255"/>
                    </a:xfrm>
                    <a:prstGeom prst="rect">
                      <a:avLst/>
                    </a:prstGeom>
                    <a:noFill/>
                  </pic:spPr>
                </pic:pic>
              </a:graphicData>
            </a:graphic>
          </wp:anchor>
        </w:drawing>
      </w:r>
    </w:p>
    <w:p>
      <w:pPr>
        <w:spacing w:after="0" w:line="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2"/>
          <w:szCs w:val="22"/>
          <w:color w:val="auto"/>
        </w:rPr>
        <w:t>Title: Managing Director</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22"/>
          <w:szCs w:val="22"/>
          <w:color w:val="auto"/>
        </w:rPr>
        <w:t>By:</w:t>
        <w:tab/>
        <w:t>Goldman Sachs &amp; Co. LLC</w:t>
      </w:r>
    </w:p>
    <w:p>
      <w:pPr>
        <w:spacing w:after="0" w:line="200" w:lineRule="exact"/>
        <w:rPr>
          <w:sz w:val="20"/>
          <w:szCs w:val="20"/>
          <w:color w:val="auto"/>
        </w:rPr>
      </w:pPr>
    </w:p>
    <w:p>
      <w:pPr>
        <w:spacing w:after="0" w:line="384"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22"/>
          <w:szCs w:val="22"/>
          <w:color w:val="auto"/>
        </w:rPr>
        <w:t>By:</w:t>
        <w:tab/>
        <w:t>/s/ Michael Voris</w:t>
      </w:r>
    </w:p>
    <w:p>
      <w:pPr>
        <w:spacing w:after="0" w:line="44"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2"/>
          <w:szCs w:val="22"/>
          <w:color w:val="auto"/>
        </w:rPr>
        <w:t>Name: Michael Voris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386715</wp:posOffset>
            </wp:positionH>
            <wp:positionV relativeFrom="paragraph">
              <wp:posOffset>-160020</wp:posOffset>
            </wp:positionV>
            <wp:extent cx="3951605" cy="825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27">
                      <a:extLst>
                        <a:ext uri="{28A0092B-C50C-407E-A947-70E740481C1C}"/>
                      </a:extLst>
                    </a:blip>
                    <a:srcRect/>
                    <a:stretch>
                      <a:fillRect/>
                    </a:stretch>
                  </pic:blipFill>
                  <pic:spPr bwMode="auto">
                    <a:xfrm>
                      <a:off x="0" y="0"/>
                      <a:ext cx="3951605" cy="8255"/>
                    </a:xfrm>
                    <a:prstGeom prst="rect">
                      <a:avLst/>
                    </a:prstGeom>
                    <a:noFill/>
                  </pic:spPr>
                </pic:pic>
              </a:graphicData>
            </a:graphic>
          </wp:anchor>
        </w:drawing>
      </w:r>
    </w:p>
    <w:p>
      <w:pPr>
        <w:spacing w:after="0" w:line="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2"/>
          <w:szCs w:val="22"/>
          <w:color w:val="auto"/>
        </w:rPr>
        <w:t>Title: Managing Director</w:t>
      </w:r>
    </w:p>
    <w:p>
      <w:pPr>
        <w:spacing w:after="0" w:line="200" w:lineRule="exact"/>
        <w:rPr>
          <w:sz w:val="20"/>
          <w:szCs w:val="20"/>
          <w:color w:val="auto"/>
        </w:rPr>
      </w:pPr>
    </w:p>
    <w:p>
      <w:pPr>
        <w:spacing w:after="0" w:line="399"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22"/>
          <w:szCs w:val="22"/>
          <w:color w:val="auto"/>
        </w:rPr>
        <w:t>By:</w:t>
        <w:tab/>
        <w:t>JPMorgan Chase Bank, National Association</w:t>
      </w:r>
    </w:p>
    <w:p>
      <w:pPr>
        <w:spacing w:after="0" w:line="200" w:lineRule="exact"/>
        <w:rPr>
          <w:sz w:val="20"/>
          <w:szCs w:val="20"/>
          <w:color w:val="auto"/>
        </w:rPr>
      </w:pPr>
    </w:p>
    <w:p>
      <w:pPr>
        <w:spacing w:after="0" w:line="384"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22"/>
          <w:szCs w:val="22"/>
          <w:color w:val="auto"/>
        </w:rPr>
        <w:t>By:</w:t>
        <w:tab/>
        <w:t>/s/ Sanjeet Dewal</w:t>
      </w:r>
    </w:p>
    <w:p>
      <w:pPr>
        <w:spacing w:after="0" w:line="44"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2"/>
          <w:szCs w:val="22"/>
          <w:color w:val="auto"/>
        </w:rPr>
        <w:t>Name: Sanjeet Dewal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386715</wp:posOffset>
            </wp:positionH>
            <wp:positionV relativeFrom="paragraph">
              <wp:posOffset>-160020</wp:posOffset>
            </wp:positionV>
            <wp:extent cx="3951605" cy="825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28">
                      <a:extLst>
                        <a:ext uri="{28A0092B-C50C-407E-A947-70E740481C1C}"/>
                      </a:extLst>
                    </a:blip>
                    <a:srcRect/>
                    <a:stretch>
                      <a:fillRect/>
                    </a:stretch>
                  </pic:blipFill>
                  <pic:spPr bwMode="auto">
                    <a:xfrm>
                      <a:off x="0" y="0"/>
                      <a:ext cx="3951605" cy="8255"/>
                    </a:xfrm>
                    <a:prstGeom prst="rect">
                      <a:avLst/>
                    </a:prstGeom>
                    <a:noFill/>
                  </pic:spPr>
                </pic:pic>
              </a:graphicData>
            </a:graphic>
          </wp:anchor>
        </w:drawing>
      </w:r>
    </w:p>
    <w:p>
      <w:pPr>
        <w:spacing w:after="0" w:line="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2"/>
          <w:szCs w:val="22"/>
          <w:color w:val="auto"/>
        </w:rPr>
        <w:t>Title: Managing Director</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22"/>
          <w:szCs w:val="22"/>
          <w:color w:val="auto"/>
        </w:rPr>
        <w:t>By:</w:t>
        <w:tab/>
        <w:t>Mizuho Markets Americas LLC</w:t>
      </w:r>
    </w:p>
    <w:p>
      <w:pPr>
        <w:spacing w:after="0" w:line="200" w:lineRule="exact"/>
        <w:rPr>
          <w:sz w:val="20"/>
          <w:szCs w:val="20"/>
          <w:color w:val="auto"/>
        </w:rPr>
      </w:pPr>
    </w:p>
    <w:p>
      <w:pPr>
        <w:spacing w:after="0" w:line="384"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22"/>
          <w:szCs w:val="22"/>
          <w:color w:val="auto"/>
        </w:rPr>
        <w:t>By:</w:t>
        <w:tab/>
        <w:t>/s/ Matthew Chiavaroli</w:t>
      </w:r>
    </w:p>
    <w:p>
      <w:pPr>
        <w:spacing w:after="0" w:line="44"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2"/>
          <w:szCs w:val="22"/>
          <w:color w:val="auto"/>
        </w:rPr>
        <w:t>Name: Matthew Chiavaroli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386715</wp:posOffset>
            </wp:positionH>
            <wp:positionV relativeFrom="paragraph">
              <wp:posOffset>-160020</wp:posOffset>
            </wp:positionV>
            <wp:extent cx="3951605" cy="889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29">
                      <a:extLst>
                        <a:ext uri="{28A0092B-C50C-407E-A947-70E740481C1C}"/>
                      </a:extLst>
                    </a:blip>
                    <a:srcRect/>
                    <a:stretch>
                      <a:fillRect/>
                    </a:stretch>
                  </pic:blipFill>
                  <pic:spPr bwMode="auto">
                    <a:xfrm>
                      <a:off x="0" y="0"/>
                      <a:ext cx="3951605" cy="8890"/>
                    </a:xfrm>
                    <a:prstGeom prst="rect">
                      <a:avLst/>
                    </a:prstGeom>
                    <a:noFill/>
                  </pic:spPr>
                </pic:pic>
              </a:graphicData>
            </a:graphic>
          </wp:anchor>
        </w:drawing>
      </w:r>
    </w:p>
    <w:p>
      <w:pPr>
        <w:spacing w:after="0" w:line="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2"/>
          <w:szCs w:val="22"/>
          <w:color w:val="auto"/>
        </w:rPr>
        <w:t>Title: Managing Director</w:t>
      </w:r>
    </w:p>
    <w:p>
      <w:pPr>
        <w:sectPr>
          <w:pgSz w:w="11900" w:h="16838" w:orient="portrait"/>
          <w:cols w:equalWidth="0" w:num="1">
            <w:col w:w="10119"/>
          </w:cols>
          <w:pgMar w:left="340" w:top="1440" w:right="1440" w:bottom="1440" w:gutter="0" w:footer="0" w:header="0"/>
        </w:sectPr>
      </w:pPr>
    </w:p>
    <w:bookmarkStart w:id="134" w:name="page135"/>
    <w:bookmarkEnd w:id="134"/>
    <w:p>
      <w:pPr>
        <w:spacing w:after="0" w:line="9"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22"/>
          <w:szCs w:val="22"/>
          <w:color w:val="auto"/>
        </w:rPr>
        <w:t>By:</w:t>
        <w:tab/>
        <w:t>Morgan Stanley &amp; Co. LLC</w:t>
      </w:r>
    </w:p>
    <w:p>
      <w:pPr>
        <w:spacing w:after="0" w:line="200" w:lineRule="exact"/>
        <w:rPr>
          <w:sz w:val="20"/>
          <w:szCs w:val="20"/>
          <w:color w:val="auto"/>
        </w:rPr>
      </w:pPr>
    </w:p>
    <w:p>
      <w:pPr>
        <w:spacing w:after="0" w:line="384"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22"/>
          <w:szCs w:val="22"/>
          <w:color w:val="auto"/>
        </w:rPr>
        <w:t>By:</w:t>
        <w:tab/>
        <w:t>/s/ Ellen Weinstein</w:t>
      </w:r>
    </w:p>
    <w:p>
      <w:pPr>
        <w:spacing w:after="0" w:line="44"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2"/>
          <w:szCs w:val="22"/>
          <w:color w:val="auto"/>
        </w:rPr>
        <w:t>Name: Ellen Weinstein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386715</wp:posOffset>
            </wp:positionH>
            <wp:positionV relativeFrom="paragraph">
              <wp:posOffset>-160020</wp:posOffset>
            </wp:positionV>
            <wp:extent cx="3951605" cy="889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30">
                      <a:extLst>
                        <a:ext uri="{28A0092B-C50C-407E-A947-70E740481C1C}"/>
                      </a:extLst>
                    </a:blip>
                    <a:srcRect/>
                    <a:stretch>
                      <a:fillRect/>
                    </a:stretch>
                  </pic:blipFill>
                  <pic:spPr bwMode="auto">
                    <a:xfrm>
                      <a:off x="0" y="0"/>
                      <a:ext cx="3951605" cy="8890"/>
                    </a:xfrm>
                    <a:prstGeom prst="rect">
                      <a:avLst/>
                    </a:prstGeom>
                    <a:noFill/>
                  </pic:spPr>
                </pic:pic>
              </a:graphicData>
            </a:graphic>
          </wp:anchor>
        </w:drawing>
      </w:r>
    </w:p>
    <w:p>
      <w:pPr>
        <w:spacing w:after="0" w:line="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2"/>
          <w:szCs w:val="22"/>
          <w:color w:val="auto"/>
        </w:rPr>
        <w:t>Title: Managing Director</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21"/>
          <w:szCs w:val="21"/>
          <w:color w:val="auto"/>
        </w:rPr>
        <w:t>By:</w:t>
        <w:tab/>
        <w:t>MUFG Securities EMEA plc</w:t>
      </w:r>
    </w:p>
    <w:p>
      <w:pPr>
        <w:spacing w:after="0" w:line="200" w:lineRule="exact"/>
        <w:rPr>
          <w:sz w:val="20"/>
          <w:szCs w:val="20"/>
          <w:color w:val="auto"/>
        </w:rPr>
      </w:pPr>
    </w:p>
    <w:p>
      <w:pPr>
        <w:spacing w:after="0" w:line="396"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22"/>
          <w:szCs w:val="22"/>
          <w:color w:val="auto"/>
        </w:rPr>
        <w:t>By:</w:t>
        <w:tab/>
        <w:t>/s/ Catherine Lucas</w:t>
      </w:r>
    </w:p>
    <w:p>
      <w:pPr>
        <w:spacing w:after="0" w:line="44"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2"/>
          <w:szCs w:val="22"/>
          <w:color w:val="auto"/>
        </w:rPr>
        <w:t>Name: Catherine Lucas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386715</wp:posOffset>
            </wp:positionH>
            <wp:positionV relativeFrom="paragraph">
              <wp:posOffset>-160020</wp:posOffset>
            </wp:positionV>
            <wp:extent cx="3951605" cy="825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31">
                      <a:extLst>
                        <a:ext uri="{28A0092B-C50C-407E-A947-70E740481C1C}"/>
                      </a:extLst>
                    </a:blip>
                    <a:srcRect/>
                    <a:stretch>
                      <a:fillRect/>
                    </a:stretch>
                  </pic:blipFill>
                  <pic:spPr bwMode="auto">
                    <a:xfrm>
                      <a:off x="0" y="0"/>
                      <a:ext cx="3951605" cy="8255"/>
                    </a:xfrm>
                    <a:prstGeom prst="rect">
                      <a:avLst/>
                    </a:prstGeom>
                    <a:noFill/>
                  </pic:spPr>
                </pic:pic>
              </a:graphicData>
            </a:graphic>
          </wp:anchor>
        </w:drawing>
      </w:r>
    </w:p>
    <w:p>
      <w:pPr>
        <w:spacing w:after="0" w:line="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2"/>
          <w:szCs w:val="22"/>
          <w:color w:val="auto"/>
        </w:rPr>
        <w:t>Title: Authorized Signatory</w:t>
      </w:r>
    </w:p>
    <w:p>
      <w:pPr>
        <w:spacing w:after="0" w:line="200" w:lineRule="exact"/>
        <w:rPr>
          <w:sz w:val="20"/>
          <w:szCs w:val="20"/>
          <w:color w:val="auto"/>
        </w:rPr>
      </w:pPr>
    </w:p>
    <w:p>
      <w:pPr>
        <w:spacing w:after="0" w:line="399"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22"/>
          <w:szCs w:val="22"/>
          <w:color w:val="auto"/>
        </w:rPr>
        <w:t>By:</w:t>
        <w:tab/>
        <w:t>Royal Bank of Canada</w:t>
      </w:r>
    </w:p>
    <w:p>
      <w:pPr>
        <w:spacing w:after="0" w:line="200" w:lineRule="exact"/>
        <w:rPr>
          <w:sz w:val="20"/>
          <w:szCs w:val="20"/>
          <w:color w:val="auto"/>
        </w:rPr>
      </w:pPr>
    </w:p>
    <w:p>
      <w:pPr>
        <w:spacing w:after="0" w:line="384"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22"/>
          <w:szCs w:val="22"/>
          <w:color w:val="auto"/>
        </w:rPr>
        <w:t>By:</w:t>
        <w:tab/>
        <w:t>/s/ Chris Amery</w:t>
      </w:r>
    </w:p>
    <w:p>
      <w:pPr>
        <w:spacing w:after="0" w:line="44"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2"/>
          <w:szCs w:val="22"/>
          <w:color w:val="auto"/>
        </w:rPr>
        <w:t>Name: Chris Amery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386715</wp:posOffset>
            </wp:positionH>
            <wp:positionV relativeFrom="paragraph">
              <wp:posOffset>-160020</wp:posOffset>
            </wp:positionV>
            <wp:extent cx="3951605" cy="825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32">
                      <a:extLst>
                        <a:ext uri="{28A0092B-C50C-407E-A947-70E740481C1C}"/>
                      </a:extLst>
                    </a:blip>
                    <a:srcRect/>
                    <a:stretch>
                      <a:fillRect/>
                    </a:stretch>
                  </pic:blipFill>
                  <pic:spPr bwMode="auto">
                    <a:xfrm>
                      <a:off x="0" y="0"/>
                      <a:ext cx="3951605" cy="8255"/>
                    </a:xfrm>
                    <a:prstGeom prst="rect">
                      <a:avLst/>
                    </a:prstGeom>
                    <a:noFill/>
                  </pic:spPr>
                </pic:pic>
              </a:graphicData>
            </a:graphic>
          </wp:anchor>
        </w:drawing>
      </w:r>
    </w:p>
    <w:p>
      <w:pPr>
        <w:spacing w:after="0" w:line="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2"/>
          <w:szCs w:val="22"/>
          <w:color w:val="auto"/>
        </w:rPr>
        <w:t>Title: Managing Director</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22"/>
          <w:szCs w:val="22"/>
          <w:color w:val="auto"/>
        </w:rPr>
        <w:t>By:</w:t>
        <w:tab/>
        <w:t>The Bank of Nova Scotia</w:t>
      </w:r>
    </w:p>
    <w:p>
      <w:pPr>
        <w:spacing w:after="0" w:line="200" w:lineRule="exact"/>
        <w:rPr>
          <w:sz w:val="20"/>
          <w:szCs w:val="20"/>
          <w:color w:val="auto"/>
        </w:rPr>
      </w:pPr>
    </w:p>
    <w:p>
      <w:pPr>
        <w:spacing w:after="0" w:line="384"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22"/>
          <w:szCs w:val="22"/>
          <w:color w:val="auto"/>
        </w:rPr>
        <w:t>By:</w:t>
        <w:tab/>
        <w:t>/s/ Tim Mann</w:t>
      </w:r>
    </w:p>
    <w:p>
      <w:pPr>
        <w:spacing w:after="0" w:line="44"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2"/>
          <w:szCs w:val="22"/>
          <w:color w:val="auto"/>
        </w:rPr>
        <w:t>Name: Tim Mann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377825</wp:posOffset>
            </wp:positionH>
            <wp:positionV relativeFrom="paragraph">
              <wp:posOffset>-160020</wp:posOffset>
            </wp:positionV>
            <wp:extent cx="3771900" cy="825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33">
                      <a:extLst>
                        <a:ext uri="{28A0092B-C50C-407E-A947-70E740481C1C}"/>
                      </a:extLst>
                    </a:blip>
                    <a:srcRect/>
                    <a:stretch>
                      <a:fillRect/>
                    </a:stretch>
                  </pic:blipFill>
                  <pic:spPr bwMode="auto">
                    <a:xfrm>
                      <a:off x="0" y="0"/>
                      <a:ext cx="3771900" cy="8255"/>
                    </a:xfrm>
                    <a:prstGeom prst="rect">
                      <a:avLst/>
                    </a:prstGeom>
                    <a:noFill/>
                  </pic:spPr>
                </pic:pic>
              </a:graphicData>
            </a:graphic>
          </wp:anchor>
        </w:drawing>
      </w:r>
    </w:p>
    <w:p>
      <w:pPr>
        <w:spacing w:after="0" w:line="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2"/>
          <w:szCs w:val="22"/>
          <w:color w:val="auto"/>
        </w:rPr>
        <w:t>Title: Managing Director</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22"/>
          <w:szCs w:val="22"/>
          <w:color w:val="auto"/>
        </w:rPr>
        <w:t>By:</w:t>
        <w:tab/>
        <w:t>Truist Bank</w:t>
      </w:r>
    </w:p>
    <w:p>
      <w:pPr>
        <w:spacing w:after="0" w:line="200" w:lineRule="exact"/>
        <w:rPr>
          <w:sz w:val="20"/>
          <w:szCs w:val="20"/>
          <w:color w:val="auto"/>
        </w:rPr>
      </w:pPr>
    </w:p>
    <w:p>
      <w:pPr>
        <w:spacing w:after="0" w:line="384"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22"/>
          <w:szCs w:val="22"/>
          <w:color w:val="auto"/>
        </w:rPr>
        <w:t>By:</w:t>
        <w:tab/>
        <w:t>/s/ Rakesh Mangat</w:t>
      </w:r>
    </w:p>
    <w:p>
      <w:pPr>
        <w:spacing w:after="0" w:line="44"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2"/>
          <w:szCs w:val="22"/>
          <w:color w:val="auto"/>
        </w:rPr>
        <w:t>Name: Rakesh Mangat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377825</wp:posOffset>
            </wp:positionH>
            <wp:positionV relativeFrom="paragraph">
              <wp:posOffset>-160020</wp:posOffset>
            </wp:positionV>
            <wp:extent cx="3771900" cy="825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34">
                      <a:extLst>
                        <a:ext uri="{28A0092B-C50C-407E-A947-70E740481C1C}"/>
                      </a:extLst>
                    </a:blip>
                    <a:srcRect/>
                    <a:stretch>
                      <a:fillRect/>
                    </a:stretch>
                  </pic:blipFill>
                  <pic:spPr bwMode="auto">
                    <a:xfrm>
                      <a:off x="0" y="0"/>
                      <a:ext cx="3771900" cy="8255"/>
                    </a:xfrm>
                    <a:prstGeom prst="rect">
                      <a:avLst/>
                    </a:prstGeom>
                    <a:noFill/>
                  </pic:spPr>
                </pic:pic>
              </a:graphicData>
            </a:graphic>
          </wp:anchor>
        </w:drawing>
      </w:r>
    </w:p>
    <w:p>
      <w:pPr>
        <w:spacing w:after="0" w:line="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2"/>
          <w:szCs w:val="22"/>
          <w:color w:val="auto"/>
        </w:rPr>
        <w:t>Title: Managing Director</w:t>
      </w:r>
    </w:p>
    <w:p>
      <w:pPr>
        <w:sectPr>
          <w:pgSz w:w="11900" w:h="16838" w:orient="portrait"/>
          <w:cols w:equalWidth="0" w:num="1">
            <w:col w:w="10119"/>
          </w:cols>
          <w:pgMar w:left="340" w:top="1440" w:right="1440" w:bottom="1440" w:gutter="0" w:footer="0" w:header="0"/>
        </w:sectPr>
      </w:pPr>
    </w:p>
    <w:bookmarkStart w:id="135" w:name="page136"/>
    <w:bookmarkEnd w:id="135"/>
    <w:p>
      <w:pPr>
        <w:spacing w:after="0" w:line="9"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21"/>
          <w:szCs w:val="21"/>
          <w:color w:val="auto"/>
        </w:rPr>
        <w:t>By:</w:t>
        <w:tab/>
        <w:t>Wells Fargo Bank, National Association</w:t>
      </w:r>
    </w:p>
    <w:p>
      <w:pPr>
        <w:spacing w:after="0" w:line="200" w:lineRule="exact"/>
        <w:rPr>
          <w:sz w:val="20"/>
          <w:szCs w:val="20"/>
          <w:color w:val="auto"/>
        </w:rPr>
      </w:pPr>
    </w:p>
    <w:p>
      <w:pPr>
        <w:spacing w:after="0" w:line="396"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22"/>
          <w:szCs w:val="22"/>
          <w:color w:val="auto"/>
        </w:rPr>
        <w:t>By:</w:t>
        <w:tab/>
        <w:t>/s/ Christine Roemer</w:t>
      </w:r>
    </w:p>
    <w:p>
      <w:pPr>
        <w:spacing w:after="0" w:line="44"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2"/>
          <w:szCs w:val="22"/>
          <w:color w:val="auto"/>
        </w:rPr>
        <w:t>Name: Christine Roemer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377825</wp:posOffset>
            </wp:positionH>
            <wp:positionV relativeFrom="paragraph">
              <wp:posOffset>-160020</wp:posOffset>
            </wp:positionV>
            <wp:extent cx="3771900" cy="889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35">
                      <a:extLst>
                        <a:ext uri="{28A0092B-C50C-407E-A947-70E740481C1C}"/>
                      </a:extLst>
                    </a:blip>
                    <a:srcRect/>
                    <a:stretch>
                      <a:fillRect/>
                    </a:stretch>
                  </pic:blipFill>
                  <pic:spPr bwMode="auto">
                    <a:xfrm>
                      <a:off x="0" y="0"/>
                      <a:ext cx="3771900" cy="8890"/>
                    </a:xfrm>
                    <a:prstGeom prst="rect">
                      <a:avLst/>
                    </a:prstGeom>
                    <a:noFill/>
                  </pic:spPr>
                </pic:pic>
              </a:graphicData>
            </a:graphic>
          </wp:anchor>
        </w:drawing>
      </w:r>
    </w:p>
    <w:p>
      <w:pPr>
        <w:spacing w:after="0" w:line="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2"/>
          <w:szCs w:val="22"/>
          <w:color w:val="auto"/>
        </w:rPr>
        <w:t>Title: Managing Director</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As Forward Purchasers</w:t>
      </w:r>
    </w:p>
    <w:p>
      <w:pPr>
        <w:sectPr>
          <w:pgSz w:w="11900" w:h="16838" w:orient="portrait"/>
          <w:cols w:equalWidth="0" w:num="1">
            <w:col w:w="10119"/>
          </w:cols>
          <w:pgMar w:left="340" w:top="1440" w:right="1440" w:bottom="1440" w:gutter="0" w:footer="0" w:header="0"/>
        </w:sectPr>
      </w:pPr>
    </w:p>
    <w:bookmarkStart w:id="136" w:name="page137"/>
    <w:bookmarkEnd w:id="136"/>
    <w:p>
      <w:pPr>
        <w:ind w:left="4940"/>
        <w:spacing w:after="0"/>
        <w:rPr>
          <w:sz w:val="20"/>
          <w:szCs w:val="20"/>
          <w:color w:val="auto"/>
        </w:rPr>
      </w:pPr>
      <w:r>
        <w:rPr>
          <w:rFonts w:ascii="Times New Roman" w:cs="Times New Roman" w:eastAsia="Times New Roman" w:hAnsi="Times New Roman"/>
          <w:sz w:val="22"/>
          <w:szCs w:val="22"/>
          <w:b w:val="1"/>
          <w:bCs w:val="1"/>
          <w:color w:val="auto"/>
        </w:rPr>
        <w:t>SCHEDULE 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Barclays Bank PLC</w:t>
            </w:r>
          </w:p>
        </w:tc>
        <w:tc>
          <w:tcPr>
            <w:tcW w:w="376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Barclays Capital Inc.</w:t>
            </w:r>
          </w:p>
        </w:tc>
        <w:tc>
          <w:tcPr>
            <w:tcW w:w="0" w:type="dxa"/>
            <w:vAlign w:val="bottom"/>
          </w:tcPr>
          <w:p>
            <w:pPr>
              <w:spacing w:after="0"/>
              <w:rPr>
                <w:sz w:val="1"/>
                <w:szCs w:val="1"/>
                <w:color w:val="auto"/>
              </w:rPr>
            </w:pPr>
          </w:p>
        </w:tc>
      </w:tr>
      <w:tr>
        <w:trPr>
          <w:trHeight w:val="216"/>
        </w:trPr>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1 Churchill Place</w:t>
            </w:r>
          </w:p>
        </w:tc>
        <w:tc>
          <w:tcPr>
            <w:tcW w:w="376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745 Seventh Avenue</w:t>
            </w:r>
          </w:p>
        </w:tc>
        <w:tc>
          <w:tcPr>
            <w:tcW w:w="0" w:type="dxa"/>
            <w:vAlign w:val="bottom"/>
          </w:tcPr>
          <w:p>
            <w:pPr>
              <w:spacing w:after="0"/>
              <w:rPr>
                <w:sz w:val="1"/>
                <w:szCs w:val="1"/>
                <w:color w:val="auto"/>
              </w:rPr>
            </w:pPr>
          </w:p>
        </w:tc>
      </w:tr>
      <w:tr>
        <w:trPr>
          <w:trHeight w:val="229"/>
        </w:trPr>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London E14 5HP</w:t>
            </w:r>
          </w:p>
        </w:tc>
        <w:tc>
          <w:tcPr>
            <w:tcW w:w="376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New York, New York 10019</w:t>
            </w:r>
          </w:p>
        </w:tc>
        <w:tc>
          <w:tcPr>
            <w:tcW w:w="0" w:type="dxa"/>
            <w:vAlign w:val="bottom"/>
          </w:tcPr>
          <w:p>
            <w:pPr>
              <w:spacing w:after="0"/>
              <w:rPr>
                <w:sz w:val="1"/>
                <w:szCs w:val="1"/>
                <w:color w:val="auto"/>
              </w:rPr>
            </w:pPr>
          </w:p>
        </w:tc>
      </w:tr>
      <w:tr>
        <w:trPr>
          <w:trHeight w:val="234"/>
        </w:trPr>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United Kingdom</w:t>
            </w:r>
          </w:p>
        </w:tc>
        <w:tc>
          <w:tcPr>
            <w:tcW w:w="3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4"/>
        </w:trPr>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Bank of Montreal</w:t>
            </w:r>
          </w:p>
        </w:tc>
        <w:tc>
          <w:tcPr>
            <w:tcW w:w="376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BMO Capital Markets Corp.</w:t>
            </w:r>
          </w:p>
        </w:tc>
        <w:tc>
          <w:tcPr>
            <w:tcW w:w="0" w:type="dxa"/>
            <w:vAlign w:val="bottom"/>
          </w:tcPr>
          <w:p>
            <w:pPr>
              <w:spacing w:after="0"/>
              <w:rPr>
                <w:sz w:val="1"/>
                <w:szCs w:val="1"/>
                <w:color w:val="auto"/>
              </w:rPr>
            </w:pPr>
          </w:p>
        </w:tc>
      </w:tr>
      <w:tr>
        <w:trPr>
          <w:trHeight w:val="234"/>
        </w:trPr>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55 Bloor Street West, 18th Floor</w:t>
            </w:r>
          </w:p>
        </w:tc>
        <w:tc>
          <w:tcPr>
            <w:tcW w:w="376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151 W 42nd Street, 32nd Floor</w:t>
            </w:r>
          </w:p>
        </w:tc>
        <w:tc>
          <w:tcPr>
            <w:tcW w:w="0" w:type="dxa"/>
            <w:vAlign w:val="bottom"/>
          </w:tcPr>
          <w:p>
            <w:pPr>
              <w:spacing w:after="0"/>
              <w:rPr>
                <w:sz w:val="1"/>
                <w:szCs w:val="1"/>
                <w:color w:val="auto"/>
              </w:rPr>
            </w:pPr>
          </w:p>
        </w:tc>
      </w:tr>
      <w:tr>
        <w:trPr>
          <w:trHeight w:val="238"/>
        </w:trPr>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Toronto, Ontario M4W 1A5</w:t>
            </w:r>
          </w:p>
        </w:tc>
        <w:tc>
          <w:tcPr>
            <w:tcW w:w="376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New York, New York 10036</w:t>
            </w:r>
          </w:p>
        </w:tc>
        <w:tc>
          <w:tcPr>
            <w:tcW w:w="0" w:type="dxa"/>
            <w:vAlign w:val="bottom"/>
          </w:tcPr>
          <w:p>
            <w:pPr>
              <w:spacing w:after="0"/>
              <w:rPr>
                <w:sz w:val="1"/>
                <w:szCs w:val="1"/>
                <w:color w:val="auto"/>
              </w:rPr>
            </w:pPr>
          </w:p>
        </w:tc>
      </w:tr>
      <w:tr>
        <w:trPr>
          <w:trHeight w:val="234"/>
        </w:trPr>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Canada</w:t>
            </w:r>
          </w:p>
        </w:tc>
        <w:tc>
          <w:tcPr>
            <w:tcW w:w="3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7"/>
        </w:trPr>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BNP Paribas</w:t>
            </w:r>
          </w:p>
        </w:tc>
        <w:tc>
          <w:tcPr>
            <w:tcW w:w="376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BNP Paribas Securities Corp.</w:t>
            </w:r>
          </w:p>
        </w:tc>
        <w:tc>
          <w:tcPr>
            <w:tcW w:w="0" w:type="dxa"/>
            <w:vAlign w:val="bottom"/>
          </w:tcPr>
          <w:p>
            <w:pPr>
              <w:spacing w:after="0"/>
              <w:rPr>
                <w:sz w:val="1"/>
                <w:szCs w:val="1"/>
                <w:color w:val="auto"/>
              </w:rPr>
            </w:pPr>
          </w:p>
        </w:tc>
      </w:tr>
      <w:tr>
        <w:trPr>
          <w:trHeight w:val="216"/>
        </w:trPr>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787 Seventh Avenue</w:t>
            </w:r>
          </w:p>
        </w:tc>
        <w:tc>
          <w:tcPr>
            <w:tcW w:w="376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787 Seventh Avenue</w:t>
            </w:r>
          </w:p>
        </w:tc>
        <w:tc>
          <w:tcPr>
            <w:tcW w:w="0" w:type="dxa"/>
            <w:vAlign w:val="bottom"/>
          </w:tcPr>
          <w:p>
            <w:pPr>
              <w:spacing w:after="0"/>
              <w:rPr>
                <w:sz w:val="1"/>
                <w:szCs w:val="1"/>
                <w:color w:val="auto"/>
              </w:rPr>
            </w:pPr>
          </w:p>
        </w:tc>
      </w:tr>
      <w:tr>
        <w:trPr>
          <w:trHeight w:val="234"/>
        </w:trPr>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New York, New York 10019</w:t>
            </w:r>
          </w:p>
        </w:tc>
        <w:tc>
          <w:tcPr>
            <w:tcW w:w="376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New York, New York 10019</w:t>
            </w:r>
          </w:p>
        </w:tc>
        <w:tc>
          <w:tcPr>
            <w:tcW w:w="0" w:type="dxa"/>
            <w:vAlign w:val="bottom"/>
          </w:tcPr>
          <w:p>
            <w:pPr>
              <w:spacing w:after="0"/>
              <w:rPr>
                <w:sz w:val="1"/>
                <w:szCs w:val="1"/>
                <w:color w:val="auto"/>
              </w:rPr>
            </w:pPr>
          </w:p>
        </w:tc>
      </w:tr>
      <w:tr>
        <w:trPr>
          <w:trHeight w:val="427"/>
        </w:trPr>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Bank of America, N.A.</w:t>
            </w:r>
          </w:p>
        </w:tc>
        <w:tc>
          <w:tcPr>
            <w:tcW w:w="376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BofA Securities, Inc.</w:t>
            </w:r>
          </w:p>
        </w:tc>
        <w:tc>
          <w:tcPr>
            <w:tcW w:w="0" w:type="dxa"/>
            <w:vAlign w:val="bottom"/>
          </w:tcPr>
          <w:p>
            <w:pPr>
              <w:spacing w:after="0"/>
              <w:rPr>
                <w:sz w:val="1"/>
                <w:szCs w:val="1"/>
                <w:color w:val="auto"/>
              </w:rPr>
            </w:pPr>
          </w:p>
        </w:tc>
      </w:tr>
      <w:tr>
        <w:trPr>
          <w:trHeight w:val="216"/>
        </w:trPr>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c/o BofA Securities, Inc.</w:t>
            </w:r>
          </w:p>
        </w:tc>
        <w:tc>
          <w:tcPr>
            <w:tcW w:w="376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One Bryant Park</w:t>
            </w:r>
          </w:p>
        </w:tc>
        <w:tc>
          <w:tcPr>
            <w:tcW w:w="0" w:type="dxa"/>
            <w:vAlign w:val="bottom"/>
          </w:tcPr>
          <w:p>
            <w:pPr>
              <w:spacing w:after="0"/>
              <w:rPr>
                <w:sz w:val="1"/>
                <w:szCs w:val="1"/>
                <w:color w:val="auto"/>
              </w:rPr>
            </w:pPr>
          </w:p>
        </w:tc>
      </w:tr>
      <w:tr>
        <w:trPr>
          <w:trHeight w:val="221"/>
        </w:trPr>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One Bryant Park</w:t>
            </w:r>
          </w:p>
        </w:tc>
        <w:tc>
          <w:tcPr>
            <w:tcW w:w="376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New York, New York 10036</w:t>
            </w:r>
          </w:p>
        </w:tc>
        <w:tc>
          <w:tcPr>
            <w:tcW w:w="0" w:type="dxa"/>
            <w:vAlign w:val="bottom"/>
          </w:tcPr>
          <w:p>
            <w:pPr>
              <w:spacing w:after="0"/>
              <w:rPr>
                <w:sz w:val="1"/>
                <w:szCs w:val="1"/>
                <w:color w:val="auto"/>
              </w:rPr>
            </w:pPr>
          </w:p>
        </w:tc>
      </w:tr>
      <w:tr>
        <w:trPr>
          <w:trHeight w:val="234"/>
        </w:trPr>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New York, New York 10036</w:t>
            </w:r>
          </w:p>
        </w:tc>
        <w:tc>
          <w:tcPr>
            <w:tcW w:w="3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6"/>
        </w:trPr>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Citibank, N.A.,</w:t>
            </w:r>
          </w:p>
        </w:tc>
        <w:tc>
          <w:tcPr>
            <w:tcW w:w="376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Citigroup Global Markets Inc.</w:t>
            </w:r>
          </w:p>
        </w:tc>
        <w:tc>
          <w:tcPr>
            <w:tcW w:w="0" w:type="dxa"/>
            <w:vAlign w:val="bottom"/>
          </w:tcPr>
          <w:p>
            <w:pPr>
              <w:spacing w:after="0"/>
              <w:rPr>
                <w:sz w:val="1"/>
                <w:szCs w:val="1"/>
                <w:color w:val="auto"/>
              </w:rPr>
            </w:pPr>
          </w:p>
        </w:tc>
      </w:tr>
      <w:tr>
        <w:trPr>
          <w:trHeight w:val="234"/>
        </w:trPr>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390 Greenwich Street,</w:t>
            </w:r>
          </w:p>
        </w:tc>
        <w:tc>
          <w:tcPr>
            <w:tcW w:w="376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388 Greenwich Street</w:t>
            </w:r>
          </w:p>
        </w:tc>
        <w:tc>
          <w:tcPr>
            <w:tcW w:w="0" w:type="dxa"/>
            <w:vAlign w:val="bottom"/>
          </w:tcPr>
          <w:p>
            <w:pPr>
              <w:spacing w:after="0"/>
              <w:rPr>
                <w:sz w:val="1"/>
                <w:szCs w:val="1"/>
                <w:color w:val="auto"/>
              </w:rPr>
            </w:pPr>
          </w:p>
        </w:tc>
      </w:tr>
      <w:tr>
        <w:trPr>
          <w:trHeight w:val="243"/>
        </w:trPr>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New York, New York 10013</w:t>
            </w:r>
          </w:p>
        </w:tc>
        <w:tc>
          <w:tcPr>
            <w:tcW w:w="376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New York, New York 10013</w:t>
            </w:r>
          </w:p>
        </w:tc>
        <w:tc>
          <w:tcPr>
            <w:tcW w:w="0" w:type="dxa"/>
            <w:vAlign w:val="bottom"/>
          </w:tcPr>
          <w:p>
            <w:pPr>
              <w:spacing w:after="0"/>
              <w:rPr>
                <w:sz w:val="1"/>
                <w:szCs w:val="1"/>
                <w:color w:val="auto"/>
              </w:rPr>
            </w:pPr>
          </w:p>
        </w:tc>
      </w:tr>
      <w:tr>
        <w:trPr>
          <w:trHeight w:val="427"/>
        </w:trPr>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Crédit Agricole Corporate and Investment Bank</w:t>
            </w:r>
          </w:p>
        </w:tc>
        <w:tc>
          <w:tcPr>
            <w:tcW w:w="3760" w:type="dxa"/>
            <w:vAlign w:val="bottom"/>
          </w:tcPr>
          <w:p>
            <w:pPr>
              <w:ind w:left="1040"/>
              <w:spacing w:after="0"/>
              <w:rPr>
                <w:sz w:val="20"/>
                <w:szCs w:val="20"/>
                <w:color w:val="auto"/>
              </w:rPr>
            </w:pPr>
            <w:r>
              <w:rPr>
                <w:rFonts w:ascii="Times New Roman" w:cs="Times New Roman" w:eastAsia="Times New Roman" w:hAnsi="Times New Roman"/>
                <w:sz w:val="18"/>
                <w:szCs w:val="18"/>
                <w:color w:val="auto"/>
                <w:w w:val="99"/>
              </w:rPr>
              <w:t>Credit Agricole Securities (USA) Inc.</w:t>
            </w:r>
          </w:p>
        </w:tc>
        <w:tc>
          <w:tcPr>
            <w:tcW w:w="0" w:type="dxa"/>
            <w:vAlign w:val="bottom"/>
          </w:tcPr>
          <w:p>
            <w:pPr>
              <w:spacing w:after="0"/>
              <w:rPr>
                <w:sz w:val="1"/>
                <w:szCs w:val="1"/>
                <w:color w:val="auto"/>
              </w:rPr>
            </w:pPr>
          </w:p>
        </w:tc>
      </w:tr>
      <w:tr>
        <w:trPr>
          <w:trHeight w:val="216"/>
        </w:trPr>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c/o Credit Agricole Securities (USA) Inc., as agent</w:t>
            </w:r>
          </w:p>
        </w:tc>
        <w:tc>
          <w:tcPr>
            <w:tcW w:w="376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1301 Avenue of the Americas</w:t>
            </w:r>
          </w:p>
        </w:tc>
        <w:tc>
          <w:tcPr>
            <w:tcW w:w="0" w:type="dxa"/>
            <w:vAlign w:val="bottom"/>
          </w:tcPr>
          <w:p>
            <w:pPr>
              <w:spacing w:after="0"/>
              <w:rPr>
                <w:sz w:val="1"/>
                <w:szCs w:val="1"/>
                <w:color w:val="auto"/>
              </w:rPr>
            </w:pPr>
          </w:p>
        </w:tc>
      </w:tr>
      <w:tr>
        <w:trPr>
          <w:trHeight w:val="216"/>
        </w:trPr>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1301 Avenue of the Americas</w:t>
            </w:r>
          </w:p>
        </w:tc>
        <w:tc>
          <w:tcPr>
            <w:tcW w:w="376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New York, New York 10019</w:t>
            </w:r>
          </w:p>
        </w:tc>
        <w:tc>
          <w:tcPr>
            <w:tcW w:w="0" w:type="dxa"/>
            <w:vAlign w:val="bottom"/>
          </w:tcPr>
          <w:p>
            <w:pPr>
              <w:spacing w:after="0"/>
              <w:rPr>
                <w:sz w:val="1"/>
                <w:szCs w:val="1"/>
                <w:color w:val="auto"/>
              </w:rPr>
            </w:pPr>
          </w:p>
        </w:tc>
      </w:tr>
      <w:tr>
        <w:trPr>
          <w:trHeight w:val="234"/>
        </w:trPr>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New York, New York 10019</w:t>
            </w:r>
          </w:p>
        </w:tc>
        <w:tc>
          <w:tcPr>
            <w:tcW w:w="3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Goldman Sachs &amp; Co. LLC</w:t>
            </w:r>
          </w:p>
        </w:tc>
        <w:tc>
          <w:tcPr>
            <w:tcW w:w="376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Goldman Sachs &amp; Co. LLC</w:t>
            </w:r>
          </w:p>
        </w:tc>
        <w:tc>
          <w:tcPr>
            <w:tcW w:w="0" w:type="dxa"/>
            <w:vAlign w:val="bottom"/>
          </w:tcPr>
          <w:p>
            <w:pPr>
              <w:spacing w:after="0"/>
              <w:rPr>
                <w:sz w:val="1"/>
                <w:szCs w:val="1"/>
                <w:color w:val="auto"/>
              </w:rPr>
            </w:pPr>
          </w:p>
        </w:tc>
      </w:tr>
      <w:tr>
        <w:trPr>
          <w:trHeight w:val="216"/>
        </w:trPr>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200 West Street</w:t>
            </w:r>
          </w:p>
        </w:tc>
        <w:tc>
          <w:tcPr>
            <w:tcW w:w="376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200 West Street</w:t>
            </w:r>
          </w:p>
        </w:tc>
        <w:tc>
          <w:tcPr>
            <w:tcW w:w="0" w:type="dxa"/>
            <w:vAlign w:val="bottom"/>
          </w:tcPr>
          <w:p>
            <w:pPr>
              <w:spacing w:after="0"/>
              <w:rPr>
                <w:sz w:val="1"/>
                <w:szCs w:val="1"/>
                <w:color w:val="auto"/>
              </w:rPr>
            </w:pPr>
          </w:p>
        </w:tc>
      </w:tr>
      <w:tr>
        <w:trPr>
          <w:trHeight w:val="216"/>
        </w:trPr>
        <w:tc>
          <w:tcPr>
            <w:tcW w:w="47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New York, New York 10282</w:t>
            </w:r>
          </w:p>
        </w:tc>
        <w:tc>
          <w:tcPr>
            <w:tcW w:w="376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New York, New York 10282</w:t>
            </w:r>
          </w:p>
        </w:tc>
        <w:tc>
          <w:tcPr>
            <w:tcW w:w="0" w:type="dxa"/>
            <w:vAlign w:val="bottom"/>
          </w:tcPr>
          <w:p>
            <w:pPr>
              <w:spacing w:after="0"/>
              <w:rPr>
                <w:sz w:val="1"/>
                <w:szCs w:val="1"/>
                <w:color w:val="auto"/>
              </w:rPr>
            </w:pPr>
          </w:p>
        </w:tc>
      </w:tr>
      <w:tr>
        <w:trPr>
          <w:trHeight w:val="54"/>
        </w:trPr>
        <w:tc>
          <w:tcPr>
            <w:tcW w:w="4700" w:type="dxa"/>
            <w:vAlign w:val="bottom"/>
            <w:vMerge w:val="continue"/>
          </w:tcPr>
          <w:p>
            <w:pPr>
              <w:spacing w:after="0"/>
              <w:rPr>
                <w:sz w:val="4"/>
                <w:szCs w:val="4"/>
                <w:color w:val="auto"/>
              </w:rPr>
            </w:pPr>
          </w:p>
        </w:tc>
        <w:tc>
          <w:tcPr>
            <w:tcW w:w="37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00"/>
        </w:trPr>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JPMorgan Chase Bank, National Association</w:t>
            </w:r>
          </w:p>
        </w:tc>
        <w:tc>
          <w:tcPr>
            <w:tcW w:w="376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J.P. Morgan Securities LLC</w:t>
            </w:r>
          </w:p>
        </w:tc>
        <w:tc>
          <w:tcPr>
            <w:tcW w:w="0" w:type="dxa"/>
            <w:vAlign w:val="bottom"/>
          </w:tcPr>
          <w:p>
            <w:pPr>
              <w:spacing w:after="0"/>
              <w:rPr>
                <w:sz w:val="1"/>
                <w:szCs w:val="1"/>
                <w:color w:val="auto"/>
              </w:rPr>
            </w:pPr>
          </w:p>
        </w:tc>
      </w:tr>
      <w:tr>
        <w:trPr>
          <w:trHeight w:val="180"/>
        </w:trPr>
        <w:tc>
          <w:tcPr>
            <w:tcW w:w="4700" w:type="dxa"/>
            <w:vAlign w:val="bottom"/>
          </w:tcPr>
          <w:p>
            <w:pPr>
              <w:spacing w:after="0" w:line="181" w:lineRule="exact"/>
              <w:rPr>
                <w:sz w:val="20"/>
                <w:szCs w:val="20"/>
                <w:color w:val="auto"/>
              </w:rPr>
            </w:pPr>
            <w:r>
              <w:rPr>
                <w:rFonts w:ascii="Times New Roman" w:cs="Times New Roman" w:eastAsia="Times New Roman" w:hAnsi="Times New Roman"/>
                <w:sz w:val="18"/>
                <w:szCs w:val="18"/>
                <w:color w:val="auto"/>
              </w:rPr>
              <w:t>270 Park Avenue</w:t>
            </w:r>
          </w:p>
        </w:tc>
        <w:tc>
          <w:tcPr>
            <w:tcW w:w="3760" w:type="dxa"/>
            <w:vAlign w:val="bottom"/>
          </w:tcPr>
          <w:p>
            <w:pPr>
              <w:ind w:left="1040"/>
              <w:spacing w:after="0" w:line="181" w:lineRule="exact"/>
              <w:rPr>
                <w:sz w:val="20"/>
                <w:szCs w:val="20"/>
                <w:color w:val="auto"/>
              </w:rPr>
            </w:pPr>
            <w:r>
              <w:rPr>
                <w:rFonts w:ascii="Times New Roman" w:cs="Times New Roman" w:eastAsia="Times New Roman" w:hAnsi="Times New Roman"/>
                <w:sz w:val="18"/>
                <w:szCs w:val="18"/>
                <w:color w:val="auto"/>
              </w:rPr>
              <w:t>270 Park Avenue</w:t>
            </w:r>
          </w:p>
        </w:tc>
        <w:tc>
          <w:tcPr>
            <w:tcW w:w="0" w:type="dxa"/>
            <w:vAlign w:val="bottom"/>
          </w:tcPr>
          <w:p>
            <w:pPr>
              <w:spacing w:after="0"/>
              <w:rPr>
                <w:sz w:val="1"/>
                <w:szCs w:val="1"/>
                <w:color w:val="auto"/>
              </w:rPr>
            </w:pPr>
          </w:p>
        </w:tc>
      </w:tr>
      <w:tr>
        <w:trPr>
          <w:trHeight w:val="234"/>
        </w:trPr>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New York, New York 10017</w:t>
            </w:r>
          </w:p>
        </w:tc>
        <w:tc>
          <w:tcPr>
            <w:tcW w:w="376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New York, New York 10017</w:t>
            </w:r>
          </w:p>
        </w:tc>
        <w:tc>
          <w:tcPr>
            <w:tcW w:w="0" w:type="dxa"/>
            <w:vAlign w:val="bottom"/>
          </w:tcPr>
          <w:p>
            <w:pPr>
              <w:spacing w:after="0"/>
              <w:rPr>
                <w:sz w:val="1"/>
                <w:szCs w:val="1"/>
                <w:color w:val="auto"/>
              </w:rPr>
            </w:pPr>
          </w:p>
        </w:tc>
      </w:tr>
      <w:tr>
        <w:trPr>
          <w:trHeight w:val="395"/>
        </w:trPr>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Mizuho Markets Americas LLC</w:t>
            </w:r>
          </w:p>
        </w:tc>
        <w:tc>
          <w:tcPr>
            <w:tcW w:w="376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Mizuho Securities USA LLC</w:t>
            </w:r>
          </w:p>
        </w:tc>
        <w:tc>
          <w:tcPr>
            <w:tcW w:w="0" w:type="dxa"/>
            <w:vAlign w:val="bottom"/>
          </w:tcPr>
          <w:p>
            <w:pPr>
              <w:spacing w:after="0"/>
              <w:rPr>
                <w:sz w:val="1"/>
                <w:szCs w:val="1"/>
                <w:color w:val="auto"/>
              </w:rPr>
            </w:pPr>
          </w:p>
        </w:tc>
      </w:tr>
      <w:tr>
        <w:trPr>
          <w:trHeight w:val="216"/>
        </w:trPr>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c/o Mizuho Securities USA LLC</w:t>
            </w:r>
          </w:p>
        </w:tc>
        <w:tc>
          <w:tcPr>
            <w:tcW w:w="376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1271 Avenue of the Americas</w:t>
            </w:r>
          </w:p>
        </w:tc>
        <w:tc>
          <w:tcPr>
            <w:tcW w:w="0" w:type="dxa"/>
            <w:vAlign w:val="bottom"/>
          </w:tcPr>
          <w:p>
            <w:pPr>
              <w:spacing w:after="0"/>
              <w:rPr>
                <w:sz w:val="1"/>
                <w:szCs w:val="1"/>
                <w:color w:val="auto"/>
              </w:rPr>
            </w:pPr>
          </w:p>
        </w:tc>
      </w:tr>
      <w:tr>
        <w:trPr>
          <w:trHeight w:val="216"/>
        </w:trPr>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1271 Avenue of the Americas</w:t>
            </w:r>
          </w:p>
        </w:tc>
        <w:tc>
          <w:tcPr>
            <w:tcW w:w="376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New York, New York 10020</w:t>
            </w:r>
          </w:p>
        </w:tc>
        <w:tc>
          <w:tcPr>
            <w:tcW w:w="0" w:type="dxa"/>
            <w:vAlign w:val="bottom"/>
          </w:tcPr>
          <w:p>
            <w:pPr>
              <w:spacing w:after="0"/>
              <w:rPr>
                <w:sz w:val="1"/>
                <w:szCs w:val="1"/>
                <w:color w:val="auto"/>
              </w:rPr>
            </w:pPr>
          </w:p>
        </w:tc>
      </w:tr>
      <w:tr>
        <w:trPr>
          <w:trHeight w:val="234"/>
        </w:trPr>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New York, New York 10020</w:t>
            </w:r>
          </w:p>
        </w:tc>
        <w:tc>
          <w:tcPr>
            <w:tcW w:w="3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Morgan Stanley &amp; Co. LLC</w:t>
            </w:r>
          </w:p>
        </w:tc>
        <w:tc>
          <w:tcPr>
            <w:tcW w:w="376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Morgan Stanley &amp; Co. LLC</w:t>
            </w:r>
          </w:p>
        </w:tc>
        <w:tc>
          <w:tcPr>
            <w:tcW w:w="0" w:type="dxa"/>
            <w:vAlign w:val="bottom"/>
          </w:tcPr>
          <w:p>
            <w:pPr>
              <w:spacing w:after="0"/>
              <w:rPr>
                <w:sz w:val="1"/>
                <w:szCs w:val="1"/>
                <w:color w:val="auto"/>
              </w:rPr>
            </w:pPr>
          </w:p>
        </w:tc>
      </w:tr>
      <w:tr>
        <w:trPr>
          <w:trHeight w:val="216"/>
        </w:trPr>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1585 Broadway</w:t>
            </w:r>
          </w:p>
        </w:tc>
        <w:tc>
          <w:tcPr>
            <w:tcW w:w="376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1585 Broadway</w:t>
            </w:r>
          </w:p>
        </w:tc>
        <w:tc>
          <w:tcPr>
            <w:tcW w:w="0" w:type="dxa"/>
            <w:vAlign w:val="bottom"/>
          </w:tcPr>
          <w:p>
            <w:pPr>
              <w:spacing w:after="0"/>
              <w:rPr>
                <w:sz w:val="1"/>
                <w:szCs w:val="1"/>
                <w:color w:val="auto"/>
              </w:rPr>
            </w:pPr>
          </w:p>
        </w:tc>
      </w:tr>
      <w:tr>
        <w:trPr>
          <w:trHeight w:val="234"/>
        </w:trPr>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New York, New York 10036</w:t>
            </w:r>
          </w:p>
        </w:tc>
        <w:tc>
          <w:tcPr>
            <w:tcW w:w="376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New York, New York 10036</w:t>
            </w:r>
          </w:p>
        </w:tc>
        <w:tc>
          <w:tcPr>
            <w:tcW w:w="0" w:type="dxa"/>
            <w:vAlign w:val="bottom"/>
          </w:tcPr>
          <w:p>
            <w:pPr>
              <w:spacing w:after="0"/>
              <w:rPr>
                <w:sz w:val="1"/>
                <w:szCs w:val="1"/>
                <w:color w:val="auto"/>
              </w:rPr>
            </w:pPr>
          </w:p>
        </w:tc>
      </w:tr>
      <w:tr>
        <w:trPr>
          <w:trHeight w:val="414"/>
        </w:trPr>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MUFG Securities EMEA plc</w:t>
            </w:r>
          </w:p>
        </w:tc>
        <w:tc>
          <w:tcPr>
            <w:tcW w:w="376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MUFG Securities Americas Inc.</w:t>
            </w:r>
          </w:p>
        </w:tc>
        <w:tc>
          <w:tcPr>
            <w:tcW w:w="0" w:type="dxa"/>
            <w:vAlign w:val="bottom"/>
          </w:tcPr>
          <w:p>
            <w:pPr>
              <w:spacing w:after="0"/>
              <w:rPr>
                <w:sz w:val="1"/>
                <w:szCs w:val="1"/>
                <w:color w:val="auto"/>
              </w:rPr>
            </w:pPr>
          </w:p>
        </w:tc>
      </w:tr>
      <w:tr>
        <w:trPr>
          <w:trHeight w:val="216"/>
        </w:trPr>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Ropemaker Place, 25 Ropemaker Street</w:t>
            </w:r>
          </w:p>
        </w:tc>
        <w:tc>
          <w:tcPr>
            <w:tcW w:w="376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1221 Avenue of the Americas</w:t>
            </w:r>
          </w:p>
        </w:tc>
        <w:tc>
          <w:tcPr>
            <w:tcW w:w="0" w:type="dxa"/>
            <w:vAlign w:val="bottom"/>
          </w:tcPr>
          <w:p>
            <w:pPr>
              <w:spacing w:after="0"/>
              <w:rPr>
                <w:sz w:val="1"/>
                <w:szCs w:val="1"/>
                <w:color w:val="auto"/>
              </w:rPr>
            </w:pPr>
          </w:p>
        </w:tc>
      </w:tr>
      <w:tr>
        <w:trPr>
          <w:trHeight w:val="234"/>
        </w:trPr>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London, EC2Y 9AJ</w:t>
            </w:r>
          </w:p>
        </w:tc>
        <w:tc>
          <w:tcPr>
            <w:tcW w:w="376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New York, New York 10020</w:t>
            </w:r>
          </w:p>
        </w:tc>
        <w:tc>
          <w:tcPr>
            <w:tcW w:w="0" w:type="dxa"/>
            <w:vAlign w:val="bottom"/>
          </w:tcPr>
          <w:p>
            <w:pPr>
              <w:spacing w:after="0"/>
              <w:rPr>
                <w:sz w:val="1"/>
                <w:szCs w:val="1"/>
                <w:color w:val="auto"/>
              </w:rPr>
            </w:pPr>
          </w:p>
        </w:tc>
      </w:tr>
      <w:tr>
        <w:trPr>
          <w:trHeight w:val="414"/>
        </w:trPr>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Royal Bank of Canada</w:t>
            </w:r>
          </w:p>
        </w:tc>
        <w:tc>
          <w:tcPr>
            <w:tcW w:w="376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RBC Capital Markets, LLC</w:t>
            </w:r>
          </w:p>
        </w:tc>
        <w:tc>
          <w:tcPr>
            <w:tcW w:w="0" w:type="dxa"/>
            <w:vAlign w:val="bottom"/>
          </w:tcPr>
          <w:p>
            <w:pPr>
              <w:spacing w:after="0"/>
              <w:rPr>
                <w:sz w:val="1"/>
                <w:szCs w:val="1"/>
                <w:color w:val="auto"/>
              </w:rPr>
            </w:pPr>
          </w:p>
        </w:tc>
      </w:tr>
      <w:tr>
        <w:trPr>
          <w:trHeight w:val="216"/>
        </w:trPr>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c/o RBC Capital Markets, LLC</w:t>
            </w:r>
          </w:p>
        </w:tc>
        <w:tc>
          <w:tcPr>
            <w:tcW w:w="376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200 Vesey Street</w:t>
            </w:r>
          </w:p>
        </w:tc>
        <w:tc>
          <w:tcPr>
            <w:tcW w:w="0" w:type="dxa"/>
            <w:vAlign w:val="bottom"/>
          </w:tcPr>
          <w:p>
            <w:pPr>
              <w:spacing w:after="0"/>
              <w:rPr>
                <w:sz w:val="1"/>
                <w:szCs w:val="1"/>
                <w:color w:val="auto"/>
              </w:rPr>
            </w:pPr>
          </w:p>
        </w:tc>
      </w:tr>
      <w:tr>
        <w:trPr>
          <w:trHeight w:val="216"/>
        </w:trPr>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200 Vesey Street</w:t>
            </w:r>
          </w:p>
        </w:tc>
        <w:tc>
          <w:tcPr>
            <w:tcW w:w="376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New York, New York 10281</w:t>
            </w:r>
          </w:p>
        </w:tc>
        <w:tc>
          <w:tcPr>
            <w:tcW w:w="0" w:type="dxa"/>
            <w:vAlign w:val="bottom"/>
          </w:tcPr>
          <w:p>
            <w:pPr>
              <w:spacing w:after="0"/>
              <w:rPr>
                <w:sz w:val="1"/>
                <w:szCs w:val="1"/>
                <w:color w:val="auto"/>
              </w:rPr>
            </w:pPr>
          </w:p>
        </w:tc>
      </w:tr>
      <w:tr>
        <w:trPr>
          <w:trHeight w:val="234"/>
        </w:trPr>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New York, New York 10281</w:t>
            </w:r>
          </w:p>
        </w:tc>
        <w:tc>
          <w:tcPr>
            <w:tcW w:w="37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ectPr>
          <w:pgSz w:w="11900" w:h="16838" w:orient="portrait"/>
          <w:cols w:equalWidth="0" w:num="1">
            <w:col w:w="10119"/>
          </w:cols>
          <w:pgMar w:left="340" w:top="121" w:right="1440" w:bottom="1440" w:gutter="0" w:footer="0" w:header="0"/>
        </w:sectPr>
      </w:pPr>
    </w:p>
    <w:bookmarkStart w:id="137" w:name="page138"/>
    <w:bookmarkEnd w:id="137"/>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Bank of Nova Scotia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44 King Street West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Central Mail Room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Toronto, Ontario, Canada M5H 1H1</w:t>
      </w:r>
    </w:p>
    <w:p>
      <w:pPr>
        <w:spacing w:after="0" w:line="20" w:lineRule="exact"/>
        <w:rPr>
          <w:sz w:val="20"/>
          <w:szCs w:val="20"/>
          <w:color w:val="auto"/>
        </w:rPr>
      </w:pPr>
      <w:r>
        <w:rPr>
          <w:sz w:val="20"/>
          <w:szCs w:val="20"/>
          <w:color w:val="auto"/>
        </w:rPr>
        <w:br w:type="column"/>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Scotia Capital (USA)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250 Vesey Street, 24th Floor</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New York, New York 10281</w:t>
      </w:r>
    </w:p>
    <w:p>
      <w:pPr>
        <w:spacing w:after="0" w:line="415" w:lineRule="exact"/>
        <w:rPr>
          <w:sz w:val="20"/>
          <w:szCs w:val="20"/>
          <w:color w:val="auto"/>
        </w:rPr>
      </w:pPr>
    </w:p>
    <w:p>
      <w:pPr>
        <w:sectPr>
          <w:pgSz w:w="11900" w:h="16838" w:orient="portrait"/>
          <w:cols w:equalWidth="0" w:num="2">
            <w:col w:w="5020" w:space="720"/>
            <w:col w:w="4379"/>
          </w:cols>
          <w:pgMar w:left="340" w:top="1440" w:right="1440" w:bottom="1440" w:gutter="0" w:footer="0" w:header="0"/>
        </w:sectPr>
      </w:pP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Truist Bank</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50 Hudson Yards, 70th Floor</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New York 10001</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Truist Securities,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50 Hudson Yards, 70th Floor</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New York, New York 10001</w:t>
      </w:r>
    </w:p>
    <w:p>
      <w:pPr>
        <w:spacing w:after="0" w:line="211" w:lineRule="exact"/>
        <w:rPr>
          <w:sz w:val="20"/>
          <w:szCs w:val="20"/>
          <w:color w:val="auto"/>
        </w:rPr>
      </w:pPr>
    </w:p>
    <w:p>
      <w:pPr>
        <w:sectPr>
          <w:pgSz w:w="11900" w:h="16838" w:orient="portrait"/>
          <w:cols w:equalWidth="0" w:num="2">
            <w:col w:w="5020" w:space="720"/>
            <w:col w:w="4379"/>
          </w:cols>
          <w:pgMar w:left="340" w:top="1440" w:right="1440" w:bottom="1440" w:gutter="0" w:footer="0" w:header="0"/>
          <w:type w:val="continuous"/>
        </w:sectPr>
      </w:pPr>
    </w:p>
    <w:p>
      <w:pPr>
        <w:spacing w:after="0" w:line="7" w:lineRule="exact"/>
        <w:rPr>
          <w:sz w:val="20"/>
          <w:szCs w:val="20"/>
          <w:color w:val="auto"/>
        </w:rPr>
      </w:pPr>
    </w:p>
    <w:p>
      <w:pPr>
        <w:ind w:right="2120"/>
        <w:spacing w:after="0" w:line="266" w:lineRule="auto"/>
        <w:rPr>
          <w:sz w:val="20"/>
          <w:szCs w:val="20"/>
          <w:color w:val="auto"/>
        </w:rPr>
      </w:pPr>
      <w:r>
        <w:rPr>
          <w:rFonts w:ascii="Times New Roman" w:cs="Times New Roman" w:eastAsia="Times New Roman" w:hAnsi="Times New Roman"/>
          <w:sz w:val="18"/>
          <w:szCs w:val="18"/>
          <w:color w:val="auto"/>
        </w:rPr>
        <w:t>Wells Fargo Bank, National Association 500 West 33rd Street, 14th Floor New York, New York 10001</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Wells Fargo Securities,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500 West 33rd Street, 14th Floor</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New York 10001</w:t>
      </w:r>
    </w:p>
    <w:p>
      <w:pPr>
        <w:spacing w:after="0" w:line="230" w:lineRule="exact"/>
        <w:rPr>
          <w:sz w:val="20"/>
          <w:szCs w:val="20"/>
          <w:color w:val="auto"/>
        </w:rPr>
      </w:pPr>
    </w:p>
    <w:p>
      <w:pPr>
        <w:sectPr>
          <w:pgSz w:w="11900" w:h="16838" w:orient="portrait"/>
          <w:cols w:equalWidth="0" w:num="2">
            <w:col w:w="5020" w:space="720"/>
            <w:col w:w="4379"/>
          </w:cols>
          <w:pgMar w:left="340" w:top="1440" w:right="1440" w:bottom="1440" w:gutter="0" w:footer="0" w:header="0"/>
          <w:type w:val="continuous"/>
        </w:sectPr>
      </w:pP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As Forward Purchasers</w:t>
      </w:r>
    </w:p>
    <w:p>
      <w:pPr>
        <w:spacing w:after="0" w:line="20" w:lineRule="exact"/>
        <w:rPr>
          <w:sz w:val="20"/>
          <w:szCs w:val="20"/>
          <w:color w:val="auto"/>
        </w:rPr>
      </w:pPr>
      <w:r>
        <w:rPr>
          <w:sz w:val="20"/>
          <w:szCs w:val="20"/>
          <w:color w:val="auto"/>
        </w:rPr>
        <w:br w:type="column"/>
      </w:r>
    </w:p>
    <w:p>
      <w:pPr>
        <w:jc w:val="center"/>
        <w:ind w:right="3659"/>
        <w:spacing w:after="0"/>
        <w:rPr>
          <w:sz w:val="20"/>
          <w:szCs w:val="20"/>
          <w:color w:val="auto"/>
        </w:rPr>
      </w:pPr>
      <w:r>
        <w:rPr>
          <w:rFonts w:ascii="Times New Roman" w:cs="Times New Roman" w:eastAsia="Times New Roman" w:hAnsi="Times New Roman"/>
          <w:sz w:val="18"/>
          <w:szCs w:val="18"/>
          <w:i w:val="1"/>
          <w:iCs w:val="1"/>
          <w:color w:val="auto"/>
        </w:rPr>
        <w:t>As Agents</w:t>
      </w:r>
    </w:p>
    <w:p>
      <w:pPr>
        <w:sectPr>
          <w:pgSz w:w="11900" w:h="16838" w:orient="portrait"/>
          <w:cols w:equalWidth="0" w:num="2">
            <w:col w:w="5020" w:space="720"/>
            <w:col w:w="4379"/>
          </w:cols>
          <w:pgMar w:left="340" w:top="1440" w:right="1440" w:bottom="1440" w:gutter="0" w:footer="0" w:header="0"/>
          <w:type w:val="continuous"/>
        </w:sectPr>
      </w:pPr>
    </w:p>
    <w:bookmarkStart w:id="138" w:name="page139"/>
    <w:bookmarkEnd w:id="138"/>
    <w:p>
      <w:pPr>
        <w:jc w:val="right"/>
        <w:spacing w:after="0"/>
        <w:rPr>
          <w:sz w:val="20"/>
          <w:szCs w:val="20"/>
          <w:color w:val="auto"/>
        </w:rPr>
      </w:pPr>
      <w:r>
        <w:rPr>
          <w:rFonts w:ascii="Times New Roman" w:cs="Times New Roman" w:eastAsia="Times New Roman" w:hAnsi="Times New Roman"/>
          <w:sz w:val="17"/>
          <w:szCs w:val="17"/>
          <w:b w:val="1"/>
          <w:bCs w:val="1"/>
          <w:color w:val="auto"/>
        </w:rPr>
        <w:t>Exhibit 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253365</wp:posOffset>
            </wp:positionH>
            <wp:positionV relativeFrom="paragraph">
              <wp:posOffset>618490</wp:posOffset>
            </wp:positionV>
            <wp:extent cx="1645920" cy="69405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36">
                      <a:extLst>
                        <a:ext uri="{28A0092B-C50C-407E-A947-70E740481C1C}"/>
                      </a:extLst>
                    </a:blip>
                    <a:srcRect/>
                    <a:stretch>
                      <a:fillRect/>
                    </a:stretch>
                  </pic:blipFill>
                  <pic:spPr bwMode="auto">
                    <a:xfrm>
                      <a:off x="0" y="0"/>
                      <a:ext cx="1645920" cy="69405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20"/>
        <w:spacing w:after="0"/>
        <w:rPr>
          <w:sz w:val="20"/>
          <w:szCs w:val="20"/>
          <w:color w:val="auto"/>
        </w:rPr>
      </w:pPr>
      <w:r>
        <w:rPr>
          <w:rFonts w:ascii="Arial" w:cs="Arial" w:eastAsia="Arial" w:hAnsi="Arial"/>
          <w:sz w:val="21"/>
          <w:szCs w:val="21"/>
          <w:color w:val="auto"/>
        </w:rPr>
        <w:t>Date: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Arial" w:cs="Arial" w:eastAsia="Arial" w:hAnsi="Arial"/>
          <w:sz w:val="21"/>
          <w:szCs w:val="21"/>
          <w:color w:val="auto"/>
        </w:rPr>
        <w:t>April 8, 2026</w:t>
      </w:r>
    </w:p>
    <w:p>
      <w:pPr>
        <w:spacing w:after="0" w:line="191" w:lineRule="exact"/>
        <w:rPr>
          <w:sz w:val="20"/>
          <w:szCs w:val="20"/>
          <w:color w:val="auto"/>
        </w:rPr>
      </w:pPr>
    </w:p>
    <w:p>
      <w:pPr>
        <w:sectPr>
          <w:pgSz w:w="11900" w:h="16838" w:orient="portrait"/>
          <w:cols w:equalWidth="0" w:num="2">
            <w:col w:w="540" w:space="580"/>
            <w:col w:w="10120"/>
          </w:cols>
          <w:pgMar w:left="320" w:top="117" w:right="339" w:bottom="1440" w:gutter="0" w:footer="0" w:header="0"/>
          <w:type w:val="continuous"/>
        </w:sectPr>
      </w:pPr>
    </w:p>
    <w:p>
      <w:pPr>
        <w:ind w:left="20"/>
        <w:spacing w:after="0"/>
        <w:rPr>
          <w:sz w:val="20"/>
          <w:szCs w:val="20"/>
          <w:color w:val="auto"/>
        </w:rPr>
      </w:pPr>
      <w:r>
        <w:rPr>
          <w:rFonts w:ascii="Arial" w:cs="Arial" w:eastAsia="Arial" w:hAnsi="Arial"/>
          <w:sz w:val="19"/>
          <w:szCs w:val="19"/>
          <w:color w:val="auto"/>
        </w:rPr>
        <w:t>To: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21"/>
          <w:szCs w:val="21"/>
          <w:color w:val="auto"/>
        </w:rPr>
        <w:t>Rodger Schwecke</w:t>
      </w:r>
    </w:p>
    <w:p>
      <w:pPr>
        <w:spacing w:after="0" w:line="191" w:lineRule="exact"/>
        <w:rPr>
          <w:sz w:val="20"/>
          <w:szCs w:val="20"/>
          <w:color w:val="auto"/>
        </w:rPr>
      </w:pPr>
    </w:p>
    <w:p>
      <w:pPr>
        <w:sectPr>
          <w:pgSz w:w="11900" w:h="16838" w:orient="portrait"/>
          <w:cols w:equalWidth="0" w:num="2">
            <w:col w:w="400" w:space="720"/>
            <w:col w:w="10120"/>
          </w:cols>
          <w:pgMar w:left="320" w:top="117" w:right="339" w:bottom="1440" w:gutter="0" w:footer="0" w:header="0"/>
          <w:type w:val="continuous"/>
        </w:sectPr>
      </w:pPr>
    </w:p>
    <w:p>
      <w:pPr>
        <w:ind w:left="20"/>
        <w:spacing w:after="0"/>
        <w:rPr>
          <w:sz w:val="20"/>
          <w:szCs w:val="20"/>
          <w:color w:val="auto"/>
        </w:rPr>
      </w:pPr>
      <w:r>
        <w:rPr>
          <w:rFonts w:ascii="Arial" w:cs="Arial" w:eastAsia="Arial" w:hAnsi="Arial"/>
          <w:sz w:val="22"/>
          <w:szCs w:val="22"/>
          <w:color w:val="auto"/>
        </w:rPr>
        <w:t>From:</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21"/>
          <w:szCs w:val="21"/>
          <w:color w:val="auto"/>
        </w:rPr>
        <w:t>Caroline Winn</w:t>
      </w:r>
    </w:p>
    <w:p>
      <w:pPr>
        <w:spacing w:after="0" w:line="190" w:lineRule="exact"/>
        <w:rPr>
          <w:sz w:val="20"/>
          <w:szCs w:val="20"/>
          <w:color w:val="auto"/>
        </w:rPr>
      </w:pPr>
    </w:p>
    <w:p>
      <w:pPr>
        <w:sectPr>
          <w:pgSz w:w="11900" w:h="16838" w:orient="portrait"/>
          <w:cols w:equalWidth="0" w:num="2">
            <w:col w:w="600" w:space="520"/>
            <w:col w:w="10120"/>
          </w:cols>
          <w:pgMar w:left="320" w:top="117" w:right="339" w:bottom="1440" w:gutter="0" w:footer="0" w:header="0"/>
          <w:type w:val="continuous"/>
        </w:sectPr>
      </w:pPr>
    </w:p>
    <w:p>
      <w:pPr>
        <w:ind w:left="20"/>
        <w:spacing w:after="0"/>
        <w:rPr>
          <w:sz w:val="20"/>
          <w:szCs w:val="20"/>
          <w:color w:val="auto"/>
        </w:rPr>
      </w:pPr>
      <w:r>
        <w:rPr>
          <w:rFonts w:ascii="Arial" w:cs="Arial" w:eastAsia="Arial" w:hAnsi="Arial"/>
          <w:sz w:val="21"/>
          <w:szCs w:val="21"/>
          <w:color w:val="auto"/>
        </w:rPr>
        <w:t>Subject: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21"/>
          <w:szCs w:val="21"/>
          <w:color w:val="auto"/>
        </w:rPr>
        <w:t>Retention Agreement and Confirmation of Exception to Age 65 Retirement</w:t>
      </w:r>
    </w:p>
    <w:p>
      <w:pPr>
        <w:spacing w:after="0" w:line="200" w:lineRule="exact"/>
        <w:rPr>
          <w:sz w:val="20"/>
          <w:szCs w:val="20"/>
          <w:color w:val="auto"/>
        </w:rPr>
      </w:pPr>
    </w:p>
    <w:p>
      <w:pPr>
        <w:sectPr>
          <w:pgSz w:w="11900" w:h="16838" w:orient="portrait"/>
          <w:cols w:equalWidth="0" w:num="2">
            <w:col w:w="800" w:space="320"/>
            <w:col w:w="10120"/>
          </w:cols>
          <w:pgMar w:left="320" w:top="117" w:right="339" w:bottom="1440" w:gutter="0" w:footer="0" w:header="0"/>
          <w:type w:val="continuous"/>
        </w:sectPr>
      </w:pPr>
    </w:p>
    <w:p>
      <w:pPr>
        <w:spacing w:after="0" w:line="166" w:lineRule="exact"/>
        <w:rPr>
          <w:sz w:val="20"/>
          <w:szCs w:val="20"/>
          <w:color w:val="auto"/>
        </w:rPr>
      </w:pPr>
    </w:p>
    <w:p>
      <w:pPr>
        <w:ind w:right="20"/>
        <w:spacing w:after="0" w:line="264" w:lineRule="auto"/>
        <w:rPr>
          <w:sz w:val="20"/>
          <w:szCs w:val="20"/>
          <w:color w:val="auto"/>
        </w:rPr>
      </w:pPr>
      <w:r>
        <w:rPr>
          <w:rFonts w:ascii="Arial" w:cs="Arial" w:eastAsia="Arial" w:hAnsi="Arial"/>
          <w:sz w:val="21"/>
          <w:szCs w:val="21"/>
          <w:color w:val="auto"/>
        </w:rPr>
        <w:t>Due to compelling business reasons, Southern California Gas Company (SoCalGas) desires to extend your mandatory retirement date until October 1, 2026 (Retirement Date). Effective April 18, 2026, you agree to assume the role of President of SoCalGas on an interim basis, in addition to your position of Chief Operating Officer. As a result of the extension of your mandatory retirement date, you are no longer eligible to participate in the 2026 Voluntary Retirement Enhancement Program (“2026 VREP”), in which you previously elected to participate. In recognition of this change and in consideration of your agreement to remain employed through the Retirement Date, SoCalGas will provide you with a monetary incentive in the total amount of $150,000, subject to applicable taxes and withholdings.</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You may accept this offer by signing below and returning a signed copy to me.</w:t>
      </w:r>
    </w:p>
    <w:p>
      <w:pPr>
        <w:spacing w:after="0" w:line="166" w:lineRule="exact"/>
        <w:rPr>
          <w:sz w:val="20"/>
          <w:szCs w:val="20"/>
          <w:color w:val="auto"/>
        </w:rPr>
      </w:pPr>
    </w:p>
    <w:p>
      <w:pPr>
        <w:ind w:left="340" w:hanging="332"/>
        <w:spacing w:after="0"/>
        <w:tabs>
          <w:tab w:leader="none" w:pos="340" w:val="left"/>
        </w:tabs>
        <w:numPr>
          <w:ilvl w:val="0"/>
          <w:numId w:val="111"/>
        </w:numPr>
        <w:rPr>
          <w:rFonts w:ascii="Arial" w:cs="Arial" w:eastAsia="Arial" w:hAnsi="Arial"/>
          <w:sz w:val="22"/>
          <w:szCs w:val="22"/>
          <w:color w:val="auto"/>
        </w:rPr>
      </w:pPr>
      <w:r>
        <w:rPr>
          <w:rFonts w:ascii="Arial" w:cs="Arial" w:eastAsia="Arial" w:hAnsi="Arial"/>
          <w:sz w:val="22"/>
          <w:szCs w:val="22"/>
          <w:u w:val="single" w:color="auto"/>
          <w:color w:val="auto"/>
        </w:rPr>
        <w:t>Continued Employment Requirement</w:t>
      </w:r>
    </w:p>
    <w:p>
      <w:pPr>
        <w:spacing w:after="0" w:line="23" w:lineRule="exact"/>
        <w:rPr>
          <w:rFonts w:ascii="Arial" w:cs="Arial" w:eastAsia="Arial" w:hAnsi="Arial"/>
          <w:sz w:val="22"/>
          <w:szCs w:val="22"/>
          <w:color w:val="auto"/>
        </w:rPr>
      </w:pPr>
    </w:p>
    <w:p>
      <w:pPr>
        <w:ind w:left="340" w:right="120"/>
        <w:spacing w:after="0" w:line="249" w:lineRule="auto"/>
        <w:rPr>
          <w:rFonts w:ascii="Arial" w:cs="Arial" w:eastAsia="Arial" w:hAnsi="Arial"/>
          <w:sz w:val="22"/>
          <w:szCs w:val="22"/>
          <w:color w:val="auto"/>
        </w:rPr>
      </w:pPr>
      <w:r>
        <w:rPr>
          <w:rFonts w:ascii="Arial" w:cs="Arial" w:eastAsia="Arial" w:hAnsi="Arial"/>
          <w:sz w:val="22"/>
          <w:szCs w:val="22"/>
          <w:color w:val="auto"/>
        </w:rPr>
        <w:t>You must remain an active, full-time, regular employee of SoCalGas in good standing through the Retirement Date. If, prior to that date, SoCalGas reassigns or transfers you to a lateral position with different responsibilities, you will remain eligible for the retention payment described below, provided all other conditions of this Agreement are met. You agree that a transfer or reassignment of your position prior to your Retirement Date, will not trigger payment under your Severance Pay Agreement, dated March 1, 2023.</w:t>
      </w:r>
    </w:p>
    <w:p>
      <w:pPr>
        <w:spacing w:after="0" w:line="206" w:lineRule="exact"/>
        <w:rPr>
          <w:rFonts w:ascii="Arial" w:cs="Arial" w:eastAsia="Arial" w:hAnsi="Arial"/>
          <w:sz w:val="22"/>
          <w:szCs w:val="22"/>
          <w:color w:val="auto"/>
        </w:rPr>
      </w:pPr>
    </w:p>
    <w:p>
      <w:pPr>
        <w:ind w:left="340" w:right="60"/>
        <w:spacing w:after="0" w:line="251" w:lineRule="auto"/>
        <w:rPr>
          <w:rFonts w:ascii="Arial" w:cs="Arial" w:eastAsia="Arial" w:hAnsi="Arial"/>
          <w:sz w:val="22"/>
          <w:szCs w:val="22"/>
          <w:color w:val="auto"/>
        </w:rPr>
      </w:pPr>
      <w:r>
        <w:rPr>
          <w:rFonts w:ascii="Arial" w:cs="Arial" w:eastAsia="Arial" w:hAnsi="Arial"/>
          <w:sz w:val="22"/>
          <w:szCs w:val="22"/>
          <w:color w:val="auto"/>
        </w:rPr>
        <w:t>You will not be eligible for the retention bonus if you do not remain employed with SoCalGas through the end date of the retention period under any of the following circumstances: (a) because you resign; (b) due to your death or inability to perform the essential functions of your job, with or without accommodation, due to disability; or, (c) because the company terminates your employment for Cause. “Cause” for purposes of this agreement shall mean: (a) conviction of a crime of moral turpitude; (b) willful neglect of duties; or, (c) misconduct in the course and scope of employment.</w:t>
      </w:r>
    </w:p>
    <w:p>
      <w:pPr>
        <w:spacing w:after="0" w:line="208" w:lineRule="exact"/>
        <w:rPr>
          <w:rFonts w:ascii="Arial" w:cs="Arial" w:eastAsia="Arial" w:hAnsi="Arial"/>
          <w:sz w:val="22"/>
          <w:szCs w:val="22"/>
          <w:color w:val="auto"/>
        </w:rPr>
      </w:pPr>
    </w:p>
    <w:p>
      <w:pPr>
        <w:ind w:left="340" w:hanging="332"/>
        <w:spacing w:after="0"/>
        <w:tabs>
          <w:tab w:leader="none" w:pos="340" w:val="left"/>
        </w:tabs>
        <w:numPr>
          <w:ilvl w:val="0"/>
          <w:numId w:val="111"/>
        </w:numPr>
        <w:rPr>
          <w:rFonts w:ascii="Arial" w:cs="Arial" w:eastAsia="Arial" w:hAnsi="Arial"/>
          <w:sz w:val="22"/>
          <w:szCs w:val="22"/>
          <w:color w:val="auto"/>
        </w:rPr>
      </w:pPr>
      <w:r>
        <w:rPr>
          <w:rFonts w:ascii="Arial" w:cs="Arial" w:eastAsia="Arial" w:hAnsi="Arial"/>
          <w:sz w:val="22"/>
          <w:szCs w:val="22"/>
          <w:u w:val="single" w:color="auto"/>
          <w:color w:val="auto"/>
        </w:rPr>
        <w:t>Retention Bonus Amount and Payment Date</w:t>
      </w:r>
    </w:p>
    <w:p>
      <w:pPr>
        <w:spacing w:after="0" w:line="30" w:lineRule="exact"/>
        <w:rPr>
          <w:rFonts w:ascii="Arial" w:cs="Arial" w:eastAsia="Arial" w:hAnsi="Arial"/>
          <w:sz w:val="22"/>
          <w:szCs w:val="22"/>
          <w:color w:val="auto"/>
        </w:rPr>
      </w:pPr>
    </w:p>
    <w:p>
      <w:pPr>
        <w:ind w:left="340" w:right="420"/>
        <w:spacing w:after="0" w:line="251" w:lineRule="auto"/>
        <w:rPr>
          <w:rFonts w:ascii="Arial" w:cs="Arial" w:eastAsia="Arial" w:hAnsi="Arial"/>
          <w:sz w:val="22"/>
          <w:szCs w:val="22"/>
          <w:color w:val="auto"/>
        </w:rPr>
      </w:pPr>
      <w:r>
        <w:rPr>
          <w:rFonts w:ascii="Arial" w:cs="Arial" w:eastAsia="Arial" w:hAnsi="Arial"/>
          <w:sz w:val="22"/>
          <w:szCs w:val="22"/>
          <w:color w:val="auto"/>
        </w:rPr>
        <w:t>You will earn a retention bonus in the amount of $150,000 upon satisfying the requirements set forth above through the Retirement Date. Payment will be made within 15 business days following the end of the retention period.</w:t>
      </w:r>
    </w:p>
    <w:p>
      <w:pPr>
        <w:sectPr>
          <w:pgSz w:w="11900" w:h="16838" w:orient="portrait"/>
          <w:cols w:equalWidth="0" w:num="1">
            <w:col w:w="11240"/>
          </w:cols>
          <w:pgMar w:left="320" w:top="117" w:right="339" w:bottom="1440" w:gutter="0" w:footer="0" w:header="0"/>
          <w:type w:val="continuous"/>
        </w:sectPr>
      </w:pPr>
    </w:p>
    <w:bookmarkStart w:id="139" w:name="page140"/>
    <w:bookmarkEnd w:id="139"/>
    <w:p>
      <w:pPr>
        <w:ind w:left="340" w:hanging="332"/>
        <w:spacing w:after="0"/>
        <w:tabs>
          <w:tab w:leader="none" w:pos="340" w:val="left"/>
        </w:tabs>
        <w:numPr>
          <w:ilvl w:val="0"/>
          <w:numId w:val="112"/>
        </w:numPr>
        <w:rPr>
          <w:rFonts w:ascii="Arial" w:cs="Arial" w:eastAsia="Arial" w:hAnsi="Arial"/>
          <w:sz w:val="22"/>
          <w:szCs w:val="22"/>
          <w:color w:val="auto"/>
        </w:rPr>
      </w:pPr>
      <w:r>
        <w:rPr>
          <w:rFonts w:ascii="Arial" w:cs="Arial" w:eastAsia="Arial" w:hAnsi="Arial"/>
          <w:sz w:val="22"/>
          <w:szCs w:val="22"/>
          <w:u w:val="single" w:color="auto"/>
          <w:color w:val="auto"/>
        </w:rPr>
        <w:t>Prior VREP Agreement</w:t>
      </w:r>
    </w:p>
    <w:p>
      <w:pPr>
        <w:spacing w:after="0" w:line="30" w:lineRule="exact"/>
        <w:rPr>
          <w:rFonts w:ascii="Arial" w:cs="Arial" w:eastAsia="Arial" w:hAnsi="Arial"/>
          <w:sz w:val="22"/>
          <w:szCs w:val="22"/>
          <w:color w:val="auto"/>
        </w:rPr>
      </w:pPr>
    </w:p>
    <w:p>
      <w:pPr>
        <w:ind w:left="340"/>
        <w:spacing w:after="0" w:line="259" w:lineRule="auto"/>
        <w:rPr>
          <w:rFonts w:ascii="Arial" w:cs="Arial" w:eastAsia="Arial" w:hAnsi="Arial"/>
          <w:sz w:val="22"/>
          <w:szCs w:val="22"/>
          <w:color w:val="auto"/>
        </w:rPr>
      </w:pPr>
      <w:r>
        <w:rPr>
          <w:rFonts w:ascii="Arial" w:cs="Arial" w:eastAsia="Arial" w:hAnsi="Arial"/>
          <w:sz w:val="22"/>
          <w:szCs w:val="22"/>
          <w:color w:val="auto"/>
        </w:rPr>
        <w:t>You acknowledge and agree that you are not eligible for the 2026 VREP and your prior election to participate is revoked.</w:t>
      </w:r>
    </w:p>
    <w:p>
      <w:pPr>
        <w:spacing w:after="0" w:line="197" w:lineRule="exact"/>
        <w:rPr>
          <w:sz w:val="20"/>
          <w:szCs w:val="20"/>
          <w:color w:val="auto"/>
        </w:rPr>
      </w:pPr>
    </w:p>
    <w:p>
      <w:pPr>
        <w:spacing w:after="0" w:line="257" w:lineRule="auto"/>
        <w:rPr>
          <w:sz w:val="20"/>
          <w:szCs w:val="20"/>
          <w:color w:val="auto"/>
        </w:rPr>
      </w:pPr>
      <w:r>
        <w:rPr>
          <w:rFonts w:ascii="Arial" w:cs="Arial" w:eastAsia="Arial" w:hAnsi="Arial"/>
          <w:sz w:val="22"/>
          <w:szCs w:val="22"/>
          <w:color w:val="auto"/>
        </w:rPr>
        <w:t>The retention bonus payment will not be benefits attracting, which means that it will not be included in the basis for calculating incentive compensation or for pension benefits, nor can it be deferred under the company’s deferred compensation plans.</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20"/>
        <w:spacing w:after="0"/>
        <w:rPr>
          <w:sz w:val="20"/>
          <w:szCs w:val="20"/>
          <w:color w:val="auto"/>
        </w:rPr>
      </w:pPr>
      <w:r>
        <w:rPr>
          <w:rFonts w:ascii="Arial" w:cs="Arial" w:eastAsia="Arial" w:hAnsi="Arial"/>
          <w:sz w:val="22"/>
          <w:szCs w:val="22"/>
          <w:color w:val="auto"/>
        </w:rPr>
        <w:t>Sincerely,</w:t>
      </w:r>
    </w:p>
    <w:p>
      <w:pPr>
        <w:spacing w:after="0" w:line="31" w:lineRule="exact"/>
        <w:rPr>
          <w:sz w:val="20"/>
          <w:szCs w:val="20"/>
          <w:color w:val="auto"/>
        </w:rPr>
      </w:pPr>
    </w:p>
    <w:p>
      <w:pPr>
        <w:ind w:left="20"/>
        <w:spacing w:after="0"/>
        <w:rPr>
          <w:sz w:val="20"/>
          <w:szCs w:val="20"/>
          <w:color w:val="auto"/>
        </w:rPr>
      </w:pPr>
      <w:r>
        <w:rPr>
          <w:rFonts w:ascii="Arial" w:cs="Arial" w:eastAsia="Arial" w:hAnsi="Arial"/>
          <w:sz w:val="22"/>
          <w:szCs w:val="22"/>
          <w:color w:val="auto"/>
        </w:rPr>
        <w:t>/s/ Caroline Winn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5203190" cy="825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37">
                      <a:extLst>
                        <a:ext uri="{28A0092B-C50C-407E-A947-70E740481C1C}"/>
                      </a:extLst>
                    </a:blip>
                    <a:srcRect/>
                    <a:stretch>
                      <a:fillRect/>
                    </a:stretch>
                  </pic:blipFill>
                  <pic:spPr bwMode="auto">
                    <a:xfrm>
                      <a:off x="0" y="0"/>
                      <a:ext cx="5203190" cy="8255"/>
                    </a:xfrm>
                    <a:prstGeom prst="rect">
                      <a:avLst/>
                    </a:prstGeom>
                    <a:noFill/>
                  </pic:spPr>
                </pic:pic>
              </a:graphicData>
            </a:graphic>
          </wp:anchor>
        </w:drawing>
      </w:r>
    </w:p>
    <w:p>
      <w:pPr>
        <w:ind w:left="20"/>
        <w:spacing w:after="0"/>
        <w:rPr>
          <w:sz w:val="20"/>
          <w:szCs w:val="20"/>
          <w:color w:val="auto"/>
        </w:rPr>
      </w:pPr>
      <w:r>
        <w:rPr>
          <w:rFonts w:ascii="Arial" w:cs="Arial" w:eastAsia="Arial" w:hAnsi="Arial"/>
          <w:sz w:val="22"/>
          <w:szCs w:val="22"/>
          <w:color w:val="auto"/>
        </w:rPr>
        <w:t>Caroline Winn, Executive Vice President and Chairman of the Board</w:t>
      </w:r>
    </w:p>
    <w:p>
      <w:pPr>
        <w:spacing w:after="0" w:line="200" w:lineRule="exact"/>
        <w:rPr>
          <w:sz w:val="20"/>
          <w:szCs w:val="20"/>
          <w:color w:val="auto"/>
        </w:rPr>
      </w:pPr>
    </w:p>
    <w:p>
      <w:pPr>
        <w:spacing w:after="0" w:line="369" w:lineRule="exact"/>
        <w:rPr>
          <w:sz w:val="20"/>
          <w:szCs w:val="20"/>
          <w:color w:val="auto"/>
        </w:rPr>
      </w:pPr>
    </w:p>
    <w:p>
      <w:pPr>
        <w:ind w:right="240"/>
        <w:spacing w:after="0" w:line="259" w:lineRule="auto"/>
        <w:rPr>
          <w:sz w:val="20"/>
          <w:szCs w:val="20"/>
          <w:color w:val="auto"/>
        </w:rPr>
      </w:pPr>
      <w:r>
        <w:rPr>
          <w:rFonts w:ascii="Arial" w:cs="Arial" w:eastAsia="Arial" w:hAnsi="Arial"/>
          <w:sz w:val="22"/>
          <w:szCs w:val="22"/>
          <w:b w:val="1"/>
          <w:bCs w:val="1"/>
          <w:color w:val="auto"/>
        </w:rPr>
        <w:t>By my signature below, I agree that I have reviewed and accepted the terms of this Agreement and that I understand that this Agreement does not alter my at-will employment status.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83"/>
        </w:trPr>
        <w:tc>
          <w:tcPr>
            <w:tcW w:w="6440" w:type="dxa"/>
            <w:vAlign w:val="bottom"/>
            <w:gridSpan w:val="2"/>
          </w:tcPr>
          <w:p>
            <w:pPr>
              <w:ind w:left="20"/>
              <w:spacing w:after="0"/>
              <w:rPr>
                <w:sz w:val="20"/>
                <w:szCs w:val="20"/>
                <w:color w:val="auto"/>
              </w:rPr>
            </w:pPr>
            <w:r>
              <w:rPr>
                <w:rFonts w:ascii="Arial" w:cs="Arial" w:eastAsia="Arial" w:hAnsi="Arial"/>
                <w:sz w:val="22"/>
                <w:szCs w:val="22"/>
                <w:color w:val="auto"/>
              </w:rPr>
              <w:t>/s/ Rodger R. Schwecke</w:t>
            </w:r>
          </w:p>
        </w:tc>
        <w:tc>
          <w:tcPr>
            <w:tcW w:w="4280" w:type="dxa"/>
            <w:vAlign w:val="bottom"/>
          </w:tcPr>
          <w:p>
            <w:pPr>
              <w:ind w:left="20"/>
              <w:spacing w:after="0"/>
              <w:rPr>
                <w:sz w:val="20"/>
                <w:szCs w:val="20"/>
                <w:color w:val="auto"/>
              </w:rPr>
            </w:pPr>
            <w:r>
              <w:rPr>
                <w:rFonts w:ascii="Arial" w:cs="Arial" w:eastAsia="Arial" w:hAnsi="Arial"/>
                <w:sz w:val="22"/>
                <w:szCs w:val="22"/>
                <w:color w:val="auto"/>
              </w:rPr>
              <w:t>04/08/2026</w:t>
            </w:r>
          </w:p>
        </w:tc>
      </w:tr>
      <w:tr>
        <w:trPr>
          <w:trHeight w:val="277"/>
        </w:trPr>
        <w:tc>
          <w:tcPr>
            <w:tcW w:w="4320" w:type="dxa"/>
            <w:vAlign w:val="bottom"/>
            <w:tcBorders>
              <w:top w:val="single" w:sz="8" w:color="auto"/>
            </w:tcBorders>
          </w:tcPr>
          <w:p>
            <w:pPr>
              <w:ind w:left="20"/>
              <w:spacing w:after="0"/>
              <w:rPr>
                <w:sz w:val="20"/>
                <w:szCs w:val="20"/>
                <w:color w:val="auto"/>
              </w:rPr>
            </w:pPr>
            <w:r>
              <w:rPr>
                <w:rFonts w:ascii="Arial" w:cs="Arial" w:eastAsia="Arial" w:hAnsi="Arial"/>
                <w:sz w:val="22"/>
                <w:szCs w:val="22"/>
                <w:color w:val="auto"/>
              </w:rPr>
              <w:t>Rodger R Schwecke</w:t>
            </w:r>
          </w:p>
        </w:tc>
        <w:tc>
          <w:tcPr>
            <w:tcW w:w="2120" w:type="dxa"/>
            <w:vAlign w:val="bottom"/>
          </w:tcPr>
          <w:p>
            <w:pPr>
              <w:spacing w:after="0"/>
              <w:rPr>
                <w:sz w:val="24"/>
                <w:szCs w:val="24"/>
                <w:color w:val="auto"/>
              </w:rPr>
            </w:pPr>
          </w:p>
        </w:tc>
        <w:tc>
          <w:tcPr>
            <w:tcW w:w="4280" w:type="dxa"/>
            <w:vAlign w:val="bottom"/>
            <w:tcBorders>
              <w:top w:val="single" w:sz="8" w:color="auto"/>
            </w:tcBorders>
          </w:tcPr>
          <w:p>
            <w:pPr>
              <w:ind w:left="20"/>
              <w:spacing w:after="0"/>
              <w:rPr>
                <w:sz w:val="20"/>
                <w:szCs w:val="20"/>
                <w:color w:val="auto"/>
              </w:rPr>
            </w:pPr>
            <w:r>
              <w:rPr>
                <w:rFonts w:ascii="Arial" w:cs="Arial" w:eastAsia="Arial" w:hAnsi="Arial"/>
                <w:sz w:val="22"/>
                <w:szCs w:val="22"/>
                <w:color w:val="auto"/>
              </w:rPr>
              <w:t>Date</w:t>
            </w:r>
          </w:p>
        </w:tc>
      </w:tr>
      <w:tr>
        <w:trPr>
          <w:trHeight w:val="959"/>
        </w:trPr>
        <w:tc>
          <w:tcPr>
            <w:tcW w:w="6440" w:type="dxa"/>
            <w:vAlign w:val="bottom"/>
            <w:gridSpan w:val="2"/>
          </w:tcPr>
          <w:p>
            <w:pPr>
              <w:spacing w:after="0"/>
              <w:rPr>
                <w:sz w:val="20"/>
                <w:szCs w:val="20"/>
                <w:color w:val="auto"/>
              </w:rPr>
            </w:pPr>
            <w:r>
              <w:rPr>
                <w:rFonts w:ascii="Arial" w:cs="Arial" w:eastAsia="Arial" w:hAnsi="Arial"/>
                <w:sz w:val="22"/>
                <w:szCs w:val="22"/>
                <w:color w:val="auto"/>
              </w:rPr>
              <w:t>CC: Personnel File</w:t>
            </w:r>
          </w:p>
        </w:tc>
        <w:tc>
          <w:tcPr>
            <w:tcW w:w="4280" w:type="dxa"/>
            <w:vAlign w:val="bottom"/>
          </w:tcPr>
          <w:p>
            <w:pPr>
              <w:spacing w:after="0"/>
              <w:rPr>
                <w:sz w:val="24"/>
                <w:szCs w:val="24"/>
                <w:color w:val="auto"/>
              </w:rPr>
            </w:pPr>
          </w:p>
        </w:tc>
      </w:tr>
    </w:tbl>
    <w:p>
      <w:pPr>
        <w:sectPr>
          <w:pgSz w:w="11900" w:h="16838" w:orient="portrait"/>
          <w:cols w:equalWidth="0" w:num="1">
            <w:col w:w="10920"/>
          </w:cols>
          <w:pgMar w:left="320" w:top="977" w:right="659" w:bottom="1440" w:gutter="0" w:footer="0" w:header="0"/>
        </w:sectPr>
      </w:pPr>
    </w:p>
    <w:bookmarkStart w:id="140" w:name="page141"/>
    <w:bookmarkEnd w:id="140"/>
    <w:p>
      <w:pPr>
        <w:jc w:val="right"/>
        <w:spacing w:after="0"/>
        <w:rPr>
          <w:sz w:val="20"/>
          <w:szCs w:val="20"/>
          <w:color w:val="auto"/>
        </w:rPr>
      </w:pPr>
      <w:r>
        <w:rPr>
          <w:rFonts w:ascii="Times New Roman" w:cs="Times New Roman" w:eastAsia="Times New Roman" w:hAnsi="Times New Roman"/>
          <w:sz w:val="18"/>
          <w:szCs w:val="18"/>
          <w:color w:val="auto"/>
        </w:rPr>
        <w:t>EXHIBIT 31.1</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 OF PRINCIPAL EXECUTIVE OFFICER</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PURSUANT TO RULES 13a-14 AND 15d-14</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 Walker Martin, certify that:</w:t>
      </w:r>
    </w:p>
    <w:p>
      <w:pPr>
        <w:spacing w:after="0" w:line="252" w:lineRule="exact"/>
        <w:rPr>
          <w:sz w:val="20"/>
          <w:szCs w:val="20"/>
          <w:color w:val="auto"/>
        </w:rPr>
      </w:pPr>
    </w:p>
    <w:p>
      <w:pPr>
        <w:ind w:left="320" w:hanging="312"/>
        <w:spacing w:after="0"/>
        <w:tabs>
          <w:tab w:leader="none" w:pos="320"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report on Form 10-Q of Sempra;</w:t>
      </w:r>
    </w:p>
    <w:p>
      <w:pPr>
        <w:spacing w:after="0" w:line="252" w:lineRule="exact"/>
        <w:rPr>
          <w:rFonts w:ascii="Times New Roman" w:cs="Times New Roman" w:eastAsia="Times New Roman" w:hAnsi="Times New Roman"/>
          <w:sz w:val="18"/>
          <w:szCs w:val="18"/>
          <w:color w:val="auto"/>
        </w:rPr>
      </w:pPr>
    </w:p>
    <w:p>
      <w:pPr>
        <w:jc w:val="both"/>
        <w:ind w:left="340" w:right="440" w:hanging="332"/>
        <w:spacing w:after="0" w:line="266" w:lineRule="auto"/>
        <w:tabs>
          <w:tab w:leader="none" w:pos="331"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2" w:lineRule="exact"/>
        <w:rPr>
          <w:rFonts w:ascii="Times New Roman" w:cs="Times New Roman" w:eastAsia="Times New Roman" w:hAnsi="Times New Roman"/>
          <w:sz w:val="18"/>
          <w:szCs w:val="18"/>
          <w:color w:val="auto"/>
        </w:rPr>
      </w:pPr>
    </w:p>
    <w:p>
      <w:pPr>
        <w:ind w:left="340" w:right="420" w:hanging="332"/>
        <w:spacing w:after="0" w:line="282" w:lineRule="auto"/>
        <w:tabs>
          <w:tab w:leader="none" w:pos="331"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8" w:lineRule="exact"/>
        <w:rPr>
          <w:rFonts w:ascii="Times New Roman" w:cs="Times New Roman" w:eastAsia="Times New Roman" w:hAnsi="Times New Roman"/>
          <w:sz w:val="18"/>
          <w:szCs w:val="18"/>
          <w:color w:val="auto"/>
        </w:rPr>
      </w:pPr>
    </w:p>
    <w:p>
      <w:pPr>
        <w:ind w:left="340" w:right="20" w:hanging="332"/>
        <w:spacing w:after="0" w:line="266" w:lineRule="auto"/>
        <w:tabs>
          <w:tab w:leader="none" w:pos="328"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2" w:lineRule="exact"/>
        <w:rPr>
          <w:rFonts w:ascii="Times New Roman" w:cs="Times New Roman" w:eastAsia="Times New Roman" w:hAnsi="Times New Roman"/>
          <w:sz w:val="18"/>
          <w:szCs w:val="18"/>
          <w:color w:val="auto"/>
        </w:rPr>
      </w:pPr>
    </w:p>
    <w:p>
      <w:pPr>
        <w:ind w:left="660" w:right="320" w:hanging="328"/>
        <w:spacing w:after="0" w:line="266" w:lineRule="auto"/>
        <w:tabs>
          <w:tab w:leader="none" w:pos="716" w:val="left"/>
        </w:tabs>
        <w:numPr>
          <w:ilvl w:val="1"/>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2" w:lineRule="exact"/>
        <w:rPr>
          <w:rFonts w:ascii="Times New Roman" w:cs="Times New Roman" w:eastAsia="Times New Roman" w:hAnsi="Times New Roman"/>
          <w:sz w:val="18"/>
          <w:szCs w:val="18"/>
          <w:color w:val="auto"/>
        </w:rPr>
      </w:pPr>
    </w:p>
    <w:p>
      <w:pPr>
        <w:ind w:left="660" w:right="60" w:hanging="328"/>
        <w:spacing w:after="0" w:line="266" w:lineRule="auto"/>
        <w:tabs>
          <w:tab w:leader="none" w:pos="726" w:val="left"/>
        </w:tabs>
        <w:numPr>
          <w:ilvl w:val="1"/>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2" w:lineRule="exact"/>
        <w:rPr>
          <w:rFonts w:ascii="Times New Roman" w:cs="Times New Roman" w:eastAsia="Times New Roman" w:hAnsi="Times New Roman"/>
          <w:sz w:val="18"/>
          <w:szCs w:val="18"/>
          <w:color w:val="auto"/>
        </w:rPr>
      </w:pPr>
    </w:p>
    <w:p>
      <w:pPr>
        <w:jc w:val="both"/>
        <w:ind w:left="660" w:right="820" w:hanging="328"/>
        <w:spacing w:after="0" w:line="312" w:lineRule="auto"/>
        <w:tabs>
          <w:tab w:leader="none" w:pos="716" w:val="left"/>
        </w:tabs>
        <w:numPr>
          <w:ilvl w:val="1"/>
          <w:numId w:val="1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6" w:lineRule="exact"/>
        <w:rPr>
          <w:rFonts w:ascii="Times New Roman" w:cs="Times New Roman" w:eastAsia="Times New Roman" w:hAnsi="Times New Roman"/>
          <w:sz w:val="17"/>
          <w:szCs w:val="17"/>
          <w:color w:val="auto"/>
        </w:rPr>
      </w:pPr>
    </w:p>
    <w:p>
      <w:pPr>
        <w:ind w:left="660" w:right="100" w:hanging="328"/>
        <w:spacing w:after="0" w:line="266" w:lineRule="auto"/>
        <w:tabs>
          <w:tab w:leader="none" w:pos="726" w:val="left"/>
        </w:tabs>
        <w:numPr>
          <w:ilvl w:val="1"/>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2" w:lineRule="exact"/>
        <w:rPr>
          <w:rFonts w:ascii="Times New Roman" w:cs="Times New Roman" w:eastAsia="Times New Roman" w:hAnsi="Times New Roman"/>
          <w:sz w:val="18"/>
          <w:szCs w:val="18"/>
          <w:color w:val="auto"/>
        </w:rPr>
      </w:pPr>
    </w:p>
    <w:p>
      <w:pPr>
        <w:ind w:left="340" w:right="360" w:hanging="332"/>
        <w:spacing w:after="0" w:line="282" w:lineRule="auto"/>
        <w:tabs>
          <w:tab w:leader="none" w:pos="328"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8" w:lineRule="exact"/>
        <w:rPr>
          <w:rFonts w:ascii="Times New Roman" w:cs="Times New Roman" w:eastAsia="Times New Roman" w:hAnsi="Times New Roman"/>
          <w:sz w:val="18"/>
          <w:szCs w:val="18"/>
          <w:color w:val="auto"/>
        </w:rPr>
      </w:pPr>
    </w:p>
    <w:p>
      <w:pPr>
        <w:ind w:left="660" w:right="240" w:hanging="328"/>
        <w:spacing w:after="0" w:line="282" w:lineRule="auto"/>
        <w:tabs>
          <w:tab w:leader="none" w:pos="706" w:val="left"/>
        </w:tabs>
        <w:numPr>
          <w:ilvl w:val="1"/>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8" w:lineRule="exact"/>
        <w:rPr>
          <w:rFonts w:ascii="Times New Roman" w:cs="Times New Roman" w:eastAsia="Times New Roman" w:hAnsi="Times New Roman"/>
          <w:sz w:val="18"/>
          <w:szCs w:val="18"/>
          <w:color w:val="auto"/>
        </w:rPr>
      </w:pPr>
    </w:p>
    <w:p>
      <w:pPr>
        <w:ind w:left="660" w:right="200" w:hanging="328"/>
        <w:spacing w:after="0" w:line="282" w:lineRule="auto"/>
        <w:tabs>
          <w:tab w:leader="none" w:pos="716" w:val="left"/>
        </w:tabs>
        <w:numPr>
          <w:ilvl w:val="1"/>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86" w:lineRule="exact"/>
        <w:rPr>
          <w:sz w:val="20"/>
          <w:szCs w:val="20"/>
          <w:color w:val="auto"/>
        </w:rPr>
      </w:pPr>
    </w:p>
    <w:p>
      <w:pPr>
        <w:ind w:left="4440"/>
        <w:spacing w:after="0"/>
        <w:tabs>
          <w:tab w:leader="none" w:pos="5600" w:val="left"/>
        </w:tabs>
        <w:rPr>
          <w:sz w:val="20"/>
          <w:szCs w:val="20"/>
          <w:color w:val="auto"/>
        </w:rPr>
      </w:pPr>
      <w:r>
        <w:rPr>
          <w:rFonts w:ascii="Times New Roman" w:cs="Times New Roman" w:eastAsia="Times New Roman" w:hAnsi="Times New Roman"/>
          <w:sz w:val="18"/>
          <w:szCs w:val="18"/>
          <w:color w:val="auto"/>
        </w:rPr>
        <w:t>May 7, 2026</w:t>
      </w:r>
      <w:r>
        <w:rPr>
          <w:sz w:val="20"/>
          <w:szCs w:val="20"/>
          <w:color w:val="auto"/>
        </w:rPr>
        <w:tab/>
      </w:r>
      <w:r>
        <w:rPr>
          <w:rFonts w:ascii="Times New Roman" w:cs="Times New Roman" w:eastAsia="Times New Roman" w:hAnsi="Times New Roman"/>
          <w:sz w:val="17"/>
          <w:szCs w:val="17"/>
          <w:color w:val="auto"/>
        </w:rPr>
        <w:t>/s/ J. Walker Martin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3554095</wp:posOffset>
            </wp:positionH>
            <wp:positionV relativeFrom="paragraph">
              <wp:posOffset>26035</wp:posOffset>
            </wp:positionV>
            <wp:extent cx="2305685" cy="889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38">
                      <a:extLst>
                        <a:ext uri="{28A0092B-C50C-407E-A947-70E740481C1C}"/>
                      </a:extLst>
                    </a:blip>
                    <a:srcRect/>
                    <a:stretch>
                      <a:fillRect/>
                    </a:stretch>
                  </pic:blipFill>
                  <pic:spPr bwMode="auto">
                    <a:xfrm>
                      <a:off x="0" y="0"/>
                      <a:ext cx="2305685" cy="8890"/>
                    </a:xfrm>
                    <a:prstGeom prst="rect">
                      <a:avLst/>
                    </a:prstGeom>
                    <a:noFill/>
                  </pic:spPr>
                </pic:pic>
              </a:graphicData>
            </a:graphic>
          </wp:anchor>
        </w:drawing>
      </w:r>
    </w:p>
    <w:p>
      <w:pPr>
        <w:spacing w:after="0" w:line="30"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J. Walker Martin</w:t>
      </w:r>
    </w:p>
    <w:p>
      <w:pPr>
        <w:spacing w:after="0" w:line="3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Chief Executive Officer</w:t>
      </w:r>
    </w:p>
    <w:p>
      <w:pPr>
        <w:sectPr>
          <w:pgSz w:w="11900" w:h="16838" w:orient="portrait"/>
          <w:cols w:equalWidth="0" w:num="1">
            <w:col w:w="11240"/>
          </w:cols>
          <w:pgMar w:left="320" w:top="891" w:right="339" w:bottom="1440" w:gutter="0" w:footer="0" w:header="0"/>
        </w:sectPr>
      </w:pPr>
    </w:p>
    <w:bookmarkStart w:id="141" w:name="page142"/>
    <w:bookmarkEnd w:id="141"/>
    <w:p>
      <w:pPr>
        <w:jc w:val="right"/>
        <w:spacing w:after="0"/>
        <w:rPr>
          <w:sz w:val="20"/>
          <w:szCs w:val="20"/>
          <w:color w:val="auto"/>
        </w:rPr>
      </w:pPr>
      <w:r>
        <w:rPr>
          <w:rFonts w:ascii="Times New Roman" w:cs="Times New Roman" w:eastAsia="Times New Roman" w:hAnsi="Times New Roman"/>
          <w:sz w:val="18"/>
          <w:szCs w:val="18"/>
          <w:color w:val="auto"/>
        </w:rPr>
        <w:t>EXHIBIT 31.2</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 OF PRINCIPAL FINANCIAL OFFICER</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PURSUANT TO RULES 13a-14 AND 15d-14</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Karen L. Sedgwick, certify that:</w:t>
      </w:r>
    </w:p>
    <w:p>
      <w:pPr>
        <w:spacing w:after="0" w:line="252" w:lineRule="exact"/>
        <w:rPr>
          <w:sz w:val="20"/>
          <w:szCs w:val="20"/>
          <w:color w:val="auto"/>
        </w:rPr>
      </w:pPr>
    </w:p>
    <w:p>
      <w:pPr>
        <w:ind w:left="320" w:hanging="312"/>
        <w:spacing w:after="0"/>
        <w:tabs>
          <w:tab w:leader="none" w:pos="320"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report on Form 10-Q of Sempra;</w:t>
      </w:r>
    </w:p>
    <w:p>
      <w:pPr>
        <w:spacing w:after="0" w:line="252" w:lineRule="exact"/>
        <w:rPr>
          <w:rFonts w:ascii="Times New Roman" w:cs="Times New Roman" w:eastAsia="Times New Roman" w:hAnsi="Times New Roman"/>
          <w:sz w:val="18"/>
          <w:szCs w:val="18"/>
          <w:color w:val="auto"/>
        </w:rPr>
      </w:pPr>
    </w:p>
    <w:p>
      <w:pPr>
        <w:jc w:val="both"/>
        <w:ind w:left="340" w:right="440" w:hanging="332"/>
        <w:spacing w:after="0" w:line="266" w:lineRule="auto"/>
        <w:tabs>
          <w:tab w:leader="none" w:pos="331"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2" w:lineRule="exact"/>
        <w:rPr>
          <w:rFonts w:ascii="Times New Roman" w:cs="Times New Roman" w:eastAsia="Times New Roman" w:hAnsi="Times New Roman"/>
          <w:sz w:val="18"/>
          <w:szCs w:val="18"/>
          <w:color w:val="auto"/>
        </w:rPr>
      </w:pPr>
    </w:p>
    <w:p>
      <w:pPr>
        <w:ind w:left="340" w:right="420" w:hanging="332"/>
        <w:spacing w:after="0" w:line="282" w:lineRule="auto"/>
        <w:tabs>
          <w:tab w:leader="none" w:pos="331"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8" w:lineRule="exact"/>
        <w:rPr>
          <w:rFonts w:ascii="Times New Roman" w:cs="Times New Roman" w:eastAsia="Times New Roman" w:hAnsi="Times New Roman"/>
          <w:sz w:val="18"/>
          <w:szCs w:val="18"/>
          <w:color w:val="auto"/>
        </w:rPr>
      </w:pPr>
    </w:p>
    <w:p>
      <w:pPr>
        <w:ind w:left="340" w:right="20" w:hanging="332"/>
        <w:spacing w:after="0" w:line="266" w:lineRule="auto"/>
        <w:tabs>
          <w:tab w:leader="none" w:pos="328"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2" w:lineRule="exact"/>
        <w:rPr>
          <w:rFonts w:ascii="Times New Roman" w:cs="Times New Roman" w:eastAsia="Times New Roman" w:hAnsi="Times New Roman"/>
          <w:sz w:val="18"/>
          <w:szCs w:val="18"/>
          <w:color w:val="auto"/>
        </w:rPr>
      </w:pPr>
    </w:p>
    <w:p>
      <w:pPr>
        <w:ind w:left="660" w:right="320" w:hanging="328"/>
        <w:spacing w:after="0" w:line="266" w:lineRule="auto"/>
        <w:tabs>
          <w:tab w:leader="none" w:pos="716" w:val="left"/>
        </w:tabs>
        <w:numPr>
          <w:ilvl w:val="1"/>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2" w:lineRule="exact"/>
        <w:rPr>
          <w:rFonts w:ascii="Times New Roman" w:cs="Times New Roman" w:eastAsia="Times New Roman" w:hAnsi="Times New Roman"/>
          <w:sz w:val="18"/>
          <w:szCs w:val="18"/>
          <w:color w:val="auto"/>
        </w:rPr>
      </w:pPr>
    </w:p>
    <w:p>
      <w:pPr>
        <w:ind w:left="660" w:right="60" w:hanging="328"/>
        <w:spacing w:after="0" w:line="266" w:lineRule="auto"/>
        <w:tabs>
          <w:tab w:leader="none" w:pos="726" w:val="left"/>
        </w:tabs>
        <w:numPr>
          <w:ilvl w:val="1"/>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2" w:lineRule="exact"/>
        <w:rPr>
          <w:rFonts w:ascii="Times New Roman" w:cs="Times New Roman" w:eastAsia="Times New Roman" w:hAnsi="Times New Roman"/>
          <w:sz w:val="18"/>
          <w:szCs w:val="18"/>
          <w:color w:val="auto"/>
        </w:rPr>
      </w:pPr>
    </w:p>
    <w:p>
      <w:pPr>
        <w:jc w:val="both"/>
        <w:ind w:left="660" w:right="820" w:hanging="328"/>
        <w:spacing w:after="0" w:line="312" w:lineRule="auto"/>
        <w:tabs>
          <w:tab w:leader="none" w:pos="716" w:val="left"/>
        </w:tabs>
        <w:numPr>
          <w:ilvl w:val="1"/>
          <w:numId w:val="1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6" w:lineRule="exact"/>
        <w:rPr>
          <w:rFonts w:ascii="Times New Roman" w:cs="Times New Roman" w:eastAsia="Times New Roman" w:hAnsi="Times New Roman"/>
          <w:sz w:val="17"/>
          <w:szCs w:val="17"/>
          <w:color w:val="auto"/>
        </w:rPr>
      </w:pPr>
    </w:p>
    <w:p>
      <w:pPr>
        <w:ind w:left="660" w:right="100" w:hanging="328"/>
        <w:spacing w:after="0" w:line="266" w:lineRule="auto"/>
        <w:tabs>
          <w:tab w:leader="none" w:pos="726" w:val="left"/>
        </w:tabs>
        <w:numPr>
          <w:ilvl w:val="1"/>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2" w:lineRule="exact"/>
        <w:rPr>
          <w:rFonts w:ascii="Times New Roman" w:cs="Times New Roman" w:eastAsia="Times New Roman" w:hAnsi="Times New Roman"/>
          <w:sz w:val="18"/>
          <w:szCs w:val="18"/>
          <w:color w:val="auto"/>
        </w:rPr>
      </w:pPr>
    </w:p>
    <w:p>
      <w:pPr>
        <w:ind w:left="340" w:right="360" w:hanging="332"/>
        <w:spacing w:after="0" w:line="282" w:lineRule="auto"/>
        <w:tabs>
          <w:tab w:leader="none" w:pos="328"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8" w:lineRule="exact"/>
        <w:rPr>
          <w:rFonts w:ascii="Times New Roman" w:cs="Times New Roman" w:eastAsia="Times New Roman" w:hAnsi="Times New Roman"/>
          <w:sz w:val="18"/>
          <w:szCs w:val="18"/>
          <w:color w:val="auto"/>
        </w:rPr>
      </w:pPr>
    </w:p>
    <w:p>
      <w:pPr>
        <w:ind w:left="660" w:right="240" w:hanging="328"/>
        <w:spacing w:after="0" w:line="282" w:lineRule="auto"/>
        <w:tabs>
          <w:tab w:leader="none" w:pos="706" w:val="left"/>
        </w:tabs>
        <w:numPr>
          <w:ilvl w:val="1"/>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8" w:lineRule="exact"/>
        <w:rPr>
          <w:rFonts w:ascii="Times New Roman" w:cs="Times New Roman" w:eastAsia="Times New Roman" w:hAnsi="Times New Roman"/>
          <w:sz w:val="18"/>
          <w:szCs w:val="18"/>
          <w:color w:val="auto"/>
        </w:rPr>
      </w:pPr>
    </w:p>
    <w:p>
      <w:pPr>
        <w:ind w:left="660" w:right="200" w:hanging="328"/>
        <w:spacing w:after="0" w:line="282" w:lineRule="auto"/>
        <w:tabs>
          <w:tab w:leader="none" w:pos="716" w:val="left"/>
        </w:tabs>
        <w:numPr>
          <w:ilvl w:val="1"/>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86" w:lineRule="exact"/>
        <w:rPr>
          <w:sz w:val="20"/>
          <w:szCs w:val="20"/>
          <w:color w:val="auto"/>
        </w:rPr>
      </w:pPr>
    </w:p>
    <w:p>
      <w:pPr>
        <w:ind w:left="4440"/>
        <w:spacing w:after="0"/>
        <w:tabs>
          <w:tab w:leader="none" w:pos="5600" w:val="left"/>
        </w:tabs>
        <w:rPr>
          <w:sz w:val="20"/>
          <w:szCs w:val="20"/>
          <w:color w:val="auto"/>
        </w:rPr>
      </w:pPr>
      <w:r>
        <w:rPr>
          <w:rFonts w:ascii="Times New Roman" w:cs="Times New Roman" w:eastAsia="Times New Roman" w:hAnsi="Times New Roman"/>
          <w:sz w:val="18"/>
          <w:szCs w:val="18"/>
          <w:color w:val="auto"/>
        </w:rPr>
        <w:t>May 7, 2026</w:t>
      </w:r>
      <w:r>
        <w:rPr>
          <w:sz w:val="20"/>
          <w:szCs w:val="20"/>
          <w:color w:val="auto"/>
        </w:rPr>
        <w:tab/>
      </w:r>
      <w:r>
        <w:rPr>
          <w:rFonts w:ascii="Times New Roman" w:cs="Times New Roman" w:eastAsia="Times New Roman" w:hAnsi="Times New Roman"/>
          <w:sz w:val="17"/>
          <w:szCs w:val="17"/>
          <w:color w:val="auto"/>
        </w:rPr>
        <w:t>/s/ Karen L. Sedgwick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3554095</wp:posOffset>
            </wp:positionH>
            <wp:positionV relativeFrom="paragraph">
              <wp:posOffset>26035</wp:posOffset>
            </wp:positionV>
            <wp:extent cx="2305685" cy="889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39">
                      <a:extLst>
                        <a:ext uri="{28A0092B-C50C-407E-A947-70E740481C1C}"/>
                      </a:extLst>
                    </a:blip>
                    <a:srcRect/>
                    <a:stretch>
                      <a:fillRect/>
                    </a:stretch>
                  </pic:blipFill>
                  <pic:spPr bwMode="auto">
                    <a:xfrm>
                      <a:off x="0" y="0"/>
                      <a:ext cx="2305685" cy="8890"/>
                    </a:xfrm>
                    <a:prstGeom prst="rect">
                      <a:avLst/>
                    </a:prstGeom>
                    <a:noFill/>
                  </pic:spPr>
                </pic:pic>
              </a:graphicData>
            </a:graphic>
          </wp:anchor>
        </w:drawing>
      </w:r>
    </w:p>
    <w:p>
      <w:pPr>
        <w:spacing w:after="0" w:line="30"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Karen L. Sedgwick</w:t>
      </w:r>
    </w:p>
    <w:p>
      <w:pPr>
        <w:spacing w:after="0" w:line="3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Chief Financial Officer</w:t>
      </w:r>
    </w:p>
    <w:p>
      <w:pPr>
        <w:sectPr>
          <w:pgSz w:w="11900" w:h="16838" w:orient="portrait"/>
          <w:cols w:equalWidth="0" w:num="1">
            <w:col w:w="11240"/>
          </w:cols>
          <w:pgMar w:left="320" w:top="891" w:right="339" w:bottom="1440" w:gutter="0" w:footer="0" w:header="0"/>
        </w:sectPr>
      </w:pPr>
    </w:p>
    <w:bookmarkStart w:id="142" w:name="page143"/>
    <w:bookmarkEnd w:id="142"/>
    <w:p>
      <w:pPr>
        <w:jc w:val="right"/>
        <w:spacing w:after="0"/>
        <w:rPr>
          <w:sz w:val="20"/>
          <w:szCs w:val="20"/>
          <w:color w:val="auto"/>
        </w:rPr>
      </w:pPr>
      <w:r>
        <w:rPr>
          <w:rFonts w:ascii="Times New Roman" w:cs="Times New Roman" w:eastAsia="Times New Roman" w:hAnsi="Times New Roman"/>
          <w:sz w:val="18"/>
          <w:szCs w:val="18"/>
          <w:color w:val="auto"/>
        </w:rPr>
        <w:t>EXHIBIT 31.3</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 OF PRINCIPAL EXECUTIVE OFFICER</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PURSUANT TO RULES 13a-14 AND 15d-14</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Scott B. Crider, certify that:</w:t>
      </w:r>
    </w:p>
    <w:p>
      <w:pPr>
        <w:spacing w:after="0" w:line="252" w:lineRule="exact"/>
        <w:rPr>
          <w:sz w:val="20"/>
          <w:szCs w:val="20"/>
          <w:color w:val="auto"/>
        </w:rPr>
      </w:pPr>
    </w:p>
    <w:p>
      <w:pPr>
        <w:ind w:left="320" w:hanging="312"/>
        <w:spacing w:after="0"/>
        <w:tabs>
          <w:tab w:leader="none" w:pos="320"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report on Form 10-Q of San Diego Gas &amp; Electric Company;</w:t>
      </w:r>
    </w:p>
    <w:p>
      <w:pPr>
        <w:spacing w:after="0" w:line="252" w:lineRule="exact"/>
        <w:rPr>
          <w:rFonts w:ascii="Times New Roman" w:cs="Times New Roman" w:eastAsia="Times New Roman" w:hAnsi="Times New Roman"/>
          <w:sz w:val="18"/>
          <w:szCs w:val="18"/>
          <w:color w:val="auto"/>
        </w:rPr>
      </w:pPr>
    </w:p>
    <w:p>
      <w:pPr>
        <w:jc w:val="both"/>
        <w:ind w:left="340" w:right="440" w:hanging="332"/>
        <w:spacing w:after="0" w:line="266" w:lineRule="auto"/>
        <w:tabs>
          <w:tab w:leader="none" w:pos="331"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2" w:lineRule="exact"/>
        <w:rPr>
          <w:rFonts w:ascii="Times New Roman" w:cs="Times New Roman" w:eastAsia="Times New Roman" w:hAnsi="Times New Roman"/>
          <w:sz w:val="18"/>
          <w:szCs w:val="18"/>
          <w:color w:val="auto"/>
        </w:rPr>
      </w:pPr>
    </w:p>
    <w:p>
      <w:pPr>
        <w:ind w:left="340" w:right="420" w:hanging="332"/>
        <w:spacing w:after="0" w:line="282" w:lineRule="auto"/>
        <w:tabs>
          <w:tab w:leader="none" w:pos="331"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8" w:lineRule="exact"/>
        <w:rPr>
          <w:rFonts w:ascii="Times New Roman" w:cs="Times New Roman" w:eastAsia="Times New Roman" w:hAnsi="Times New Roman"/>
          <w:sz w:val="18"/>
          <w:szCs w:val="18"/>
          <w:color w:val="auto"/>
        </w:rPr>
      </w:pPr>
    </w:p>
    <w:p>
      <w:pPr>
        <w:ind w:left="340" w:right="20" w:hanging="332"/>
        <w:spacing w:after="0" w:line="266" w:lineRule="auto"/>
        <w:tabs>
          <w:tab w:leader="none" w:pos="328"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2" w:lineRule="exact"/>
        <w:rPr>
          <w:rFonts w:ascii="Times New Roman" w:cs="Times New Roman" w:eastAsia="Times New Roman" w:hAnsi="Times New Roman"/>
          <w:sz w:val="18"/>
          <w:szCs w:val="18"/>
          <w:color w:val="auto"/>
        </w:rPr>
      </w:pPr>
    </w:p>
    <w:p>
      <w:pPr>
        <w:ind w:left="660" w:right="320" w:hanging="328"/>
        <w:spacing w:after="0" w:line="266" w:lineRule="auto"/>
        <w:tabs>
          <w:tab w:leader="none" w:pos="716" w:val="left"/>
        </w:tabs>
        <w:numPr>
          <w:ilvl w:val="1"/>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2" w:lineRule="exact"/>
        <w:rPr>
          <w:rFonts w:ascii="Times New Roman" w:cs="Times New Roman" w:eastAsia="Times New Roman" w:hAnsi="Times New Roman"/>
          <w:sz w:val="18"/>
          <w:szCs w:val="18"/>
          <w:color w:val="auto"/>
        </w:rPr>
      </w:pPr>
    </w:p>
    <w:p>
      <w:pPr>
        <w:ind w:left="660" w:right="60" w:hanging="328"/>
        <w:spacing w:after="0" w:line="266" w:lineRule="auto"/>
        <w:tabs>
          <w:tab w:leader="none" w:pos="726" w:val="left"/>
        </w:tabs>
        <w:numPr>
          <w:ilvl w:val="1"/>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2" w:lineRule="exact"/>
        <w:rPr>
          <w:rFonts w:ascii="Times New Roman" w:cs="Times New Roman" w:eastAsia="Times New Roman" w:hAnsi="Times New Roman"/>
          <w:sz w:val="18"/>
          <w:szCs w:val="18"/>
          <w:color w:val="auto"/>
        </w:rPr>
      </w:pPr>
    </w:p>
    <w:p>
      <w:pPr>
        <w:jc w:val="both"/>
        <w:ind w:left="660" w:right="820" w:hanging="328"/>
        <w:spacing w:after="0" w:line="312" w:lineRule="auto"/>
        <w:tabs>
          <w:tab w:leader="none" w:pos="716" w:val="left"/>
        </w:tabs>
        <w:numPr>
          <w:ilvl w:val="1"/>
          <w:numId w:val="1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6" w:lineRule="exact"/>
        <w:rPr>
          <w:rFonts w:ascii="Times New Roman" w:cs="Times New Roman" w:eastAsia="Times New Roman" w:hAnsi="Times New Roman"/>
          <w:sz w:val="17"/>
          <w:szCs w:val="17"/>
          <w:color w:val="auto"/>
        </w:rPr>
      </w:pPr>
    </w:p>
    <w:p>
      <w:pPr>
        <w:ind w:left="660" w:right="100" w:hanging="328"/>
        <w:spacing w:after="0" w:line="266" w:lineRule="auto"/>
        <w:tabs>
          <w:tab w:leader="none" w:pos="726" w:val="left"/>
        </w:tabs>
        <w:numPr>
          <w:ilvl w:val="1"/>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2" w:lineRule="exact"/>
        <w:rPr>
          <w:rFonts w:ascii="Times New Roman" w:cs="Times New Roman" w:eastAsia="Times New Roman" w:hAnsi="Times New Roman"/>
          <w:sz w:val="18"/>
          <w:szCs w:val="18"/>
          <w:color w:val="auto"/>
        </w:rPr>
      </w:pPr>
    </w:p>
    <w:p>
      <w:pPr>
        <w:ind w:left="340" w:right="360" w:hanging="332"/>
        <w:spacing w:after="0" w:line="282" w:lineRule="auto"/>
        <w:tabs>
          <w:tab w:leader="none" w:pos="328"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8" w:lineRule="exact"/>
        <w:rPr>
          <w:rFonts w:ascii="Times New Roman" w:cs="Times New Roman" w:eastAsia="Times New Roman" w:hAnsi="Times New Roman"/>
          <w:sz w:val="18"/>
          <w:szCs w:val="18"/>
          <w:color w:val="auto"/>
        </w:rPr>
      </w:pPr>
    </w:p>
    <w:p>
      <w:pPr>
        <w:ind w:left="660" w:right="240" w:hanging="328"/>
        <w:spacing w:after="0" w:line="282" w:lineRule="auto"/>
        <w:tabs>
          <w:tab w:leader="none" w:pos="706" w:val="left"/>
        </w:tabs>
        <w:numPr>
          <w:ilvl w:val="1"/>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8" w:lineRule="exact"/>
        <w:rPr>
          <w:rFonts w:ascii="Times New Roman" w:cs="Times New Roman" w:eastAsia="Times New Roman" w:hAnsi="Times New Roman"/>
          <w:sz w:val="18"/>
          <w:szCs w:val="18"/>
          <w:color w:val="auto"/>
        </w:rPr>
      </w:pPr>
    </w:p>
    <w:p>
      <w:pPr>
        <w:ind w:left="660" w:right="200" w:hanging="328"/>
        <w:spacing w:after="0" w:line="282" w:lineRule="auto"/>
        <w:tabs>
          <w:tab w:leader="none" w:pos="716" w:val="left"/>
        </w:tabs>
        <w:numPr>
          <w:ilvl w:val="1"/>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86" w:lineRule="exact"/>
        <w:rPr>
          <w:sz w:val="20"/>
          <w:szCs w:val="20"/>
          <w:color w:val="auto"/>
        </w:rPr>
      </w:pPr>
    </w:p>
    <w:p>
      <w:pPr>
        <w:ind w:left="4440"/>
        <w:spacing w:after="0"/>
        <w:tabs>
          <w:tab w:leader="none" w:pos="5600" w:val="left"/>
        </w:tabs>
        <w:rPr>
          <w:sz w:val="20"/>
          <w:szCs w:val="20"/>
          <w:color w:val="auto"/>
        </w:rPr>
      </w:pPr>
      <w:r>
        <w:rPr>
          <w:rFonts w:ascii="Times New Roman" w:cs="Times New Roman" w:eastAsia="Times New Roman" w:hAnsi="Times New Roman"/>
          <w:sz w:val="18"/>
          <w:szCs w:val="18"/>
          <w:color w:val="auto"/>
        </w:rPr>
        <w:t>May 7, 2026</w:t>
      </w:r>
      <w:r>
        <w:rPr>
          <w:sz w:val="20"/>
          <w:szCs w:val="20"/>
          <w:color w:val="auto"/>
        </w:rPr>
        <w:tab/>
      </w:r>
      <w:r>
        <w:rPr>
          <w:rFonts w:ascii="Times New Roman" w:cs="Times New Roman" w:eastAsia="Times New Roman" w:hAnsi="Times New Roman"/>
          <w:sz w:val="17"/>
          <w:szCs w:val="17"/>
          <w:color w:val="auto"/>
        </w:rPr>
        <w:t>/s/ Scott B. Crider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3554095</wp:posOffset>
            </wp:positionH>
            <wp:positionV relativeFrom="paragraph">
              <wp:posOffset>26035</wp:posOffset>
            </wp:positionV>
            <wp:extent cx="2305685" cy="889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40">
                      <a:extLst>
                        <a:ext uri="{28A0092B-C50C-407E-A947-70E740481C1C}"/>
                      </a:extLst>
                    </a:blip>
                    <a:srcRect/>
                    <a:stretch>
                      <a:fillRect/>
                    </a:stretch>
                  </pic:blipFill>
                  <pic:spPr bwMode="auto">
                    <a:xfrm>
                      <a:off x="0" y="0"/>
                      <a:ext cx="2305685" cy="8890"/>
                    </a:xfrm>
                    <a:prstGeom prst="rect">
                      <a:avLst/>
                    </a:prstGeom>
                    <a:noFill/>
                  </pic:spPr>
                </pic:pic>
              </a:graphicData>
            </a:graphic>
          </wp:anchor>
        </w:drawing>
      </w:r>
    </w:p>
    <w:p>
      <w:pPr>
        <w:spacing w:after="0" w:line="4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Scott B. Crider</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President</w:t>
      </w:r>
    </w:p>
    <w:p>
      <w:pPr>
        <w:sectPr>
          <w:pgSz w:w="11900" w:h="16838" w:orient="portrait"/>
          <w:cols w:equalWidth="0" w:num="1">
            <w:col w:w="11240"/>
          </w:cols>
          <w:pgMar w:left="320" w:top="891" w:right="339" w:bottom="1440" w:gutter="0" w:footer="0" w:header="0"/>
        </w:sectPr>
      </w:pPr>
    </w:p>
    <w:bookmarkStart w:id="143" w:name="page144"/>
    <w:bookmarkEnd w:id="143"/>
    <w:p>
      <w:pPr>
        <w:jc w:val="right"/>
        <w:spacing w:after="0"/>
        <w:rPr>
          <w:sz w:val="20"/>
          <w:szCs w:val="20"/>
          <w:color w:val="auto"/>
        </w:rPr>
      </w:pPr>
      <w:r>
        <w:rPr>
          <w:rFonts w:ascii="Times New Roman" w:cs="Times New Roman" w:eastAsia="Times New Roman" w:hAnsi="Times New Roman"/>
          <w:sz w:val="18"/>
          <w:szCs w:val="18"/>
          <w:color w:val="auto"/>
        </w:rPr>
        <w:t>EXHIBIT 31.4</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 OF PRINCIPAL FINANCIAL OFFICER</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PURSUANT TO RULES 13a-14 AND 15d-14</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Valerie A. Bille, certify that:</w:t>
      </w:r>
    </w:p>
    <w:p>
      <w:pPr>
        <w:spacing w:after="0" w:line="252" w:lineRule="exact"/>
        <w:rPr>
          <w:sz w:val="20"/>
          <w:szCs w:val="20"/>
          <w:color w:val="auto"/>
        </w:rPr>
      </w:pPr>
    </w:p>
    <w:p>
      <w:pPr>
        <w:ind w:left="320" w:hanging="312"/>
        <w:spacing w:after="0"/>
        <w:tabs>
          <w:tab w:leader="none" w:pos="32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report on Form 10-Q of San Diego Gas &amp; Electric Company;</w:t>
      </w:r>
    </w:p>
    <w:p>
      <w:pPr>
        <w:spacing w:after="0" w:line="252" w:lineRule="exact"/>
        <w:rPr>
          <w:rFonts w:ascii="Times New Roman" w:cs="Times New Roman" w:eastAsia="Times New Roman" w:hAnsi="Times New Roman"/>
          <w:sz w:val="18"/>
          <w:szCs w:val="18"/>
          <w:color w:val="auto"/>
        </w:rPr>
      </w:pPr>
    </w:p>
    <w:p>
      <w:pPr>
        <w:jc w:val="both"/>
        <w:ind w:left="340" w:right="440" w:hanging="332"/>
        <w:spacing w:after="0" w:line="266" w:lineRule="auto"/>
        <w:tabs>
          <w:tab w:leader="none" w:pos="331"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2" w:lineRule="exact"/>
        <w:rPr>
          <w:rFonts w:ascii="Times New Roman" w:cs="Times New Roman" w:eastAsia="Times New Roman" w:hAnsi="Times New Roman"/>
          <w:sz w:val="18"/>
          <w:szCs w:val="18"/>
          <w:color w:val="auto"/>
        </w:rPr>
      </w:pPr>
    </w:p>
    <w:p>
      <w:pPr>
        <w:ind w:left="340" w:right="420" w:hanging="332"/>
        <w:spacing w:after="0" w:line="282" w:lineRule="auto"/>
        <w:tabs>
          <w:tab w:leader="none" w:pos="331"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8" w:lineRule="exact"/>
        <w:rPr>
          <w:rFonts w:ascii="Times New Roman" w:cs="Times New Roman" w:eastAsia="Times New Roman" w:hAnsi="Times New Roman"/>
          <w:sz w:val="18"/>
          <w:szCs w:val="18"/>
          <w:color w:val="auto"/>
        </w:rPr>
      </w:pPr>
    </w:p>
    <w:p>
      <w:pPr>
        <w:ind w:left="340" w:right="20" w:hanging="332"/>
        <w:spacing w:after="0" w:line="266" w:lineRule="auto"/>
        <w:tabs>
          <w:tab w:leader="none" w:pos="328"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2" w:lineRule="exact"/>
        <w:rPr>
          <w:rFonts w:ascii="Times New Roman" w:cs="Times New Roman" w:eastAsia="Times New Roman" w:hAnsi="Times New Roman"/>
          <w:sz w:val="18"/>
          <w:szCs w:val="18"/>
          <w:color w:val="auto"/>
        </w:rPr>
      </w:pPr>
    </w:p>
    <w:p>
      <w:pPr>
        <w:ind w:left="660" w:right="320" w:hanging="328"/>
        <w:spacing w:after="0" w:line="266" w:lineRule="auto"/>
        <w:tabs>
          <w:tab w:leader="none" w:pos="716" w:val="left"/>
        </w:tabs>
        <w:numPr>
          <w:ilvl w:val="1"/>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2" w:lineRule="exact"/>
        <w:rPr>
          <w:rFonts w:ascii="Times New Roman" w:cs="Times New Roman" w:eastAsia="Times New Roman" w:hAnsi="Times New Roman"/>
          <w:sz w:val="18"/>
          <w:szCs w:val="18"/>
          <w:color w:val="auto"/>
        </w:rPr>
      </w:pPr>
    </w:p>
    <w:p>
      <w:pPr>
        <w:ind w:left="660" w:right="60" w:hanging="328"/>
        <w:spacing w:after="0" w:line="266" w:lineRule="auto"/>
        <w:tabs>
          <w:tab w:leader="none" w:pos="726" w:val="left"/>
        </w:tabs>
        <w:numPr>
          <w:ilvl w:val="1"/>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2" w:lineRule="exact"/>
        <w:rPr>
          <w:rFonts w:ascii="Times New Roman" w:cs="Times New Roman" w:eastAsia="Times New Roman" w:hAnsi="Times New Roman"/>
          <w:sz w:val="18"/>
          <w:szCs w:val="18"/>
          <w:color w:val="auto"/>
        </w:rPr>
      </w:pPr>
    </w:p>
    <w:p>
      <w:pPr>
        <w:jc w:val="both"/>
        <w:ind w:left="660" w:right="820" w:hanging="328"/>
        <w:spacing w:after="0" w:line="312" w:lineRule="auto"/>
        <w:tabs>
          <w:tab w:leader="none" w:pos="716" w:val="left"/>
        </w:tabs>
        <w:numPr>
          <w:ilvl w:val="1"/>
          <w:numId w:val="1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6" w:lineRule="exact"/>
        <w:rPr>
          <w:rFonts w:ascii="Times New Roman" w:cs="Times New Roman" w:eastAsia="Times New Roman" w:hAnsi="Times New Roman"/>
          <w:sz w:val="17"/>
          <w:szCs w:val="17"/>
          <w:color w:val="auto"/>
        </w:rPr>
      </w:pPr>
    </w:p>
    <w:p>
      <w:pPr>
        <w:ind w:left="660" w:right="100" w:hanging="328"/>
        <w:spacing w:after="0" w:line="266" w:lineRule="auto"/>
        <w:tabs>
          <w:tab w:leader="none" w:pos="726" w:val="left"/>
        </w:tabs>
        <w:numPr>
          <w:ilvl w:val="1"/>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2" w:lineRule="exact"/>
        <w:rPr>
          <w:rFonts w:ascii="Times New Roman" w:cs="Times New Roman" w:eastAsia="Times New Roman" w:hAnsi="Times New Roman"/>
          <w:sz w:val="18"/>
          <w:szCs w:val="18"/>
          <w:color w:val="auto"/>
        </w:rPr>
      </w:pPr>
    </w:p>
    <w:p>
      <w:pPr>
        <w:ind w:left="340" w:right="360" w:hanging="332"/>
        <w:spacing w:after="0" w:line="282" w:lineRule="auto"/>
        <w:tabs>
          <w:tab w:leader="none" w:pos="328"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8" w:lineRule="exact"/>
        <w:rPr>
          <w:rFonts w:ascii="Times New Roman" w:cs="Times New Roman" w:eastAsia="Times New Roman" w:hAnsi="Times New Roman"/>
          <w:sz w:val="18"/>
          <w:szCs w:val="18"/>
          <w:color w:val="auto"/>
        </w:rPr>
      </w:pPr>
    </w:p>
    <w:p>
      <w:pPr>
        <w:ind w:left="660" w:right="240" w:hanging="328"/>
        <w:spacing w:after="0" w:line="282" w:lineRule="auto"/>
        <w:tabs>
          <w:tab w:leader="none" w:pos="706" w:val="left"/>
        </w:tabs>
        <w:numPr>
          <w:ilvl w:val="1"/>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8" w:lineRule="exact"/>
        <w:rPr>
          <w:rFonts w:ascii="Times New Roman" w:cs="Times New Roman" w:eastAsia="Times New Roman" w:hAnsi="Times New Roman"/>
          <w:sz w:val="18"/>
          <w:szCs w:val="18"/>
          <w:color w:val="auto"/>
        </w:rPr>
      </w:pPr>
    </w:p>
    <w:p>
      <w:pPr>
        <w:ind w:left="660" w:right="200" w:hanging="328"/>
        <w:spacing w:after="0" w:line="282" w:lineRule="auto"/>
        <w:tabs>
          <w:tab w:leader="none" w:pos="716" w:val="left"/>
        </w:tabs>
        <w:numPr>
          <w:ilvl w:val="1"/>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86" w:lineRule="exact"/>
        <w:rPr>
          <w:sz w:val="20"/>
          <w:szCs w:val="20"/>
          <w:color w:val="auto"/>
        </w:rPr>
      </w:pPr>
    </w:p>
    <w:p>
      <w:pPr>
        <w:ind w:left="4440"/>
        <w:spacing w:after="0"/>
        <w:tabs>
          <w:tab w:leader="none" w:pos="5600" w:val="left"/>
        </w:tabs>
        <w:rPr>
          <w:sz w:val="20"/>
          <w:szCs w:val="20"/>
          <w:color w:val="auto"/>
        </w:rPr>
      </w:pPr>
      <w:r>
        <w:rPr>
          <w:rFonts w:ascii="Times New Roman" w:cs="Times New Roman" w:eastAsia="Times New Roman" w:hAnsi="Times New Roman"/>
          <w:sz w:val="18"/>
          <w:szCs w:val="18"/>
          <w:color w:val="auto"/>
        </w:rPr>
        <w:t>May 7, 2026</w:t>
      </w:r>
      <w:r>
        <w:rPr>
          <w:sz w:val="20"/>
          <w:szCs w:val="20"/>
          <w:color w:val="auto"/>
        </w:rPr>
        <w:tab/>
      </w:r>
      <w:r>
        <w:rPr>
          <w:rFonts w:ascii="Times New Roman" w:cs="Times New Roman" w:eastAsia="Times New Roman" w:hAnsi="Times New Roman"/>
          <w:sz w:val="17"/>
          <w:szCs w:val="17"/>
          <w:color w:val="auto"/>
        </w:rPr>
        <w:t>/s/ Valerie A. Bille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3554095</wp:posOffset>
            </wp:positionH>
            <wp:positionV relativeFrom="paragraph">
              <wp:posOffset>26035</wp:posOffset>
            </wp:positionV>
            <wp:extent cx="2305685" cy="889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41">
                      <a:extLst>
                        <a:ext uri="{28A0092B-C50C-407E-A947-70E740481C1C}"/>
                      </a:extLst>
                    </a:blip>
                    <a:srcRect/>
                    <a:stretch>
                      <a:fillRect/>
                    </a:stretch>
                  </pic:blipFill>
                  <pic:spPr bwMode="auto">
                    <a:xfrm>
                      <a:off x="0" y="0"/>
                      <a:ext cx="2305685" cy="8890"/>
                    </a:xfrm>
                    <a:prstGeom prst="rect">
                      <a:avLst/>
                    </a:prstGeom>
                    <a:noFill/>
                  </pic:spPr>
                </pic:pic>
              </a:graphicData>
            </a:graphic>
          </wp:anchor>
        </w:drawing>
      </w:r>
    </w:p>
    <w:p>
      <w:pPr>
        <w:spacing w:after="0" w:line="30"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Valerie A. Bille</w:t>
      </w:r>
    </w:p>
    <w:p>
      <w:pPr>
        <w:spacing w:after="0" w:line="3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Chief Financial Officer</w:t>
      </w:r>
    </w:p>
    <w:p>
      <w:pPr>
        <w:sectPr>
          <w:pgSz w:w="11900" w:h="16838" w:orient="portrait"/>
          <w:cols w:equalWidth="0" w:num="1">
            <w:col w:w="11240"/>
          </w:cols>
          <w:pgMar w:left="320" w:top="891" w:right="339" w:bottom="1440" w:gutter="0" w:footer="0" w:header="0"/>
        </w:sectPr>
      </w:pPr>
    </w:p>
    <w:bookmarkStart w:id="144" w:name="page145"/>
    <w:bookmarkEnd w:id="144"/>
    <w:p>
      <w:pPr>
        <w:jc w:val="right"/>
        <w:spacing w:after="0"/>
        <w:rPr>
          <w:sz w:val="20"/>
          <w:szCs w:val="20"/>
          <w:color w:val="auto"/>
        </w:rPr>
      </w:pPr>
      <w:r>
        <w:rPr>
          <w:rFonts w:ascii="Times New Roman" w:cs="Times New Roman" w:eastAsia="Times New Roman" w:hAnsi="Times New Roman"/>
          <w:sz w:val="18"/>
          <w:szCs w:val="18"/>
          <w:color w:val="auto"/>
        </w:rPr>
        <w:t>EXHIBIT 31.5</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 OF PRINCIPAL EXECUTIVE OFFICER</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PURSUANT TO RULES 13a-14 AND 15d-14</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Rodger R. Schwecke, certify that:</w:t>
      </w:r>
    </w:p>
    <w:p>
      <w:pPr>
        <w:spacing w:after="0" w:line="252" w:lineRule="exact"/>
        <w:rPr>
          <w:sz w:val="20"/>
          <w:szCs w:val="20"/>
          <w:color w:val="auto"/>
        </w:rPr>
      </w:pPr>
    </w:p>
    <w:p>
      <w:pPr>
        <w:ind w:left="320" w:hanging="312"/>
        <w:spacing w:after="0"/>
        <w:tabs>
          <w:tab w:leader="none" w:pos="320"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report on Form 10-Q of Southern California Gas Company;</w:t>
      </w:r>
    </w:p>
    <w:p>
      <w:pPr>
        <w:spacing w:after="0" w:line="252" w:lineRule="exact"/>
        <w:rPr>
          <w:rFonts w:ascii="Times New Roman" w:cs="Times New Roman" w:eastAsia="Times New Roman" w:hAnsi="Times New Roman"/>
          <w:sz w:val="18"/>
          <w:szCs w:val="18"/>
          <w:color w:val="auto"/>
        </w:rPr>
      </w:pPr>
    </w:p>
    <w:p>
      <w:pPr>
        <w:jc w:val="both"/>
        <w:ind w:left="340" w:right="440" w:hanging="332"/>
        <w:spacing w:after="0" w:line="266" w:lineRule="auto"/>
        <w:tabs>
          <w:tab w:leader="none" w:pos="331"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2" w:lineRule="exact"/>
        <w:rPr>
          <w:rFonts w:ascii="Times New Roman" w:cs="Times New Roman" w:eastAsia="Times New Roman" w:hAnsi="Times New Roman"/>
          <w:sz w:val="18"/>
          <w:szCs w:val="18"/>
          <w:color w:val="auto"/>
        </w:rPr>
      </w:pPr>
    </w:p>
    <w:p>
      <w:pPr>
        <w:ind w:left="340" w:right="420" w:hanging="332"/>
        <w:spacing w:after="0" w:line="282" w:lineRule="auto"/>
        <w:tabs>
          <w:tab w:leader="none" w:pos="331"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8" w:lineRule="exact"/>
        <w:rPr>
          <w:rFonts w:ascii="Times New Roman" w:cs="Times New Roman" w:eastAsia="Times New Roman" w:hAnsi="Times New Roman"/>
          <w:sz w:val="18"/>
          <w:szCs w:val="18"/>
          <w:color w:val="auto"/>
        </w:rPr>
      </w:pPr>
    </w:p>
    <w:p>
      <w:pPr>
        <w:ind w:left="340" w:right="20" w:hanging="332"/>
        <w:spacing w:after="0" w:line="266" w:lineRule="auto"/>
        <w:tabs>
          <w:tab w:leader="none" w:pos="328"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2" w:lineRule="exact"/>
        <w:rPr>
          <w:rFonts w:ascii="Times New Roman" w:cs="Times New Roman" w:eastAsia="Times New Roman" w:hAnsi="Times New Roman"/>
          <w:sz w:val="18"/>
          <w:szCs w:val="18"/>
          <w:color w:val="auto"/>
        </w:rPr>
      </w:pPr>
    </w:p>
    <w:p>
      <w:pPr>
        <w:ind w:left="660" w:right="320" w:hanging="328"/>
        <w:spacing w:after="0" w:line="266" w:lineRule="auto"/>
        <w:tabs>
          <w:tab w:leader="none" w:pos="716" w:val="left"/>
        </w:tabs>
        <w:numPr>
          <w:ilvl w:val="1"/>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2" w:lineRule="exact"/>
        <w:rPr>
          <w:rFonts w:ascii="Times New Roman" w:cs="Times New Roman" w:eastAsia="Times New Roman" w:hAnsi="Times New Roman"/>
          <w:sz w:val="18"/>
          <w:szCs w:val="18"/>
          <w:color w:val="auto"/>
        </w:rPr>
      </w:pPr>
    </w:p>
    <w:p>
      <w:pPr>
        <w:ind w:left="660" w:right="60" w:hanging="328"/>
        <w:spacing w:after="0" w:line="266" w:lineRule="auto"/>
        <w:tabs>
          <w:tab w:leader="none" w:pos="726" w:val="left"/>
        </w:tabs>
        <w:numPr>
          <w:ilvl w:val="1"/>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2" w:lineRule="exact"/>
        <w:rPr>
          <w:rFonts w:ascii="Times New Roman" w:cs="Times New Roman" w:eastAsia="Times New Roman" w:hAnsi="Times New Roman"/>
          <w:sz w:val="18"/>
          <w:szCs w:val="18"/>
          <w:color w:val="auto"/>
        </w:rPr>
      </w:pPr>
    </w:p>
    <w:p>
      <w:pPr>
        <w:jc w:val="both"/>
        <w:ind w:left="660" w:right="820" w:hanging="328"/>
        <w:spacing w:after="0" w:line="312" w:lineRule="auto"/>
        <w:tabs>
          <w:tab w:leader="none" w:pos="716" w:val="left"/>
        </w:tabs>
        <w:numPr>
          <w:ilvl w:val="1"/>
          <w:numId w:val="1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6" w:lineRule="exact"/>
        <w:rPr>
          <w:rFonts w:ascii="Times New Roman" w:cs="Times New Roman" w:eastAsia="Times New Roman" w:hAnsi="Times New Roman"/>
          <w:sz w:val="17"/>
          <w:szCs w:val="17"/>
          <w:color w:val="auto"/>
        </w:rPr>
      </w:pPr>
    </w:p>
    <w:p>
      <w:pPr>
        <w:ind w:left="660" w:right="100" w:hanging="328"/>
        <w:spacing w:after="0" w:line="266" w:lineRule="auto"/>
        <w:tabs>
          <w:tab w:leader="none" w:pos="726" w:val="left"/>
        </w:tabs>
        <w:numPr>
          <w:ilvl w:val="1"/>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2" w:lineRule="exact"/>
        <w:rPr>
          <w:rFonts w:ascii="Times New Roman" w:cs="Times New Roman" w:eastAsia="Times New Roman" w:hAnsi="Times New Roman"/>
          <w:sz w:val="18"/>
          <w:szCs w:val="18"/>
          <w:color w:val="auto"/>
        </w:rPr>
      </w:pPr>
    </w:p>
    <w:p>
      <w:pPr>
        <w:ind w:left="340" w:right="360" w:hanging="332"/>
        <w:spacing w:after="0" w:line="282" w:lineRule="auto"/>
        <w:tabs>
          <w:tab w:leader="none" w:pos="328"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8" w:lineRule="exact"/>
        <w:rPr>
          <w:rFonts w:ascii="Times New Roman" w:cs="Times New Roman" w:eastAsia="Times New Roman" w:hAnsi="Times New Roman"/>
          <w:sz w:val="18"/>
          <w:szCs w:val="18"/>
          <w:color w:val="auto"/>
        </w:rPr>
      </w:pPr>
    </w:p>
    <w:p>
      <w:pPr>
        <w:ind w:left="660" w:right="240" w:hanging="328"/>
        <w:spacing w:after="0" w:line="282" w:lineRule="auto"/>
        <w:tabs>
          <w:tab w:leader="none" w:pos="706" w:val="left"/>
        </w:tabs>
        <w:numPr>
          <w:ilvl w:val="1"/>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8" w:lineRule="exact"/>
        <w:rPr>
          <w:rFonts w:ascii="Times New Roman" w:cs="Times New Roman" w:eastAsia="Times New Roman" w:hAnsi="Times New Roman"/>
          <w:sz w:val="18"/>
          <w:szCs w:val="18"/>
          <w:color w:val="auto"/>
        </w:rPr>
      </w:pPr>
    </w:p>
    <w:p>
      <w:pPr>
        <w:ind w:left="660" w:right="200" w:hanging="328"/>
        <w:spacing w:after="0" w:line="282" w:lineRule="auto"/>
        <w:tabs>
          <w:tab w:leader="none" w:pos="716" w:val="left"/>
        </w:tabs>
        <w:numPr>
          <w:ilvl w:val="1"/>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86" w:lineRule="exact"/>
        <w:rPr>
          <w:sz w:val="20"/>
          <w:szCs w:val="20"/>
          <w:color w:val="auto"/>
        </w:rPr>
      </w:pPr>
    </w:p>
    <w:p>
      <w:pPr>
        <w:ind w:left="4440"/>
        <w:spacing w:after="0"/>
        <w:tabs>
          <w:tab w:leader="none" w:pos="5600" w:val="left"/>
        </w:tabs>
        <w:rPr>
          <w:sz w:val="20"/>
          <w:szCs w:val="20"/>
          <w:color w:val="auto"/>
        </w:rPr>
      </w:pPr>
      <w:r>
        <w:rPr>
          <w:rFonts w:ascii="Times New Roman" w:cs="Times New Roman" w:eastAsia="Times New Roman" w:hAnsi="Times New Roman"/>
          <w:sz w:val="18"/>
          <w:szCs w:val="18"/>
          <w:color w:val="auto"/>
        </w:rPr>
        <w:t>May 7, 2026</w:t>
      </w:r>
      <w:r>
        <w:rPr>
          <w:sz w:val="20"/>
          <w:szCs w:val="20"/>
          <w:color w:val="auto"/>
        </w:rPr>
        <w:tab/>
      </w:r>
      <w:r>
        <w:rPr>
          <w:rFonts w:ascii="Times New Roman" w:cs="Times New Roman" w:eastAsia="Times New Roman" w:hAnsi="Times New Roman"/>
          <w:sz w:val="17"/>
          <w:szCs w:val="17"/>
          <w:color w:val="auto"/>
        </w:rPr>
        <w:t>/s/ Rodger R. Schwecke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3554095</wp:posOffset>
            </wp:positionH>
            <wp:positionV relativeFrom="paragraph">
              <wp:posOffset>26035</wp:posOffset>
            </wp:positionV>
            <wp:extent cx="2305685" cy="889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42">
                      <a:extLst>
                        <a:ext uri="{28A0092B-C50C-407E-A947-70E740481C1C}"/>
                      </a:extLst>
                    </a:blip>
                    <a:srcRect/>
                    <a:stretch>
                      <a:fillRect/>
                    </a:stretch>
                  </pic:blipFill>
                  <pic:spPr bwMode="auto">
                    <a:xfrm>
                      <a:off x="0" y="0"/>
                      <a:ext cx="2305685" cy="8890"/>
                    </a:xfrm>
                    <a:prstGeom prst="rect">
                      <a:avLst/>
                    </a:prstGeom>
                    <a:noFill/>
                  </pic:spPr>
                </pic:pic>
              </a:graphicData>
            </a:graphic>
          </wp:anchor>
        </w:drawing>
      </w:r>
    </w:p>
    <w:p>
      <w:pPr>
        <w:spacing w:after="0" w:line="30"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Rodger R. Schwecke</w:t>
      </w:r>
    </w:p>
    <w:p>
      <w:pPr>
        <w:spacing w:after="0" w:line="3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President</w:t>
      </w:r>
    </w:p>
    <w:p>
      <w:pPr>
        <w:sectPr>
          <w:pgSz w:w="11900" w:h="16838" w:orient="portrait"/>
          <w:cols w:equalWidth="0" w:num="1">
            <w:col w:w="11240"/>
          </w:cols>
          <w:pgMar w:left="320" w:top="891" w:right="339" w:bottom="1440" w:gutter="0" w:footer="0" w:header="0"/>
        </w:sectPr>
      </w:pPr>
    </w:p>
    <w:bookmarkStart w:id="145" w:name="page146"/>
    <w:bookmarkEnd w:id="145"/>
    <w:p>
      <w:pPr>
        <w:jc w:val="right"/>
        <w:spacing w:after="0"/>
        <w:rPr>
          <w:sz w:val="20"/>
          <w:szCs w:val="20"/>
          <w:color w:val="auto"/>
        </w:rPr>
      </w:pPr>
      <w:r>
        <w:rPr>
          <w:rFonts w:ascii="Times New Roman" w:cs="Times New Roman" w:eastAsia="Times New Roman" w:hAnsi="Times New Roman"/>
          <w:sz w:val="18"/>
          <w:szCs w:val="18"/>
          <w:color w:val="auto"/>
        </w:rPr>
        <w:t>EXHIBIT 31.6</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 OF PRINCIPAL FINANCIAL OFFICER</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PURSUANT TO RULES 13a-14 AND 15d-14</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Valerie A. Bille, certify that:</w:t>
      </w:r>
    </w:p>
    <w:p>
      <w:pPr>
        <w:spacing w:after="0" w:line="252" w:lineRule="exact"/>
        <w:rPr>
          <w:sz w:val="20"/>
          <w:szCs w:val="20"/>
          <w:color w:val="auto"/>
        </w:rPr>
      </w:pPr>
    </w:p>
    <w:p>
      <w:pPr>
        <w:ind w:left="320" w:hanging="312"/>
        <w:spacing w:after="0"/>
        <w:tabs>
          <w:tab w:leader="none" w:pos="32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report on Form 10-Q of Southern California Gas Company;</w:t>
      </w:r>
    </w:p>
    <w:p>
      <w:pPr>
        <w:spacing w:after="0" w:line="252" w:lineRule="exact"/>
        <w:rPr>
          <w:rFonts w:ascii="Times New Roman" w:cs="Times New Roman" w:eastAsia="Times New Roman" w:hAnsi="Times New Roman"/>
          <w:sz w:val="18"/>
          <w:szCs w:val="18"/>
          <w:color w:val="auto"/>
        </w:rPr>
      </w:pPr>
    </w:p>
    <w:p>
      <w:pPr>
        <w:jc w:val="both"/>
        <w:ind w:left="340" w:right="440" w:hanging="332"/>
        <w:spacing w:after="0" w:line="266" w:lineRule="auto"/>
        <w:tabs>
          <w:tab w:leader="none" w:pos="331"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2" w:lineRule="exact"/>
        <w:rPr>
          <w:rFonts w:ascii="Times New Roman" w:cs="Times New Roman" w:eastAsia="Times New Roman" w:hAnsi="Times New Roman"/>
          <w:sz w:val="18"/>
          <w:szCs w:val="18"/>
          <w:color w:val="auto"/>
        </w:rPr>
      </w:pPr>
    </w:p>
    <w:p>
      <w:pPr>
        <w:ind w:left="340" w:right="420" w:hanging="332"/>
        <w:spacing w:after="0" w:line="282" w:lineRule="auto"/>
        <w:tabs>
          <w:tab w:leader="none" w:pos="331"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8" w:lineRule="exact"/>
        <w:rPr>
          <w:rFonts w:ascii="Times New Roman" w:cs="Times New Roman" w:eastAsia="Times New Roman" w:hAnsi="Times New Roman"/>
          <w:sz w:val="18"/>
          <w:szCs w:val="18"/>
          <w:color w:val="auto"/>
        </w:rPr>
      </w:pPr>
    </w:p>
    <w:p>
      <w:pPr>
        <w:ind w:left="340" w:right="20" w:hanging="332"/>
        <w:spacing w:after="0" w:line="266" w:lineRule="auto"/>
        <w:tabs>
          <w:tab w:leader="none" w:pos="328"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2" w:lineRule="exact"/>
        <w:rPr>
          <w:rFonts w:ascii="Times New Roman" w:cs="Times New Roman" w:eastAsia="Times New Roman" w:hAnsi="Times New Roman"/>
          <w:sz w:val="18"/>
          <w:szCs w:val="18"/>
          <w:color w:val="auto"/>
        </w:rPr>
      </w:pPr>
    </w:p>
    <w:p>
      <w:pPr>
        <w:ind w:left="660" w:right="320" w:hanging="328"/>
        <w:spacing w:after="0" w:line="266" w:lineRule="auto"/>
        <w:tabs>
          <w:tab w:leader="none" w:pos="716" w:val="left"/>
        </w:tabs>
        <w:numPr>
          <w:ilvl w:val="1"/>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2" w:lineRule="exact"/>
        <w:rPr>
          <w:rFonts w:ascii="Times New Roman" w:cs="Times New Roman" w:eastAsia="Times New Roman" w:hAnsi="Times New Roman"/>
          <w:sz w:val="18"/>
          <w:szCs w:val="18"/>
          <w:color w:val="auto"/>
        </w:rPr>
      </w:pPr>
    </w:p>
    <w:p>
      <w:pPr>
        <w:ind w:left="660" w:right="60" w:hanging="328"/>
        <w:spacing w:after="0" w:line="266" w:lineRule="auto"/>
        <w:tabs>
          <w:tab w:leader="none" w:pos="726" w:val="left"/>
        </w:tabs>
        <w:numPr>
          <w:ilvl w:val="1"/>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2" w:lineRule="exact"/>
        <w:rPr>
          <w:rFonts w:ascii="Times New Roman" w:cs="Times New Roman" w:eastAsia="Times New Roman" w:hAnsi="Times New Roman"/>
          <w:sz w:val="18"/>
          <w:szCs w:val="18"/>
          <w:color w:val="auto"/>
        </w:rPr>
      </w:pPr>
    </w:p>
    <w:p>
      <w:pPr>
        <w:jc w:val="both"/>
        <w:ind w:left="660" w:right="820" w:hanging="328"/>
        <w:spacing w:after="0" w:line="312" w:lineRule="auto"/>
        <w:tabs>
          <w:tab w:leader="none" w:pos="716" w:val="left"/>
        </w:tabs>
        <w:numPr>
          <w:ilvl w:val="1"/>
          <w:numId w:val="1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6" w:lineRule="exact"/>
        <w:rPr>
          <w:rFonts w:ascii="Times New Roman" w:cs="Times New Roman" w:eastAsia="Times New Roman" w:hAnsi="Times New Roman"/>
          <w:sz w:val="17"/>
          <w:szCs w:val="17"/>
          <w:color w:val="auto"/>
        </w:rPr>
      </w:pPr>
    </w:p>
    <w:p>
      <w:pPr>
        <w:ind w:left="660" w:right="100" w:hanging="328"/>
        <w:spacing w:after="0" w:line="266" w:lineRule="auto"/>
        <w:tabs>
          <w:tab w:leader="none" w:pos="726" w:val="left"/>
        </w:tabs>
        <w:numPr>
          <w:ilvl w:val="1"/>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2" w:lineRule="exact"/>
        <w:rPr>
          <w:rFonts w:ascii="Times New Roman" w:cs="Times New Roman" w:eastAsia="Times New Roman" w:hAnsi="Times New Roman"/>
          <w:sz w:val="18"/>
          <w:szCs w:val="18"/>
          <w:color w:val="auto"/>
        </w:rPr>
      </w:pPr>
    </w:p>
    <w:p>
      <w:pPr>
        <w:ind w:left="340" w:right="360" w:hanging="332"/>
        <w:spacing w:after="0" w:line="282" w:lineRule="auto"/>
        <w:tabs>
          <w:tab w:leader="none" w:pos="328"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8" w:lineRule="exact"/>
        <w:rPr>
          <w:rFonts w:ascii="Times New Roman" w:cs="Times New Roman" w:eastAsia="Times New Roman" w:hAnsi="Times New Roman"/>
          <w:sz w:val="18"/>
          <w:szCs w:val="18"/>
          <w:color w:val="auto"/>
        </w:rPr>
      </w:pPr>
    </w:p>
    <w:p>
      <w:pPr>
        <w:ind w:left="660" w:right="240" w:hanging="328"/>
        <w:spacing w:after="0" w:line="282" w:lineRule="auto"/>
        <w:tabs>
          <w:tab w:leader="none" w:pos="706" w:val="left"/>
        </w:tabs>
        <w:numPr>
          <w:ilvl w:val="1"/>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8" w:lineRule="exact"/>
        <w:rPr>
          <w:rFonts w:ascii="Times New Roman" w:cs="Times New Roman" w:eastAsia="Times New Roman" w:hAnsi="Times New Roman"/>
          <w:sz w:val="18"/>
          <w:szCs w:val="18"/>
          <w:color w:val="auto"/>
        </w:rPr>
      </w:pPr>
    </w:p>
    <w:p>
      <w:pPr>
        <w:ind w:left="660" w:right="200" w:hanging="328"/>
        <w:spacing w:after="0" w:line="282" w:lineRule="auto"/>
        <w:tabs>
          <w:tab w:leader="none" w:pos="716" w:val="left"/>
        </w:tabs>
        <w:numPr>
          <w:ilvl w:val="1"/>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86" w:lineRule="exact"/>
        <w:rPr>
          <w:sz w:val="20"/>
          <w:szCs w:val="20"/>
          <w:color w:val="auto"/>
        </w:rPr>
      </w:pPr>
    </w:p>
    <w:p>
      <w:pPr>
        <w:ind w:left="4440"/>
        <w:spacing w:after="0"/>
        <w:tabs>
          <w:tab w:leader="none" w:pos="5600" w:val="left"/>
        </w:tabs>
        <w:rPr>
          <w:sz w:val="20"/>
          <w:szCs w:val="20"/>
          <w:color w:val="auto"/>
        </w:rPr>
      </w:pPr>
      <w:r>
        <w:rPr>
          <w:rFonts w:ascii="Times New Roman" w:cs="Times New Roman" w:eastAsia="Times New Roman" w:hAnsi="Times New Roman"/>
          <w:sz w:val="18"/>
          <w:szCs w:val="18"/>
          <w:color w:val="auto"/>
        </w:rPr>
        <w:t>May 7, 2026</w:t>
      </w:r>
      <w:r>
        <w:rPr>
          <w:sz w:val="20"/>
          <w:szCs w:val="20"/>
          <w:color w:val="auto"/>
        </w:rPr>
        <w:tab/>
      </w:r>
      <w:r>
        <w:rPr>
          <w:rFonts w:ascii="Times New Roman" w:cs="Times New Roman" w:eastAsia="Times New Roman" w:hAnsi="Times New Roman"/>
          <w:sz w:val="17"/>
          <w:szCs w:val="17"/>
          <w:color w:val="auto"/>
        </w:rPr>
        <w:t>/s/ Valerie A. Bille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3554095</wp:posOffset>
            </wp:positionH>
            <wp:positionV relativeFrom="paragraph">
              <wp:posOffset>26035</wp:posOffset>
            </wp:positionV>
            <wp:extent cx="2305685" cy="825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43">
                      <a:extLst>
                        <a:ext uri="{28A0092B-C50C-407E-A947-70E740481C1C}"/>
                      </a:extLst>
                    </a:blip>
                    <a:srcRect/>
                    <a:stretch>
                      <a:fillRect/>
                    </a:stretch>
                  </pic:blipFill>
                  <pic:spPr bwMode="auto">
                    <a:xfrm>
                      <a:off x="0" y="0"/>
                      <a:ext cx="2305685" cy="8255"/>
                    </a:xfrm>
                    <a:prstGeom prst="rect">
                      <a:avLst/>
                    </a:prstGeom>
                    <a:noFill/>
                  </pic:spPr>
                </pic:pic>
              </a:graphicData>
            </a:graphic>
          </wp:anchor>
        </w:drawing>
      </w:r>
    </w:p>
    <w:p>
      <w:pPr>
        <w:spacing w:after="0" w:line="30"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Valerie A. Bille</w:t>
      </w:r>
    </w:p>
    <w:p>
      <w:pPr>
        <w:spacing w:after="0" w:line="3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Chief Financial Officer</w:t>
      </w:r>
    </w:p>
    <w:p>
      <w:pPr>
        <w:sectPr>
          <w:pgSz w:w="11900" w:h="16838" w:orient="portrait"/>
          <w:cols w:equalWidth="0" w:num="1">
            <w:col w:w="11240"/>
          </w:cols>
          <w:pgMar w:left="320" w:top="891" w:right="339" w:bottom="1440" w:gutter="0" w:footer="0" w:header="0"/>
        </w:sectPr>
      </w:pPr>
    </w:p>
    <w:bookmarkStart w:id="146" w:name="page147"/>
    <w:bookmarkEnd w:id="146"/>
    <w:p>
      <w:pPr>
        <w:jc w:val="right"/>
        <w:spacing w:after="0"/>
        <w:rPr>
          <w:sz w:val="20"/>
          <w:szCs w:val="20"/>
          <w:color w:val="auto"/>
        </w:rPr>
      </w:pPr>
      <w:r>
        <w:rPr>
          <w:rFonts w:ascii="Times New Roman" w:cs="Times New Roman" w:eastAsia="Times New Roman" w:hAnsi="Times New Roman"/>
          <w:sz w:val="18"/>
          <w:szCs w:val="18"/>
          <w:color w:val="auto"/>
        </w:rPr>
        <w:t>Exhibit 32.1</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 OF PRINCIPAL EXECUTIVE OFFICER</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PURSUANT TO 18 U.S.C. SECTION 1350</w:t>
      </w:r>
    </w:p>
    <w:p>
      <w:pPr>
        <w:spacing w:after="0" w:line="234"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Pursuant to 18 U.S.C. Sec 1350, as created by Section 906 of the Sarbanes-Oxley Act of 2002, the undersigned principal executive officer of Sempra (the "Company") certifies that:</w:t>
      </w:r>
    </w:p>
    <w:p>
      <w:pPr>
        <w:spacing w:after="0" w:line="189" w:lineRule="exact"/>
        <w:rPr>
          <w:sz w:val="20"/>
          <w:szCs w:val="20"/>
          <w:color w:val="auto"/>
        </w:rPr>
      </w:pPr>
    </w:p>
    <w:p>
      <w:pPr>
        <w:ind w:left="660" w:right="180" w:hanging="328"/>
        <w:spacing w:after="0" w:line="266" w:lineRule="auto"/>
        <w:tabs>
          <w:tab w:leader="none" w:pos="654"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Quarterly Report on Form 10-Q of the Company filed with the Securities and Exchange Commission for the quarter ended March 31, 2026 (the "Quarterly Report") fully complies with the requirements of Section 13(a) or Section 15(d), as applicable, of the Securities Exchange Act of 1934, as amended; and</w:t>
      </w:r>
    </w:p>
    <w:p>
      <w:pPr>
        <w:spacing w:after="0" w:line="202" w:lineRule="exact"/>
        <w:rPr>
          <w:rFonts w:ascii="Times New Roman" w:cs="Times New Roman" w:eastAsia="Times New Roman" w:hAnsi="Times New Roman"/>
          <w:sz w:val="18"/>
          <w:szCs w:val="18"/>
          <w:color w:val="auto"/>
        </w:rPr>
      </w:pPr>
    </w:p>
    <w:p>
      <w:pPr>
        <w:ind w:left="660" w:right="260" w:hanging="328"/>
        <w:spacing w:after="0" w:line="282" w:lineRule="auto"/>
        <w:tabs>
          <w:tab w:leader="none" w:pos="650"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Quarterly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4440"/>
        <w:spacing w:after="0"/>
        <w:tabs>
          <w:tab w:leader="none" w:pos="5600" w:val="left"/>
        </w:tabs>
        <w:rPr>
          <w:sz w:val="20"/>
          <w:szCs w:val="20"/>
          <w:color w:val="auto"/>
        </w:rPr>
      </w:pPr>
      <w:r>
        <w:rPr>
          <w:rFonts w:ascii="Times New Roman" w:cs="Times New Roman" w:eastAsia="Times New Roman" w:hAnsi="Times New Roman"/>
          <w:sz w:val="18"/>
          <w:szCs w:val="18"/>
          <w:color w:val="auto"/>
        </w:rPr>
        <w:t>May 7, 2026</w:t>
      </w:r>
      <w:r>
        <w:rPr>
          <w:sz w:val="20"/>
          <w:szCs w:val="20"/>
          <w:color w:val="auto"/>
        </w:rPr>
        <w:tab/>
      </w:r>
      <w:r>
        <w:rPr>
          <w:rFonts w:ascii="Times New Roman" w:cs="Times New Roman" w:eastAsia="Times New Roman" w:hAnsi="Times New Roman"/>
          <w:sz w:val="17"/>
          <w:szCs w:val="17"/>
          <w:color w:val="auto"/>
        </w:rPr>
        <w:t>/s/ J. Walker Martin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3554095</wp:posOffset>
            </wp:positionH>
            <wp:positionV relativeFrom="paragraph">
              <wp:posOffset>26035</wp:posOffset>
            </wp:positionV>
            <wp:extent cx="2305685" cy="889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44">
                      <a:extLst>
                        <a:ext uri="{28A0092B-C50C-407E-A947-70E740481C1C}"/>
                      </a:extLst>
                    </a:blip>
                    <a:srcRect/>
                    <a:stretch>
                      <a:fillRect/>
                    </a:stretch>
                  </pic:blipFill>
                  <pic:spPr bwMode="auto">
                    <a:xfrm>
                      <a:off x="0" y="0"/>
                      <a:ext cx="2305685" cy="8890"/>
                    </a:xfrm>
                    <a:prstGeom prst="rect">
                      <a:avLst/>
                    </a:prstGeom>
                    <a:noFill/>
                  </pic:spPr>
                </pic:pic>
              </a:graphicData>
            </a:graphic>
          </wp:anchor>
        </w:drawing>
      </w:r>
    </w:p>
    <w:p>
      <w:pPr>
        <w:spacing w:after="0" w:line="30"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J. Walker Martin</w:t>
      </w:r>
    </w:p>
    <w:p>
      <w:pPr>
        <w:spacing w:after="0" w:line="3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Chief Executive Officer</w:t>
      </w:r>
    </w:p>
    <w:p>
      <w:pPr>
        <w:sectPr>
          <w:pgSz w:w="11900" w:h="16838" w:orient="portrait"/>
          <w:cols w:equalWidth="0" w:num="1">
            <w:col w:w="11240"/>
          </w:cols>
          <w:pgMar w:left="320" w:top="891" w:right="339" w:bottom="1440" w:gutter="0" w:footer="0" w:header="0"/>
        </w:sectPr>
      </w:pPr>
    </w:p>
    <w:bookmarkStart w:id="147" w:name="page148"/>
    <w:bookmarkEnd w:id="147"/>
    <w:p>
      <w:pPr>
        <w:jc w:val="right"/>
        <w:spacing w:after="0"/>
        <w:rPr>
          <w:sz w:val="20"/>
          <w:szCs w:val="20"/>
          <w:color w:val="auto"/>
        </w:rPr>
      </w:pPr>
      <w:r>
        <w:rPr>
          <w:rFonts w:ascii="Times New Roman" w:cs="Times New Roman" w:eastAsia="Times New Roman" w:hAnsi="Times New Roman"/>
          <w:sz w:val="18"/>
          <w:szCs w:val="18"/>
          <w:color w:val="auto"/>
        </w:rPr>
        <w:t>Exhibit 32.2</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 OF PRINCIPAL FINANCIAL OFFICER</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PURSUANT TO 18 U.S.C. SECTION 1350</w:t>
      </w:r>
    </w:p>
    <w:p>
      <w:pPr>
        <w:spacing w:after="0" w:line="234"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Pursuant to 18 U.S.C. Sec 1350, as created by Section 906 of the Sarbanes-Oxley Act of 2002, the undersigned principal financial officer of Sempra (the "Company") certifies that:</w:t>
      </w:r>
    </w:p>
    <w:p>
      <w:pPr>
        <w:spacing w:after="0" w:line="189" w:lineRule="exact"/>
        <w:rPr>
          <w:sz w:val="20"/>
          <w:szCs w:val="20"/>
          <w:color w:val="auto"/>
        </w:rPr>
      </w:pPr>
    </w:p>
    <w:p>
      <w:pPr>
        <w:ind w:left="660" w:right="180" w:hanging="328"/>
        <w:spacing w:after="0" w:line="266" w:lineRule="auto"/>
        <w:tabs>
          <w:tab w:leader="none" w:pos="654"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Quarterly Report on Form 10-Q of the Company filed with the Securities and Exchange Commission for the quarter ended March 31, 2026 (the "Quarterly Report") fully complies with the requirements of Section 13(a) or Section 15(d), as applicable, of the Securities Exchange Act of 1934, as amended; and</w:t>
      </w:r>
    </w:p>
    <w:p>
      <w:pPr>
        <w:spacing w:after="0" w:line="202" w:lineRule="exact"/>
        <w:rPr>
          <w:rFonts w:ascii="Times New Roman" w:cs="Times New Roman" w:eastAsia="Times New Roman" w:hAnsi="Times New Roman"/>
          <w:sz w:val="18"/>
          <w:szCs w:val="18"/>
          <w:color w:val="auto"/>
        </w:rPr>
      </w:pPr>
    </w:p>
    <w:p>
      <w:pPr>
        <w:ind w:left="660" w:right="260" w:hanging="328"/>
        <w:spacing w:after="0" w:line="282" w:lineRule="auto"/>
        <w:tabs>
          <w:tab w:leader="none" w:pos="650"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Quarterly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4440"/>
        <w:spacing w:after="0"/>
        <w:tabs>
          <w:tab w:leader="none" w:pos="5600" w:val="left"/>
        </w:tabs>
        <w:rPr>
          <w:sz w:val="20"/>
          <w:szCs w:val="20"/>
          <w:color w:val="auto"/>
        </w:rPr>
      </w:pPr>
      <w:r>
        <w:rPr>
          <w:rFonts w:ascii="Times New Roman" w:cs="Times New Roman" w:eastAsia="Times New Roman" w:hAnsi="Times New Roman"/>
          <w:sz w:val="18"/>
          <w:szCs w:val="18"/>
          <w:color w:val="auto"/>
        </w:rPr>
        <w:t>May 7, 2026</w:t>
      </w:r>
      <w:r>
        <w:rPr>
          <w:sz w:val="20"/>
          <w:szCs w:val="20"/>
          <w:color w:val="auto"/>
        </w:rPr>
        <w:tab/>
      </w:r>
      <w:r>
        <w:rPr>
          <w:rFonts w:ascii="Times New Roman" w:cs="Times New Roman" w:eastAsia="Times New Roman" w:hAnsi="Times New Roman"/>
          <w:sz w:val="17"/>
          <w:szCs w:val="17"/>
          <w:color w:val="auto"/>
        </w:rPr>
        <w:t>/s/ Karen L. Sedgwick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3554095</wp:posOffset>
            </wp:positionH>
            <wp:positionV relativeFrom="paragraph">
              <wp:posOffset>26035</wp:posOffset>
            </wp:positionV>
            <wp:extent cx="2305685" cy="889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45">
                      <a:extLst>
                        <a:ext uri="{28A0092B-C50C-407E-A947-70E740481C1C}"/>
                      </a:extLst>
                    </a:blip>
                    <a:srcRect/>
                    <a:stretch>
                      <a:fillRect/>
                    </a:stretch>
                  </pic:blipFill>
                  <pic:spPr bwMode="auto">
                    <a:xfrm>
                      <a:off x="0" y="0"/>
                      <a:ext cx="2305685" cy="8890"/>
                    </a:xfrm>
                    <a:prstGeom prst="rect">
                      <a:avLst/>
                    </a:prstGeom>
                    <a:noFill/>
                  </pic:spPr>
                </pic:pic>
              </a:graphicData>
            </a:graphic>
          </wp:anchor>
        </w:drawing>
      </w:r>
    </w:p>
    <w:p>
      <w:pPr>
        <w:spacing w:after="0" w:line="30"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Karen L. Sedgwick</w:t>
      </w:r>
    </w:p>
    <w:p>
      <w:pPr>
        <w:spacing w:after="0" w:line="3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Chief Financial Officer</w:t>
      </w:r>
    </w:p>
    <w:p>
      <w:pPr>
        <w:sectPr>
          <w:pgSz w:w="11900" w:h="16838" w:orient="portrait"/>
          <w:cols w:equalWidth="0" w:num="1">
            <w:col w:w="11240"/>
          </w:cols>
          <w:pgMar w:left="320" w:top="891" w:right="339" w:bottom="1440" w:gutter="0" w:footer="0" w:header="0"/>
        </w:sectPr>
      </w:pPr>
    </w:p>
    <w:bookmarkStart w:id="148" w:name="page149"/>
    <w:bookmarkEnd w:id="148"/>
    <w:p>
      <w:pPr>
        <w:jc w:val="right"/>
        <w:spacing w:after="0"/>
        <w:rPr>
          <w:sz w:val="20"/>
          <w:szCs w:val="20"/>
          <w:color w:val="auto"/>
        </w:rPr>
      </w:pPr>
      <w:r>
        <w:rPr>
          <w:rFonts w:ascii="Times New Roman" w:cs="Times New Roman" w:eastAsia="Times New Roman" w:hAnsi="Times New Roman"/>
          <w:sz w:val="18"/>
          <w:szCs w:val="18"/>
          <w:color w:val="auto"/>
        </w:rPr>
        <w:t>Exhibit 32.3</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 OF PRINCIPAL EXECUTIVE OFFICER</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PURSUANT TO 18 U.S.C. SECTION 1350</w:t>
      </w:r>
    </w:p>
    <w:p>
      <w:pPr>
        <w:spacing w:after="0" w:line="234"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Pursuant to 18 U.S.C. Sec 1350, as created by Section 906 of the Sarbanes-Oxley Act of 2002, the undersigned principal executive officer of San Diego Gas &amp; Electric Company (the "Company") certifies that:</w:t>
      </w:r>
    </w:p>
    <w:p>
      <w:pPr>
        <w:spacing w:after="0" w:line="189" w:lineRule="exact"/>
        <w:rPr>
          <w:sz w:val="20"/>
          <w:szCs w:val="20"/>
          <w:color w:val="auto"/>
        </w:rPr>
      </w:pPr>
    </w:p>
    <w:p>
      <w:pPr>
        <w:ind w:left="660" w:right="180" w:hanging="328"/>
        <w:spacing w:after="0" w:line="266" w:lineRule="auto"/>
        <w:tabs>
          <w:tab w:leader="none" w:pos="654"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Quarterly Report on Form 10-Q of the Company filed with the Securities and Exchange Commission for the quarter ended March 31, 2026 (the "Quarterly Report") fully complies with the requirements of Section 13(a) or Section 15(d), as applicable, of the Securities Exchange Act of 1934, as amended; and</w:t>
      </w:r>
    </w:p>
    <w:p>
      <w:pPr>
        <w:spacing w:after="0" w:line="202" w:lineRule="exact"/>
        <w:rPr>
          <w:rFonts w:ascii="Times New Roman" w:cs="Times New Roman" w:eastAsia="Times New Roman" w:hAnsi="Times New Roman"/>
          <w:sz w:val="18"/>
          <w:szCs w:val="18"/>
          <w:color w:val="auto"/>
        </w:rPr>
      </w:pPr>
    </w:p>
    <w:p>
      <w:pPr>
        <w:ind w:left="660" w:right="260" w:hanging="328"/>
        <w:spacing w:after="0" w:line="282" w:lineRule="auto"/>
        <w:tabs>
          <w:tab w:leader="none" w:pos="650"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Quarterly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4440"/>
        <w:spacing w:after="0"/>
        <w:tabs>
          <w:tab w:leader="none" w:pos="5600" w:val="left"/>
        </w:tabs>
        <w:rPr>
          <w:sz w:val="20"/>
          <w:szCs w:val="20"/>
          <w:color w:val="auto"/>
        </w:rPr>
      </w:pPr>
      <w:r>
        <w:rPr>
          <w:rFonts w:ascii="Times New Roman" w:cs="Times New Roman" w:eastAsia="Times New Roman" w:hAnsi="Times New Roman"/>
          <w:sz w:val="18"/>
          <w:szCs w:val="18"/>
          <w:color w:val="auto"/>
        </w:rPr>
        <w:t>May 7, 2026</w:t>
      </w:r>
      <w:r>
        <w:rPr>
          <w:sz w:val="20"/>
          <w:szCs w:val="20"/>
          <w:color w:val="auto"/>
        </w:rPr>
        <w:tab/>
      </w:r>
      <w:r>
        <w:rPr>
          <w:rFonts w:ascii="Times New Roman" w:cs="Times New Roman" w:eastAsia="Times New Roman" w:hAnsi="Times New Roman"/>
          <w:sz w:val="17"/>
          <w:szCs w:val="17"/>
          <w:color w:val="auto"/>
        </w:rPr>
        <w:t>/s/ Scott B. Crider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3554095</wp:posOffset>
            </wp:positionH>
            <wp:positionV relativeFrom="paragraph">
              <wp:posOffset>26035</wp:posOffset>
            </wp:positionV>
            <wp:extent cx="2305685" cy="889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46">
                      <a:extLst>
                        <a:ext uri="{28A0092B-C50C-407E-A947-70E740481C1C}"/>
                      </a:extLst>
                    </a:blip>
                    <a:srcRect/>
                    <a:stretch>
                      <a:fillRect/>
                    </a:stretch>
                  </pic:blipFill>
                  <pic:spPr bwMode="auto">
                    <a:xfrm>
                      <a:off x="0" y="0"/>
                      <a:ext cx="2305685" cy="8890"/>
                    </a:xfrm>
                    <a:prstGeom prst="rect">
                      <a:avLst/>
                    </a:prstGeom>
                    <a:noFill/>
                  </pic:spPr>
                </pic:pic>
              </a:graphicData>
            </a:graphic>
          </wp:anchor>
        </w:drawing>
      </w:r>
    </w:p>
    <w:p>
      <w:pPr>
        <w:spacing w:after="0" w:line="30"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Scott B. Crider</w:t>
      </w:r>
    </w:p>
    <w:p>
      <w:pPr>
        <w:spacing w:after="0" w:line="3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President</w:t>
      </w:r>
    </w:p>
    <w:p>
      <w:pPr>
        <w:sectPr>
          <w:pgSz w:w="11900" w:h="16838" w:orient="portrait"/>
          <w:cols w:equalWidth="0" w:num="1">
            <w:col w:w="11240"/>
          </w:cols>
          <w:pgMar w:left="320" w:top="891" w:right="339" w:bottom="1440" w:gutter="0" w:footer="0" w:header="0"/>
        </w:sectPr>
      </w:pPr>
    </w:p>
    <w:bookmarkStart w:id="149" w:name="page150"/>
    <w:bookmarkEnd w:id="149"/>
    <w:p>
      <w:pPr>
        <w:jc w:val="right"/>
        <w:spacing w:after="0"/>
        <w:rPr>
          <w:sz w:val="20"/>
          <w:szCs w:val="20"/>
          <w:color w:val="auto"/>
        </w:rPr>
      </w:pPr>
      <w:r>
        <w:rPr>
          <w:rFonts w:ascii="Times New Roman" w:cs="Times New Roman" w:eastAsia="Times New Roman" w:hAnsi="Times New Roman"/>
          <w:sz w:val="18"/>
          <w:szCs w:val="18"/>
          <w:color w:val="auto"/>
        </w:rPr>
        <w:t>Exhibit 32.4</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 OF PRINCIPAL FINANCIAL OFFICER</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PURSUANT TO 18 U.S.C. SECTION 1350</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Pursuant to 18 U.S.C. Sec 1350, as created by Section 906 of the Sarbanes-Oxley Act of 2002, the undersigned principal financial officer of San Diego Gas</w:t>
      </w:r>
    </w:p>
    <w:p>
      <w:pPr>
        <w:spacing w:after="0" w:line="27" w:lineRule="exact"/>
        <w:rPr>
          <w:sz w:val="20"/>
          <w:szCs w:val="20"/>
          <w:color w:val="auto"/>
        </w:rPr>
      </w:pPr>
    </w:p>
    <w:p>
      <w:pPr>
        <w:ind w:left="200" w:hanging="192"/>
        <w:spacing w:after="0"/>
        <w:tabs>
          <w:tab w:leader="none" w:pos="200"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Electric Company (the "Company") certifies that:</w:t>
      </w:r>
    </w:p>
    <w:p>
      <w:pPr>
        <w:spacing w:after="0" w:line="233" w:lineRule="exact"/>
        <w:rPr>
          <w:rFonts w:ascii="Times New Roman" w:cs="Times New Roman" w:eastAsia="Times New Roman" w:hAnsi="Times New Roman"/>
          <w:sz w:val="18"/>
          <w:szCs w:val="18"/>
          <w:color w:val="auto"/>
        </w:rPr>
      </w:pPr>
    </w:p>
    <w:p>
      <w:pPr>
        <w:ind w:left="660" w:right="180" w:hanging="328"/>
        <w:spacing w:after="0" w:line="266" w:lineRule="auto"/>
        <w:tabs>
          <w:tab w:leader="none" w:pos="654" w:val="left"/>
        </w:tabs>
        <w:numPr>
          <w:ilvl w:val="1"/>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Quarterly Report on Form 10-Q of the Company filed with the Securities and Exchange Commission for the quarter ended March 31, 2026 (the "Quarterly Report") fully complies with the requirements of Section 13(a) or Section 15(d), as applicable, of the Securities Exchange Act of 1934, as amended; and</w:t>
      </w:r>
    </w:p>
    <w:p>
      <w:pPr>
        <w:spacing w:after="0" w:line="202" w:lineRule="exact"/>
        <w:rPr>
          <w:rFonts w:ascii="Times New Roman" w:cs="Times New Roman" w:eastAsia="Times New Roman" w:hAnsi="Times New Roman"/>
          <w:sz w:val="18"/>
          <w:szCs w:val="18"/>
          <w:color w:val="auto"/>
        </w:rPr>
      </w:pPr>
    </w:p>
    <w:p>
      <w:pPr>
        <w:ind w:left="660" w:right="260" w:hanging="328"/>
        <w:spacing w:after="0" w:line="282" w:lineRule="auto"/>
        <w:tabs>
          <w:tab w:leader="none" w:pos="650" w:val="left"/>
        </w:tabs>
        <w:numPr>
          <w:ilvl w:val="1"/>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Quarterly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4440"/>
        <w:spacing w:after="0"/>
        <w:tabs>
          <w:tab w:leader="none" w:pos="5600" w:val="left"/>
        </w:tabs>
        <w:rPr>
          <w:sz w:val="20"/>
          <w:szCs w:val="20"/>
          <w:color w:val="auto"/>
        </w:rPr>
      </w:pPr>
      <w:r>
        <w:rPr>
          <w:rFonts w:ascii="Times New Roman" w:cs="Times New Roman" w:eastAsia="Times New Roman" w:hAnsi="Times New Roman"/>
          <w:sz w:val="18"/>
          <w:szCs w:val="18"/>
          <w:color w:val="auto"/>
        </w:rPr>
        <w:t>May 7, 2026</w:t>
      </w:r>
      <w:r>
        <w:rPr>
          <w:sz w:val="20"/>
          <w:szCs w:val="20"/>
          <w:color w:val="auto"/>
        </w:rPr>
        <w:tab/>
      </w:r>
      <w:r>
        <w:rPr>
          <w:rFonts w:ascii="Times New Roman" w:cs="Times New Roman" w:eastAsia="Times New Roman" w:hAnsi="Times New Roman"/>
          <w:sz w:val="17"/>
          <w:szCs w:val="17"/>
          <w:color w:val="auto"/>
        </w:rPr>
        <w:t>/s/ Valerie A. Bille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3554095</wp:posOffset>
            </wp:positionH>
            <wp:positionV relativeFrom="paragraph">
              <wp:posOffset>26035</wp:posOffset>
            </wp:positionV>
            <wp:extent cx="2305685" cy="889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47">
                      <a:extLst>
                        <a:ext uri="{28A0092B-C50C-407E-A947-70E740481C1C}"/>
                      </a:extLst>
                    </a:blip>
                    <a:srcRect/>
                    <a:stretch>
                      <a:fillRect/>
                    </a:stretch>
                  </pic:blipFill>
                  <pic:spPr bwMode="auto">
                    <a:xfrm>
                      <a:off x="0" y="0"/>
                      <a:ext cx="2305685" cy="8890"/>
                    </a:xfrm>
                    <a:prstGeom prst="rect">
                      <a:avLst/>
                    </a:prstGeom>
                    <a:noFill/>
                  </pic:spPr>
                </pic:pic>
              </a:graphicData>
            </a:graphic>
          </wp:anchor>
        </w:drawing>
      </w:r>
    </w:p>
    <w:p>
      <w:pPr>
        <w:spacing w:after="0" w:line="30"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Valerie A. Bille</w:t>
      </w:r>
    </w:p>
    <w:p>
      <w:pPr>
        <w:spacing w:after="0" w:line="3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Chief Financial Officer</w:t>
      </w:r>
    </w:p>
    <w:p>
      <w:pPr>
        <w:sectPr>
          <w:pgSz w:w="11900" w:h="16838" w:orient="portrait"/>
          <w:cols w:equalWidth="0" w:num="1">
            <w:col w:w="11240"/>
          </w:cols>
          <w:pgMar w:left="320" w:top="891" w:right="339" w:bottom="1440" w:gutter="0" w:footer="0" w:header="0"/>
        </w:sectPr>
      </w:pPr>
    </w:p>
    <w:bookmarkStart w:id="150" w:name="page151"/>
    <w:bookmarkEnd w:id="150"/>
    <w:p>
      <w:pPr>
        <w:jc w:val="right"/>
        <w:spacing w:after="0"/>
        <w:rPr>
          <w:sz w:val="20"/>
          <w:szCs w:val="20"/>
          <w:color w:val="auto"/>
        </w:rPr>
      </w:pPr>
      <w:r>
        <w:rPr>
          <w:rFonts w:ascii="Times New Roman" w:cs="Times New Roman" w:eastAsia="Times New Roman" w:hAnsi="Times New Roman"/>
          <w:sz w:val="18"/>
          <w:szCs w:val="18"/>
          <w:color w:val="auto"/>
        </w:rPr>
        <w:t>Exhibit 32.5</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 OF PRINCIPAL EXECUTIVE OFFICER</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PURSUANT TO 18 U.S.C. SECTION 1350</w:t>
      </w:r>
    </w:p>
    <w:p>
      <w:pPr>
        <w:spacing w:after="0" w:line="234"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Pursuant to 18 U.S.C. Sec 1350, as created by Section 906 of the Sarbanes-Oxley Act of 2002, the undersigned principal executive officer of Southern California Gas Company (the "Company") certifies that:</w:t>
      </w:r>
    </w:p>
    <w:p>
      <w:pPr>
        <w:spacing w:after="0" w:line="189" w:lineRule="exact"/>
        <w:rPr>
          <w:sz w:val="20"/>
          <w:szCs w:val="20"/>
          <w:color w:val="auto"/>
        </w:rPr>
      </w:pPr>
    </w:p>
    <w:p>
      <w:pPr>
        <w:ind w:left="660" w:right="180" w:hanging="328"/>
        <w:spacing w:after="0" w:line="266" w:lineRule="auto"/>
        <w:tabs>
          <w:tab w:leader="none" w:pos="654"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Quarterly Report on Form 10-Q of the Company filed with the Securities and Exchange Commission for the quarter ended March 31, 2026 (the "Quarterly Report") fully complies with the requirements of Section 13(a) or Section 15(d), as applicable, of the Securities Exchange Act of 1934, as amended; and</w:t>
      </w:r>
    </w:p>
    <w:p>
      <w:pPr>
        <w:spacing w:after="0" w:line="202" w:lineRule="exact"/>
        <w:rPr>
          <w:rFonts w:ascii="Times New Roman" w:cs="Times New Roman" w:eastAsia="Times New Roman" w:hAnsi="Times New Roman"/>
          <w:sz w:val="18"/>
          <w:szCs w:val="18"/>
          <w:color w:val="auto"/>
        </w:rPr>
      </w:pPr>
    </w:p>
    <w:p>
      <w:pPr>
        <w:ind w:left="660" w:right="260" w:hanging="328"/>
        <w:spacing w:after="0" w:line="282" w:lineRule="auto"/>
        <w:tabs>
          <w:tab w:leader="none" w:pos="650"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Quarterly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4440"/>
        <w:spacing w:after="0"/>
        <w:tabs>
          <w:tab w:leader="none" w:pos="5600" w:val="left"/>
        </w:tabs>
        <w:rPr>
          <w:sz w:val="20"/>
          <w:szCs w:val="20"/>
          <w:color w:val="auto"/>
        </w:rPr>
      </w:pPr>
      <w:r>
        <w:rPr>
          <w:rFonts w:ascii="Times New Roman" w:cs="Times New Roman" w:eastAsia="Times New Roman" w:hAnsi="Times New Roman"/>
          <w:sz w:val="18"/>
          <w:szCs w:val="18"/>
          <w:color w:val="auto"/>
        </w:rPr>
        <w:t>May 7, 2026</w:t>
      </w:r>
      <w:r>
        <w:rPr>
          <w:sz w:val="20"/>
          <w:szCs w:val="20"/>
          <w:color w:val="auto"/>
        </w:rPr>
        <w:tab/>
      </w:r>
      <w:r>
        <w:rPr>
          <w:rFonts w:ascii="Times New Roman" w:cs="Times New Roman" w:eastAsia="Times New Roman" w:hAnsi="Times New Roman"/>
          <w:sz w:val="17"/>
          <w:szCs w:val="17"/>
          <w:color w:val="auto"/>
        </w:rPr>
        <w:t>/s/ Rodger R. Schwecke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3554095</wp:posOffset>
            </wp:positionH>
            <wp:positionV relativeFrom="paragraph">
              <wp:posOffset>26035</wp:posOffset>
            </wp:positionV>
            <wp:extent cx="2305685" cy="889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48">
                      <a:extLst>
                        <a:ext uri="{28A0092B-C50C-407E-A947-70E740481C1C}"/>
                      </a:extLst>
                    </a:blip>
                    <a:srcRect/>
                    <a:stretch>
                      <a:fillRect/>
                    </a:stretch>
                  </pic:blipFill>
                  <pic:spPr bwMode="auto">
                    <a:xfrm>
                      <a:off x="0" y="0"/>
                      <a:ext cx="2305685" cy="8890"/>
                    </a:xfrm>
                    <a:prstGeom prst="rect">
                      <a:avLst/>
                    </a:prstGeom>
                    <a:noFill/>
                  </pic:spPr>
                </pic:pic>
              </a:graphicData>
            </a:graphic>
          </wp:anchor>
        </w:drawing>
      </w:r>
    </w:p>
    <w:p>
      <w:pPr>
        <w:spacing w:after="0" w:line="30"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Rodger R. Schwecke</w:t>
      </w:r>
    </w:p>
    <w:p>
      <w:pPr>
        <w:spacing w:after="0" w:line="3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President</w:t>
      </w:r>
    </w:p>
    <w:p>
      <w:pPr>
        <w:sectPr>
          <w:pgSz w:w="11900" w:h="16838" w:orient="portrait"/>
          <w:cols w:equalWidth="0" w:num="1">
            <w:col w:w="11240"/>
          </w:cols>
          <w:pgMar w:left="320" w:top="891" w:right="339" w:bottom="1440" w:gutter="0" w:footer="0" w:header="0"/>
        </w:sectPr>
      </w:pPr>
    </w:p>
    <w:bookmarkStart w:id="151" w:name="page152"/>
    <w:bookmarkEnd w:id="151"/>
    <w:p>
      <w:pPr>
        <w:jc w:val="right"/>
        <w:spacing w:after="0"/>
        <w:rPr>
          <w:sz w:val="20"/>
          <w:szCs w:val="20"/>
          <w:color w:val="auto"/>
        </w:rPr>
      </w:pPr>
      <w:r>
        <w:rPr>
          <w:rFonts w:ascii="Times New Roman" w:cs="Times New Roman" w:eastAsia="Times New Roman" w:hAnsi="Times New Roman"/>
          <w:sz w:val="18"/>
          <w:szCs w:val="18"/>
          <w:color w:val="auto"/>
        </w:rPr>
        <w:t>Exhibit 32.6</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 OF PRINCIPAL FINANCIAL OFFICER</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PURSUANT TO 18 U.S.C. SECTION 1350</w:t>
      </w:r>
    </w:p>
    <w:p>
      <w:pPr>
        <w:spacing w:after="0" w:line="234"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Pursuant to 18 U.S.C. Sec 1350, as created by Section 906 of the Sarbanes-Oxley Act of 2002, the undersigned principal financial officer of Southern California Gas Company (the "Company") certifies that:</w:t>
      </w:r>
    </w:p>
    <w:p>
      <w:pPr>
        <w:spacing w:after="0" w:line="189" w:lineRule="exact"/>
        <w:rPr>
          <w:sz w:val="20"/>
          <w:szCs w:val="20"/>
          <w:color w:val="auto"/>
        </w:rPr>
      </w:pPr>
    </w:p>
    <w:p>
      <w:pPr>
        <w:ind w:left="660" w:right="180" w:hanging="328"/>
        <w:spacing w:after="0" w:line="266" w:lineRule="auto"/>
        <w:tabs>
          <w:tab w:leader="none" w:pos="654"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Quarterly Report on Form 10-Q of the Company filed with the Securities and Exchange Commission for the quarter ended March 31, 2026 (the "Quarterly Report") fully complies with the requirements of Section 13(a) or Section 15(d), as applicable, of the Securities Exchange Act of 1934, as amended; and</w:t>
      </w:r>
    </w:p>
    <w:p>
      <w:pPr>
        <w:spacing w:after="0" w:line="202" w:lineRule="exact"/>
        <w:rPr>
          <w:rFonts w:ascii="Times New Roman" w:cs="Times New Roman" w:eastAsia="Times New Roman" w:hAnsi="Times New Roman"/>
          <w:sz w:val="18"/>
          <w:szCs w:val="18"/>
          <w:color w:val="auto"/>
        </w:rPr>
      </w:pPr>
    </w:p>
    <w:p>
      <w:pPr>
        <w:ind w:left="660" w:right="260" w:hanging="328"/>
        <w:spacing w:after="0" w:line="282" w:lineRule="auto"/>
        <w:tabs>
          <w:tab w:leader="none" w:pos="650"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Quarterly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4440"/>
        <w:spacing w:after="0"/>
        <w:tabs>
          <w:tab w:leader="none" w:pos="5600" w:val="left"/>
        </w:tabs>
        <w:rPr>
          <w:sz w:val="20"/>
          <w:szCs w:val="20"/>
          <w:color w:val="auto"/>
        </w:rPr>
      </w:pPr>
      <w:r>
        <w:rPr>
          <w:rFonts w:ascii="Times New Roman" w:cs="Times New Roman" w:eastAsia="Times New Roman" w:hAnsi="Times New Roman"/>
          <w:sz w:val="18"/>
          <w:szCs w:val="18"/>
          <w:color w:val="auto"/>
        </w:rPr>
        <w:t>May 7, 2026</w:t>
      </w:r>
      <w:r>
        <w:rPr>
          <w:sz w:val="20"/>
          <w:szCs w:val="20"/>
          <w:color w:val="auto"/>
        </w:rPr>
        <w:tab/>
      </w:r>
      <w:r>
        <w:rPr>
          <w:rFonts w:ascii="Times New Roman" w:cs="Times New Roman" w:eastAsia="Times New Roman" w:hAnsi="Times New Roman"/>
          <w:sz w:val="17"/>
          <w:szCs w:val="17"/>
          <w:color w:val="auto"/>
        </w:rPr>
        <w:t>/s/ Valerie A. Bille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3554095</wp:posOffset>
            </wp:positionH>
            <wp:positionV relativeFrom="paragraph">
              <wp:posOffset>26035</wp:posOffset>
            </wp:positionV>
            <wp:extent cx="2305685" cy="889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49">
                      <a:extLst>
                        <a:ext uri="{28A0092B-C50C-407E-A947-70E740481C1C}"/>
                      </a:extLst>
                    </a:blip>
                    <a:srcRect/>
                    <a:stretch>
                      <a:fillRect/>
                    </a:stretch>
                  </pic:blipFill>
                  <pic:spPr bwMode="auto">
                    <a:xfrm>
                      <a:off x="0" y="0"/>
                      <a:ext cx="2305685" cy="8890"/>
                    </a:xfrm>
                    <a:prstGeom prst="rect">
                      <a:avLst/>
                    </a:prstGeom>
                    <a:noFill/>
                  </pic:spPr>
                </pic:pic>
              </a:graphicData>
            </a:graphic>
          </wp:anchor>
        </w:drawing>
      </w:r>
    </w:p>
    <w:p>
      <w:pPr>
        <w:spacing w:after="0" w:line="30"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Valerie A. Bille</w:t>
      </w:r>
    </w:p>
    <w:p>
      <w:pPr>
        <w:spacing w:after="0" w:line="3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Chief Financial Officer</w:t>
      </w:r>
    </w:p>
    <w:sectPr>
      <w:pgSz w:w="11900" w:h="16838" w:orient="portrait"/>
      <w:cols w:equalWidth="0" w:num="1">
        <w:col w:w="11240"/>
      </w:cols>
      <w:pgMar w:left="320" w:top="89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E0C57B1"/>
    <w:multiLevelType w:val="hybridMultilevel"/>
    <w:lvl w:ilvl="0">
      <w:lvlJc w:val="left"/>
      <w:lvlText w:val="☒"/>
      <w:numFmt w:val="bullet"/>
      <w:start w:val="1"/>
    </w:lvl>
  </w:abstractNum>
  <w:abstractNum w:abstractNumId="1">
    <w:nsid w:val="77AE35EB"/>
    <w:multiLevelType w:val="hybridMultilevel"/>
    <w:lvl w:ilvl="0">
      <w:lvlJc w:val="left"/>
      <w:lvlText w:val="☐"/>
      <w:numFmt w:val="bullet"/>
      <w:start w:val="1"/>
    </w:lvl>
  </w:abstractNum>
  <w:abstractNum w:abstractNumId="2">
    <w:nsid w:val="579BE4F1"/>
    <w:multiLevelType w:val="hybridMultilevel"/>
    <w:lvl w:ilvl="0">
      <w:lvlJc w:val="left"/>
      <w:lvlText w:val="▪"/>
      <w:numFmt w:val="bullet"/>
      <w:start w:val="1"/>
    </w:lvl>
  </w:abstractNum>
  <w:abstractNum w:abstractNumId="3">
    <w:nsid w:val="310C50B3"/>
    <w:multiLevelType w:val="hybridMultilevel"/>
    <w:lvl w:ilvl="0">
      <w:lvlJc w:val="left"/>
      <w:lvlText w:val="▪"/>
      <w:numFmt w:val="bullet"/>
      <w:start w:val="1"/>
    </w:lvl>
  </w:abstractNum>
  <w:abstractNum w:abstractNumId="4">
    <w:nsid w:val="5FF87E05"/>
    <w:multiLevelType w:val="hybridMultilevel"/>
    <w:lvl w:ilvl="0">
      <w:lvlJc w:val="left"/>
      <w:lvlText w:val="▪"/>
      <w:numFmt w:val="bullet"/>
      <w:start w:val="1"/>
    </w:lvl>
  </w:abstractNum>
  <w:abstractNum w:abstractNumId="5">
    <w:nsid w:val="2F305DEF"/>
    <w:multiLevelType w:val="hybridMultilevel"/>
    <w:lvl w:ilvl="0">
      <w:lvlJc w:val="left"/>
      <w:lvlText w:val="▪"/>
      <w:numFmt w:val="bullet"/>
      <w:start w:val="1"/>
    </w:lvl>
  </w:abstractNum>
  <w:abstractNum w:abstractNumId="6">
    <w:nsid w:val="25A70BF7"/>
    <w:multiLevelType w:val="hybridMultilevel"/>
    <w:lvl w:ilvl="0">
      <w:lvlJc w:val="left"/>
      <w:lvlText w:val="(%1)"/>
      <w:numFmt w:val="decimal"/>
      <w:start w:val="1"/>
    </w:lvl>
  </w:abstractNum>
  <w:abstractNum w:abstractNumId="7">
    <w:nsid w:val="1DBABF00"/>
    <w:multiLevelType w:val="hybridMultilevel"/>
    <w:lvl w:ilvl="0">
      <w:lvlJc w:val="left"/>
      <w:lvlText w:val="(%1)"/>
      <w:numFmt w:val="decimal"/>
      <w:start w:val="1"/>
    </w:lvl>
  </w:abstractNum>
  <w:abstractNum w:abstractNumId="8">
    <w:nsid w:val="4AD084E9"/>
    <w:multiLevelType w:val="hybridMultilevel"/>
    <w:lvl w:ilvl="0">
      <w:lvlJc w:val="left"/>
      <w:lvlText w:val="(%1)"/>
      <w:numFmt w:val="decimal"/>
      <w:start w:val="1"/>
    </w:lvl>
  </w:abstractNum>
  <w:abstractNum w:abstractNumId="9">
    <w:nsid w:val="1F48EAA1"/>
    <w:multiLevelType w:val="hybridMultilevel"/>
    <w:lvl w:ilvl="0">
      <w:lvlJc w:val="left"/>
      <w:lvlText w:val="(%1)"/>
      <w:numFmt w:val="decimal"/>
      <w:start w:val="1"/>
    </w:lvl>
  </w:abstractNum>
  <w:abstractNum w:abstractNumId="10">
    <w:nsid w:val="1381823A"/>
    <w:multiLevelType w:val="hybridMultilevel"/>
    <w:lvl w:ilvl="0">
      <w:lvlJc w:val="left"/>
      <w:lvlText w:val="(%1)"/>
      <w:numFmt w:val="decimal"/>
      <w:start w:val="1"/>
    </w:lvl>
  </w:abstractNum>
  <w:abstractNum w:abstractNumId="11">
    <w:nsid w:val="5DB70AE5"/>
    <w:multiLevelType w:val="hybridMultilevel"/>
    <w:lvl w:ilvl="0">
      <w:lvlJc w:val="left"/>
      <w:lvlText w:val="▪"/>
      <w:numFmt w:val="bullet"/>
      <w:start w:val="1"/>
    </w:lvl>
  </w:abstractNum>
  <w:abstractNum w:abstractNumId="12">
    <w:nsid w:val="100F8FCA"/>
    <w:multiLevelType w:val="hybridMultilevel"/>
    <w:lvl w:ilvl="0">
      <w:lvlJc w:val="left"/>
      <w:lvlText w:val="(%1)"/>
      <w:numFmt w:val="decimal"/>
      <w:start w:val="1"/>
    </w:lvl>
  </w:abstractNum>
  <w:abstractNum w:abstractNumId="13">
    <w:nsid w:val="6590700B"/>
    <w:multiLevelType w:val="hybridMultilevel"/>
    <w:lvl w:ilvl="0">
      <w:lvlJc w:val="left"/>
      <w:lvlText w:val="(%1)"/>
      <w:numFmt w:val="decimal"/>
      <w:start w:val="1"/>
    </w:lvl>
  </w:abstractNum>
  <w:abstractNum w:abstractNumId="14">
    <w:nsid w:val="15014ACB"/>
    <w:multiLevelType w:val="hybridMultilevel"/>
    <w:lvl w:ilvl="0">
      <w:lvlJc w:val="left"/>
      <w:lvlText w:val="▪"/>
      <w:numFmt w:val="bullet"/>
      <w:start w:val="1"/>
    </w:lvl>
  </w:abstractNum>
  <w:abstractNum w:abstractNumId="15">
    <w:nsid w:val="5F5E7FD0"/>
    <w:multiLevelType w:val="hybridMultilevel"/>
    <w:lvl w:ilvl="0">
      <w:lvlJc w:val="left"/>
      <w:lvlText w:val="(%1)"/>
      <w:numFmt w:val="decimal"/>
      <w:start w:val="1"/>
    </w:lvl>
  </w:abstractNum>
  <w:abstractNum w:abstractNumId="16">
    <w:nsid w:val="98A3148"/>
    <w:multiLevelType w:val="hybridMultilevel"/>
    <w:lvl w:ilvl="0">
      <w:lvlJc w:val="left"/>
      <w:lvlText w:val="(%1)"/>
      <w:numFmt w:val="decimal"/>
      <w:start w:val="1"/>
    </w:lvl>
  </w:abstractNum>
  <w:abstractNum w:abstractNumId="17">
    <w:nsid w:val="799D0247"/>
    <w:multiLevelType w:val="hybridMultilevel"/>
    <w:lvl w:ilvl="0">
      <w:lvlJc w:val="left"/>
      <w:lvlText w:val="(%1)"/>
      <w:numFmt w:val="decimal"/>
      <w:start w:val="1"/>
    </w:lvl>
  </w:abstractNum>
  <w:abstractNum w:abstractNumId="18">
    <w:nsid w:val="6B94764"/>
    <w:multiLevelType w:val="hybridMultilevel"/>
    <w:lvl w:ilvl="0">
      <w:lvlJc w:val="left"/>
      <w:lvlText w:val="(%1)"/>
      <w:numFmt w:val="decimal"/>
      <w:start w:val="1"/>
    </w:lvl>
  </w:abstractNum>
  <w:abstractNum w:abstractNumId="19">
    <w:nsid w:val="42C296BD"/>
    <w:multiLevelType w:val="hybridMultilevel"/>
    <w:lvl w:ilvl="0">
      <w:lvlJc w:val="left"/>
      <w:lvlText w:val="▪"/>
      <w:numFmt w:val="bullet"/>
      <w:start w:val="1"/>
    </w:lvl>
  </w:abstractNum>
  <w:abstractNum w:abstractNumId="20">
    <w:nsid w:val="168E121F"/>
    <w:multiLevelType w:val="hybridMultilevel"/>
    <w:lvl w:ilvl="0">
      <w:lvlJc w:val="left"/>
      <w:lvlText w:val="(%1)"/>
      <w:numFmt w:val="decimal"/>
      <w:start w:val="1"/>
    </w:lvl>
  </w:abstractNum>
  <w:abstractNum w:abstractNumId="21">
    <w:nsid w:val="1EBA5D23"/>
    <w:multiLevelType w:val="hybridMultilevel"/>
    <w:lvl w:ilvl="0">
      <w:lvlJc w:val="left"/>
      <w:lvlText w:val="▪"/>
      <w:numFmt w:val="bullet"/>
      <w:start w:val="1"/>
    </w:lvl>
  </w:abstractNum>
  <w:abstractNum w:abstractNumId="22">
    <w:nsid w:val="661E3F1E"/>
    <w:multiLevelType w:val="hybridMultilevel"/>
    <w:lvl w:ilvl="0">
      <w:lvlJc w:val="left"/>
      <w:lvlText w:val="(%1)"/>
      <w:numFmt w:val="decimal"/>
      <w:start w:val="1"/>
    </w:lvl>
  </w:abstractNum>
  <w:abstractNum w:abstractNumId="23">
    <w:nsid w:val="5DC79EA8"/>
    <w:multiLevelType w:val="hybridMultilevel"/>
    <w:lvl w:ilvl="0">
      <w:lvlJc w:val="left"/>
      <w:lvlText w:val="(%1)"/>
      <w:numFmt w:val="decimal"/>
      <w:start w:val="1"/>
    </w:lvl>
  </w:abstractNum>
  <w:abstractNum w:abstractNumId="24">
    <w:nsid w:val="540A471C"/>
    <w:multiLevelType w:val="hybridMultilevel"/>
    <w:lvl w:ilvl="0">
      <w:lvlJc w:val="left"/>
      <w:lvlText w:val="▪"/>
      <w:numFmt w:val="bullet"/>
      <w:start w:val="1"/>
    </w:lvl>
  </w:abstractNum>
  <w:abstractNum w:abstractNumId="25">
    <w:nsid w:val="7BD3EE7B"/>
    <w:multiLevelType w:val="hybridMultilevel"/>
    <w:lvl w:ilvl="0">
      <w:lvlJc w:val="left"/>
      <w:lvlText w:val="(%1)"/>
      <w:numFmt w:val="decimal"/>
      <w:start w:val="1"/>
    </w:lvl>
  </w:abstractNum>
  <w:abstractNum w:abstractNumId="26">
    <w:nsid w:val="51D9C564"/>
    <w:multiLevelType w:val="hybridMultilevel"/>
    <w:lvl w:ilvl="0">
      <w:lvlJc w:val="left"/>
      <w:lvlText w:val="(%1)"/>
      <w:numFmt w:val="decimal"/>
      <w:start w:val="1"/>
    </w:lvl>
  </w:abstractNum>
  <w:abstractNum w:abstractNumId="27">
    <w:nsid w:val="613EFDC5"/>
    <w:multiLevelType w:val="hybridMultilevel"/>
    <w:lvl w:ilvl="0">
      <w:lvlJc w:val="left"/>
      <w:lvlText w:val="(%1)"/>
      <w:numFmt w:val="decimal"/>
      <w:start w:val="1"/>
    </w:lvl>
  </w:abstractNum>
  <w:abstractNum w:abstractNumId="28">
    <w:nsid w:val="BF72B14"/>
    <w:multiLevelType w:val="hybridMultilevel"/>
    <w:lvl w:ilvl="0">
      <w:lvlJc w:val="left"/>
      <w:lvlText w:val="(%1)"/>
      <w:numFmt w:val="decimal"/>
      <w:start w:val="1"/>
    </w:lvl>
  </w:abstractNum>
  <w:abstractNum w:abstractNumId="29">
    <w:nsid w:val="11447B73"/>
    <w:multiLevelType w:val="hybridMultilevel"/>
    <w:lvl w:ilvl="0">
      <w:lvlJc w:val="left"/>
      <w:lvlText w:val="(%1)"/>
      <w:numFmt w:val="decimal"/>
      <w:start w:val="1"/>
    </w:lvl>
  </w:abstractNum>
  <w:abstractNum w:abstractNumId="30">
    <w:nsid w:val="42963E5A"/>
    <w:multiLevelType w:val="hybridMultilevel"/>
    <w:lvl w:ilvl="0">
      <w:lvlJc w:val="left"/>
      <w:lvlText w:val="%1."/>
      <w:numFmt w:val="decimal"/>
      <w:start w:val="3"/>
    </w:lvl>
  </w:abstractNum>
  <w:abstractNum w:abstractNumId="31">
    <w:nsid w:val="A0382C5"/>
    <w:multiLevelType w:val="hybridMultilevel"/>
    <w:lvl w:ilvl="0">
      <w:lvlJc w:val="left"/>
      <w:lvlText w:val="(%1)"/>
      <w:numFmt w:val="decimal"/>
      <w:start w:val="1"/>
    </w:lvl>
  </w:abstractNum>
  <w:abstractNum w:abstractNumId="32">
    <w:nsid w:val="8F2B15E"/>
    <w:multiLevelType w:val="hybridMultilevel"/>
    <w:lvl w:ilvl="0">
      <w:lvlJc w:val="left"/>
      <w:lvlText w:val="(%1)"/>
      <w:numFmt w:val="decimal"/>
      <w:start w:val="1"/>
    </w:lvl>
  </w:abstractNum>
  <w:abstractNum w:abstractNumId="33">
    <w:nsid w:val="1A32234B"/>
    <w:multiLevelType w:val="hybridMultilevel"/>
    <w:lvl w:ilvl="0">
      <w:lvlJc w:val="left"/>
      <w:lvlText w:val="(%1)"/>
      <w:numFmt w:val="decimal"/>
      <w:start w:val="1"/>
    </w:lvl>
  </w:abstractNum>
  <w:abstractNum w:abstractNumId="34">
    <w:nsid w:val="3B0FD379"/>
    <w:multiLevelType w:val="hybridMultilevel"/>
    <w:lvl w:ilvl="0">
      <w:lvlJc w:val="left"/>
      <w:lvlText w:val="(%1)"/>
      <w:numFmt w:val="decimal"/>
      <w:start w:val="1"/>
    </w:lvl>
  </w:abstractNum>
  <w:abstractNum w:abstractNumId="35">
    <w:nsid w:val="68EB2F63"/>
    <w:multiLevelType w:val="hybridMultilevel"/>
    <w:lvl w:ilvl="0">
      <w:lvlJc w:val="left"/>
      <w:lvlText w:val="(%1)"/>
      <w:numFmt w:val="decimal"/>
      <w:start w:val="1"/>
    </w:lvl>
  </w:abstractNum>
  <w:abstractNum w:abstractNumId="36">
    <w:nsid w:val="4962813B"/>
    <w:multiLevelType w:val="hybridMultilevel"/>
    <w:lvl w:ilvl="0">
      <w:lvlJc w:val="left"/>
      <w:lvlText w:val="(%1)"/>
      <w:numFmt w:val="decimal"/>
      <w:start w:val="1"/>
    </w:lvl>
  </w:abstractNum>
  <w:abstractNum w:abstractNumId="37">
    <w:nsid w:val="60B6DF70"/>
    <w:multiLevelType w:val="hybridMultilevel"/>
    <w:lvl w:ilvl="0">
      <w:lvlJc w:val="left"/>
      <w:lvlText w:val="(%1)"/>
      <w:numFmt w:val="decimal"/>
      <w:start w:val="1"/>
    </w:lvl>
  </w:abstractNum>
  <w:abstractNum w:abstractNumId="38">
    <w:nsid w:val="6A5EE64"/>
    <w:multiLevelType w:val="hybridMultilevel"/>
    <w:lvl w:ilvl="0">
      <w:lvlJc w:val="left"/>
      <w:lvlText w:val="▪"/>
      <w:numFmt w:val="bullet"/>
      <w:start w:val="1"/>
    </w:lvl>
  </w:abstractNum>
  <w:abstractNum w:abstractNumId="39">
    <w:nsid w:val="14330624"/>
    <w:multiLevelType w:val="hybridMultilevel"/>
    <w:lvl w:ilvl="0">
      <w:lvlJc w:val="left"/>
      <w:lvlText w:val="▪"/>
      <w:numFmt w:val="bullet"/>
      <w:start w:val="1"/>
    </w:lvl>
  </w:abstractNum>
  <w:abstractNum w:abstractNumId="40">
    <w:nsid w:val="7FFFCA11"/>
    <w:multiLevelType w:val="hybridMultilevel"/>
    <w:lvl w:ilvl="0">
      <w:lvlJc w:val="left"/>
      <w:lvlText w:val="(%1)"/>
      <w:numFmt w:val="decimal"/>
      <w:start w:val="1"/>
    </w:lvl>
  </w:abstractNum>
  <w:abstractNum w:abstractNumId="41">
    <w:nsid w:val="1A27709E"/>
    <w:multiLevelType w:val="hybridMultilevel"/>
    <w:lvl w:ilvl="0">
      <w:lvlJc w:val="left"/>
      <w:lvlText w:val="(%1)"/>
      <w:numFmt w:val="decimal"/>
      <w:start w:val="1"/>
    </w:lvl>
  </w:abstractNum>
  <w:abstractNum w:abstractNumId="42">
    <w:nsid w:val="71EA1109"/>
    <w:multiLevelType w:val="hybridMultilevel"/>
    <w:lvl w:ilvl="0">
      <w:lvlJc w:val="left"/>
      <w:lvlText w:val="(%1)"/>
      <w:numFmt w:val="decimal"/>
      <w:start w:val="1"/>
    </w:lvl>
  </w:abstractNum>
  <w:abstractNum w:abstractNumId="43">
    <w:nsid w:val="100F59DC"/>
    <w:multiLevelType w:val="hybridMultilevel"/>
    <w:lvl w:ilvl="0">
      <w:lvlJc w:val="left"/>
      <w:lvlText w:val="(%1)"/>
      <w:numFmt w:val="decimal"/>
      <w:start w:val="1"/>
    </w:lvl>
  </w:abstractNum>
  <w:abstractNum w:abstractNumId="44">
    <w:nsid w:val="7FB7E0AA"/>
    <w:multiLevelType w:val="hybridMultilevel"/>
    <w:lvl w:ilvl="0">
      <w:lvlJc w:val="left"/>
      <w:lvlText w:val="(%1)"/>
      <w:numFmt w:val="decimal"/>
      <w:start w:val="1"/>
    </w:lvl>
  </w:abstractNum>
  <w:abstractNum w:abstractNumId="45">
    <w:nsid w:val="6EB5BD4"/>
    <w:multiLevelType w:val="hybridMultilevel"/>
    <w:lvl w:ilvl="0">
      <w:lvlJc w:val="left"/>
      <w:lvlText w:val="▪"/>
      <w:numFmt w:val="bullet"/>
      <w:start w:val="1"/>
    </w:lvl>
  </w:abstractNum>
  <w:abstractNum w:abstractNumId="46">
    <w:nsid w:val="6F6DD9AC"/>
    <w:multiLevelType w:val="hybridMultilevel"/>
    <w:lvl w:ilvl="0">
      <w:lvlJc w:val="left"/>
      <w:lvlText w:val="▪"/>
      <w:numFmt w:val="bullet"/>
      <w:start w:val="1"/>
    </w:lvl>
  </w:abstractNum>
  <w:abstractNum w:abstractNumId="47">
    <w:nsid w:val="94211F2"/>
    <w:multiLevelType w:val="hybridMultilevel"/>
    <w:lvl w:ilvl="0">
      <w:lvlJc w:val="left"/>
      <w:lvlText w:val="▪"/>
      <w:numFmt w:val="bullet"/>
      <w:start w:val="1"/>
    </w:lvl>
  </w:abstractNum>
  <w:abstractNum w:abstractNumId="48">
    <w:nsid w:val="885E1B"/>
    <w:multiLevelType w:val="hybridMultilevel"/>
    <w:lvl w:ilvl="0">
      <w:lvlJc w:val="left"/>
      <w:lvlText w:val="▪"/>
      <w:numFmt w:val="bullet"/>
      <w:start w:val="1"/>
    </w:lvl>
  </w:abstractNum>
  <w:abstractNum w:abstractNumId="49">
    <w:nsid w:val="76272110"/>
    <w:multiLevelType w:val="hybridMultilevel"/>
    <w:lvl w:ilvl="0">
      <w:lvlJc w:val="left"/>
      <w:lvlText w:val="▪"/>
      <w:numFmt w:val="bullet"/>
      <w:start w:val="1"/>
    </w:lvl>
    <w:lvl w:ilvl="1">
      <w:lvlJc w:val="left"/>
      <w:lvlText w:val="◦"/>
      <w:numFmt w:val="bullet"/>
      <w:start w:val="1"/>
    </w:lvl>
  </w:abstractNum>
  <w:abstractNum w:abstractNumId="50">
    <w:nsid w:val="4C04A8AF"/>
    <w:multiLevelType w:val="hybridMultilevel"/>
    <w:lvl w:ilvl="0">
      <w:lvlJc w:val="left"/>
      <w:lvlText w:val="▪"/>
      <w:numFmt w:val="bullet"/>
      <w:start w:val="1"/>
    </w:lvl>
    <w:lvl w:ilvl="1">
      <w:lvlJc w:val="left"/>
      <w:lvlText w:val="◦"/>
      <w:numFmt w:val="bullet"/>
      <w:start w:val="1"/>
    </w:lvl>
  </w:abstractNum>
  <w:abstractNum w:abstractNumId="51">
    <w:nsid w:val="1716703B"/>
    <w:multiLevelType w:val="hybridMultilevel"/>
    <w:lvl w:ilvl="0">
      <w:lvlJc w:val="left"/>
      <w:lvlText w:val="▪"/>
      <w:numFmt w:val="bullet"/>
      <w:start w:val="1"/>
    </w:lvl>
    <w:lvl w:ilvl="1">
      <w:lvlJc w:val="left"/>
      <w:lvlText w:val="◦"/>
      <w:numFmt w:val="bullet"/>
      <w:start w:val="1"/>
    </w:lvl>
  </w:abstractNum>
  <w:abstractNum w:abstractNumId="52">
    <w:nsid w:val="14E17E33"/>
    <w:multiLevelType w:val="hybridMultilevel"/>
    <w:lvl w:ilvl="0">
      <w:lvlJc w:val="left"/>
      <w:lvlText w:val="▪"/>
      <w:numFmt w:val="bullet"/>
      <w:start w:val="1"/>
    </w:lvl>
  </w:abstractNum>
  <w:abstractNum w:abstractNumId="53">
    <w:nsid w:val="3222E7CD"/>
    <w:multiLevelType w:val="hybridMultilevel"/>
    <w:lvl w:ilvl="0">
      <w:lvlJc w:val="left"/>
      <w:lvlText w:val="▪"/>
      <w:numFmt w:val="bullet"/>
      <w:start w:val="1"/>
    </w:lvl>
  </w:abstractNum>
  <w:abstractNum w:abstractNumId="54">
    <w:nsid w:val="74DE0EE3"/>
    <w:multiLevelType w:val="hybridMultilevel"/>
    <w:lvl w:ilvl="0">
      <w:lvlJc w:val="left"/>
      <w:lvlText w:val="▪"/>
      <w:numFmt w:val="bullet"/>
      <w:start w:val="1"/>
    </w:lvl>
  </w:abstractNum>
  <w:abstractNum w:abstractNumId="55">
    <w:nsid w:val="68EBC550"/>
    <w:multiLevelType w:val="hybridMultilevel"/>
    <w:lvl w:ilvl="0">
      <w:lvlJc w:val="left"/>
      <w:lvlText w:val="(%1)"/>
      <w:numFmt w:val="decimal"/>
      <w:start w:val="1"/>
    </w:lvl>
  </w:abstractNum>
  <w:abstractNum w:abstractNumId="56">
    <w:nsid w:val="2DF6D648"/>
    <w:multiLevelType w:val="hybridMultilevel"/>
    <w:lvl w:ilvl="0">
      <w:lvlJc w:val="left"/>
      <w:lvlText w:val="▪"/>
      <w:numFmt w:val="bullet"/>
      <w:start w:val="1"/>
    </w:lvl>
  </w:abstractNum>
  <w:abstractNum w:abstractNumId="57">
    <w:nsid w:val="46B7D447"/>
    <w:multiLevelType w:val="hybridMultilevel"/>
    <w:lvl w:ilvl="0">
      <w:lvlJc w:val="left"/>
      <w:lvlText w:val="▪"/>
      <w:numFmt w:val="bullet"/>
      <w:start w:val="1"/>
    </w:lvl>
  </w:abstractNum>
  <w:abstractNum w:abstractNumId="58">
    <w:nsid w:val="4A2AC315"/>
    <w:multiLevelType w:val="hybridMultilevel"/>
    <w:lvl w:ilvl="0">
      <w:lvlJc w:val="left"/>
      <w:lvlText w:val="▪"/>
      <w:numFmt w:val="bullet"/>
      <w:start w:val="1"/>
    </w:lvl>
  </w:abstractNum>
  <w:abstractNum w:abstractNumId="59">
    <w:nsid w:val="39EE015C"/>
    <w:multiLevelType w:val="hybridMultilevel"/>
    <w:lvl w:ilvl="0">
      <w:lvlJc w:val="left"/>
      <w:lvlText w:val="(%1)"/>
      <w:numFmt w:val="decimal"/>
      <w:start w:val="1"/>
    </w:lvl>
  </w:abstractNum>
  <w:abstractNum w:abstractNumId="60">
    <w:nsid w:val="57FC4FBB"/>
    <w:multiLevelType w:val="hybridMultilevel"/>
    <w:lvl w:ilvl="0">
      <w:lvlJc w:val="left"/>
      <w:lvlText w:val="▪"/>
      <w:numFmt w:val="bullet"/>
      <w:start w:val="1"/>
    </w:lvl>
  </w:abstractNum>
  <w:abstractNum w:abstractNumId="61">
    <w:nsid w:val="CC1016F"/>
    <w:multiLevelType w:val="hybridMultilevel"/>
    <w:lvl w:ilvl="0">
      <w:lvlJc w:val="left"/>
      <w:lvlText w:val="▪"/>
      <w:numFmt w:val="bullet"/>
      <w:start w:val="1"/>
    </w:lvl>
  </w:abstractNum>
  <w:abstractNum w:abstractNumId="62">
    <w:nsid w:val="43F18422"/>
    <w:multiLevelType w:val="hybridMultilevel"/>
    <w:lvl w:ilvl="0">
      <w:lvlJc w:val="left"/>
      <w:lvlText w:val="(%1)"/>
      <w:numFmt w:val="decimal"/>
      <w:start w:val="1"/>
    </w:lvl>
  </w:abstractNum>
  <w:abstractNum w:abstractNumId="63">
    <w:nsid w:val="60EF0119"/>
    <w:multiLevelType w:val="hybridMultilevel"/>
    <w:lvl w:ilvl="0">
      <w:lvlJc w:val="left"/>
      <w:lvlText w:val="▪"/>
      <w:numFmt w:val="bullet"/>
      <w:start w:val="1"/>
    </w:lvl>
    <w:lvl w:ilvl="1">
      <w:lvlJc w:val="left"/>
      <w:lvlText w:val="◦"/>
      <w:numFmt w:val="bullet"/>
      <w:start w:val="1"/>
    </w:lvl>
  </w:abstractNum>
  <w:abstractNum w:abstractNumId="64">
    <w:nsid w:val="26F324BA"/>
    <w:multiLevelType w:val="hybridMultilevel"/>
    <w:lvl w:ilvl="0">
      <w:lvlJc w:val="left"/>
      <w:lvlText w:val="▪"/>
      <w:numFmt w:val="bullet"/>
      <w:start w:val="1"/>
    </w:lvl>
  </w:abstractNum>
  <w:abstractNum w:abstractNumId="65">
    <w:nsid w:val="7F01579B"/>
    <w:multiLevelType w:val="hybridMultilevel"/>
    <w:lvl w:ilvl="0">
      <w:lvlJc w:val="left"/>
      <w:lvlText w:val="▪"/>
      <w:numFmt w:val="bullet"/>
      <w:start w:val="1"/>
    </w:lvl>
  </w:abstractNum>
  <w:abstractNum w:abstractNumId="66">
    <w:nsid w:val="49DA307D"/>
    <w:multiLevelType w:val="hybridMultilevel"/>
    <w:lvl w:ilvl="0">
      <w:lvlJc w:val="left"/>
      <w:lvlText w:val="(%1)"/>
      <w:numFmt w:val="decimal"/>
      <w:start w:val="1"/>
    </w:lvl>
  </w:abstractNum>
  <w:abstractNum w:abstractNumId="67">
    <w:nsid w:val="7055A5F5"/>
    <w:multiLevelType w:val="hybridMultilevel"/>
    <w:lvl w:ilvl="0">
      <w:lvlJc w:val="left"/>
      <w:lvlText w:val="▪"/>
      <w:numFmt w:val="bullet"/>
      <w:start w:val="1"/>
    </w:lvl>
  </w:abstractNum>
  <w:abstractNum w:abstractNumId="68">
    <w:nsid w:val="5FB8370B"/>
    <w:multiLevelType w:val="hybridMultilevel"/>
    <w:lvl w:ilvl="0">
      <w:lvlJc w:val="left"/>
      <w:lvlText w:val="▪"/>
      <w:numFmt w:val="bullet"/>
      <w:start w:val="1"/>
    </w:lvl>
    <w:lvl w:ilvl="1">
      <w:lvlJc w:val="left"/>
      <w:lvlText w:val="◦"/>
      <w:numFmt w:val="bullet"/>
      <w:start w:val="1"/>
    </w:lvl>
  </w:abstractNum>
  <w:abstractNum w:abstractNumId="69">
    <w:nsid w:val="50801EE1"/>
    <w:multiLevelType w:val="hybridMultilevel"/>
    <w:lvl w:ilvl="0">
      <w:lvlJc w:val="left"/>
      <w:lvlText w:val="▪"/>
      <w:numFmt w:val="bullet"/>
      <w:start w:val="1"/>
    </w:lvl>
  </w:abstractNum>
  <w:abstractNum w:abstractNumId="70">
    <w:nsid w:val="488AC1A"/>
    <w:multiLevelType w:val="hybridMultilevel"/>
    <w:lvl w:ilvl="0">
      <w:lvlJc w:val="left"/>
      <w:lvlText w:val="▪"/>
      <w:numFmt w:val="bullet"/>
      <w:start w:val="1"/>
    </w:lvl>
  </w:abstractNum>
  <w:abstractNum w:abstractNumId="71">
    <w:nsid w:val="5FB8011C"/>
    <w:multiLevelType w:val="hybridMultilevel"/>
    <w:lvl w:ilvl="0">
      <w:lvlJc w:val="left"/>
      <w:lvlText w:val="◦"/>
      <w:numFmt w:val="bullet"/>
      <w:start w:val="1"/>
    </w:lvl>
  </w:abstractNum>
  <w:abstractNum w:abstractNumId="72">
    <w:nsid w:val="6AA78F7F"/>
    <w:multiLevelType w:val="hybridMultilevel"/>
    <w:lvl w:ilvl="0">
      <w:lvlJc w:val="left"/>
      <w:lvlText w:val="▪"/>
      <w:numFmt w:val="bullet"/>
      <w:start w:val="1"/>
    </w:lvl>
  </w:abstractNum>
  <w:abstractNum w:abstractNumId="73">
    <w:nsid w:val="7672BD23"/>
    <w:multiLevelType w:val="hybridMultilevel"/>
    <w:lvl w:ilvl="0">
      <w:lvlJc w:val="left"/>
      <w:lvlText w:val="•"/>
      <w:numFmt w:val="bullet"/>
      <w:start w:val="1"/>
    </w:lvl>
  </w:abstractNum>
  <w:abstractNum w:abstractNumId="74">
    <w:nsid w:val="6FC75AF8"/>
    <w:multiLevelType w:val="hybridMultilevel"/>
    <w:lvl w:ilvl="0">
      <w:lvlJc w:val="left"/>
      <w:lvlText w:val="▪"/>
      <w:numFmt w:val="bullet"/>
      <w:start w:val="1"/>
    </w:lvl>
  </w:abstractNum>
  <w:abstractNum w:abstractNumId="75">
    <w:nsid w:val="6A5F7029"/>
    <w:multiLevelType w:val="hybridMultilevel"/>
    <w:lvl w:ilvl="0">
      <w:lvlJc w:val="left"/>
      <w:lvlText w:val="(%1)"/>
      <w:numFmt w:val="decimal"/>
      <w:start w:val="1"/>
    </w:lvl>
  </w:abstractNum>
  <w:abstractNum w:abstractNumId="76">
    <w:nsid w:val="7D5E18F8"/>
    <w:multiLevelType w:val="hybridMultilevel"/>
    <w:lvl w:ilvl="0">
      <w:lvlJc w:val="left"/>
      <w:lvlText w:val="▪"/>
      <w:numFmt w:val="bullet"/>
      <w:start w:val="1"/>
    </w:lvl>
    <w:lvl w:ilvl="1">
      <w:lvlJc w:val="left"/>
      <w:lvlText w:val="◦"/>
      <w:numFmt w:val="bullet"/>
      <w:start w:val="1"/>
    </w:lvl>
  </w:abstractNum>
  <w:abstractNum w:abstractNumId="77">
    <w:nsid w:val="5F3534A4"/>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78">
    <w:nsid w:val="73A1821B"/>
    <w:multiLevelType w:val="hybridMultilevel"/>
    <w:lvl w:ilvl="0">
      <w:lvlJc w:val="left"/>
      <w:lvlText w:val="▪"/>
      <w:numFmt w:val="bullet"/>
      <w:start w:val="1"/>
    </w:lvl>
    <w:lvl w:ilvl="1">
      <w:lvlJc w:val="left"/>
      <w:lvlText w:val="◦"/>
      <w:numFmt w:val="bullet"/>
      <w:start w:val="1"/>
    </w:lvl>
  </w:abstractNum>
  <w:abstractNum w:abstractNumId="79">
    <w:nsid w:val="7DE67713"/>
    <w:multiLevelType w:val="hybridMultilevel"/>
    <w:lvl w:ilvl="0">
      <w:lvlJc w:val="left"/>
      <w:lvlText w:val="▪"/>
      <w:numFmt w:val="bullet"/>
      <w:start w:val="1"/>
    </w:lvl>
  </w:abstractNum>
  <w:abstractNum w:abstractNumId="80">
    <w:nsid w:val="555C55B5"/>
    <w:multiLevelType w:val="hybridMultilevel"/>
    <w:lvl w:ilvl="0">
      <w:lvlJc w:val="left"/>
      <w:lvlText w:val="▪"/>
      <w:numFmt w:val="bullet"/>
      <w:start w:val="1"/>
    </w:lvl>
  </w:abstractNum>
  <w:abstractNum w:abstractNumId="81">
    <w:nsid w:val="3FA62ACA"/>
    <w:multiLevelType w:val="hybridMultilevel"/>
    <w:lvl w:ilvl="0">
      <w:lvlJc w:val="left"/>
      <w:lvlText w:val="•"/>
      <w:numFmt w:val="bullet"/>
      <w:start w:val="1"/>
    </w:lvl>
  </w:abstractNum>
  <w:abstractNum w:abstractNumId="82">
    <w:nsid w:val="14FCE74E"/>
    <w:multiLevelType w:val="hybridMultilevel"/>
    <w:lvl w:ilvl="0">
      <w:lvlJc w:val="left"/>
      <w:lvlText w:val="▪"/>
      <w:numFmt w:val="bullet"/>
      <w:start w:val="1"/>
    </w:lvl>
  </w:abstractNum>
  <w:abstractNum w:abstractNumId="83">
    <w:nsid w:val="6A3DD3E8"/>
    <w:multiLevelType w:val="hybridMultilevel"/>
    <w:lvl w:ilvl="0">
      <w:lvlJc w:val="left"/>
      <w:lvlText w:val="▪"/>
      <w:numFmt w:val="bullet"/>
      <w:start w:val="1"/>
    </w:lvl>
  </w:abstractNum>
  <w:abstractNum w:abstractNumId="84">
    <w:nsid w:val="71C91298"/>
    <w:multiLevelType w:val="hybridMultilevel"/>
    <w:lvl w:ilvl="0">
      <w:lvlJc w:val="left"/>
      <w:lvlText w:val="▪"/>
      <w:numFmt w:val="bullet"/>
      <w:start w:val="1"/>
    </w:lvl>
  </w:abstractNum>
  <w:abstractNum w:abstractNumId="85">
    <w:nsid w:val="9DAF632"/>
    <w:multiLevelType w:val="hybridMultilevel"/>
    <w:lvl w:ilvl="0">
      <w:lvlJc w:val="left"/>
      <w:lvlText w:val="▪"/>
      <w:numFmt w:val="bullet"/>
      <w:start w:val="1"/>
    </w:lvl>
  </w:abstractNum>
  <w:abstractNum w:abstractNumId="86">
    <w:nsid w:val="53299938"/>
    <w:multiLevelType w:val="hybridMultilevel"/>
    <w:lvl w:ilvl="0">
      <w:lvlJc w:val="left"/>
      <w:lvlText w:val="▪"/>
      <w:numFmt w:val="bullet"/>
      <w:start w:val="1"/>
    </w:lvl>
  </w:abstractNum>
  <w:abstractNum w:abstractNumId="87">
    <w:nsid w:val="1FBFE8E0"/>
    <w:multiLevelType w:val="hybridMultilevel"/>
    <w:lvl w:ilvl="0">
      <w:lvlJc w:val="left"/>
      <w:lvlText w:val="▪"/>
      <w:numFmt w:val="bullet"/>
      <w:start w:val="1"/>
    </w:lvl>
  </w:abstractNum>
  <w:abstractNum w:abstractNumId="88">
    <w:nsid w:val="5092CA79"/>
    <w:multiLevelType w:val="hybridMultilevel"/>
    <w:lvl w:ilvl="0">
      <w:lvlJc w:val="left"/>
      <w:lvlText w:val="▪"/>
      <w:numFmt w:val="bullet"/>
      <w:start w:val="1"/>
    </w:lvl>
  </w:abstractNum>
  <w:abstractNum w:abstractNumId="89">
    <w:nsid w:val="1D545C4D"/>
    <w:multiLevelType w:val="hybridMultilevel"/>
    <w:lvl w:ilvl="0">
      <w:lvlJc w:val="left"/>
      <w:lvlText w:val="▪"/>
      <w:numFmt w:val="bullet"/>
      <w:start w:val="1"/>
    </w:lvl>
  </w:abstractNum>
  <w:abstractNum w:abstractNumId="90">
    <w:nsid w:val="59ADEA3D"/>
    <w:multiLevelType w:val="hybridMultilevel"/>
    <w:lvl w:ilvl="0">
      <w:lvlJc w:val="left"/>
      <w:lvlText w:val="▪"/>
      <w:numFmt w:val="bullet"/>
      <w:start w:val="1"/>
    </w:lvl>
  </w:abstractNum>
  <w:abstractNum w:abstractNumId="91">
    <w:nsid w:val="288F1A34"/>
    <w:multiLevelType w:val="hybridMultilevel"/>
    <w:lvl w:ilvl="0">
      <w:lvlJc w:val="left"/>
      <w:lvlText w:val="▪"/>
      <w:numFmt w:val="bullet"/>
      <w:start w:val="1"/>
    </w:lvl>
  </w:abstractNum>
  <w:abstractNum w:abstractNumId="92">
    <w:nsid w:val="2A155DBC"/>
    <w:multiLevelType w:val="hybridMultilevel"/>
    <w:lvl w:ilvl="0">
      <w:lvlJc w:val="left"/>
      <w:lvlText w:val="▪"/>
      <w:numFmt w:val="bullet"/>
      <w:start w:val="1"/>
    </w:lvl>
  </w:abstractNum>
  <w:abstractNum w:abstractNumId="93">
    <w:nsid w:val="1D9F6E5F"/>
    <w:multiLevelType w:val="hybridMultilevel"/>
    <w:lvl w:ilvl="0">
      <w:lvlJc w:val="left"/>
      <w:lvlText w:val="▪"/>
      <w:numFmt w:val="bullet"/>
      <w:start w:val="1"/>
    </w:lvl>
  </w:abstractNum>
  <w:abstractNum w:abstractNumId="94">
    <w:nsid w:val="97E1B4E"/>
    <w:multiLevelType w:val="hybridMultilevel"/>
    <w:lvl w:ilvl="0">
      <w:lvlJc w:val="left"/>
      <w:lvlText w:val="(%1)"/>
      <w:numFmt w:val="decimal"/>
      <w:start w:val="1"/>
    </w:lvl>
  </w:abstractNum>
  <w:abstractNum w:abstractNumId="95">
    <w:nsid w:val="51088277"/>
    <w:multiLevelType w:val="hybridMultilevel"/>
    <w:lvl w:ilvl="0">
      <w:lvlJc w:val="left"/>
      <w:lvlText w:val="(%1)"/>
      <w:numFmt w:val="decimal"/>
      <w:start w:val="1"/>
    </w:lvl>
  </w:abstractNum>
  <w:abstractNum w:abstractNumId="96">
    <w:nsid w:val="1CA0C5FA"/>
    <w:multiLevelType w:val="hybridMultilevel"/>
    <w:lvl w:ilvl="0">
      <w:lvlJc w:val="left"/>
      <w:lvlText w:val="(%1)"/>
      <w:numFmt w:val="decimal"/>
      <w:start w:val="1"/>
    </w:lvl>
  </w:abstractNum>
  <w:abstractNum w:abstractNumId="97">
    <w:nsid w:val="53584BCB"/>
    <w:multiLevelType w:val="hybridMultilevel"/>
    <w:lvl w:ilvl="0">
      <w:lvlJc w:val="left"/>
      <w:lvlText w:val="▪"/>
      <w:numFmt w:val="bullet"/>
      <w:start w:val="1"/>
    </w:lvl>
  </w:abstractNum>
  <w:abstractNum w:abstractNumId="98">
    <w:nsid w:val="415E286C"/>
    <w:multiLevelType w:val="hybridMultilevel"/>
    <w:lvl w:ilvl="0">
      <w:lvlJc w:val="left"/>
      <w:lvlText w:val="▪"/>
      <w:numFmt w:val="bullet"/>
      <w:start w:val="1"/>
    </w:lvl>
  </w:abstractNum>
  <w:abstractNum w:abstractNumId="99">
    <w:nsid w:val="7C58FD05"/>
    <w:multiLevelType w:val="hybridMultilevel"/>
    <w:lvl w:ilvl="0">
      <w:lvlJc w:val="left"/>
      <w:lvlText w:val="(%1)"/>
      <w:numFmt w:val="decimal"/>
      <w:start w:val="1"/>
    </w:lvl>
  </w:abstractNum>
  <w:abstractNum w:abstractNumId="100">
    <w:nsid w:val="23D86AAC"/>
    <w:multiLevelType w:val="hybridMultilevel"/>
    <w:lvl w:ilvl="0">
      <w:lvlJc w:val="left"/>
      <w:lvlText w:val="(%1)"/>
      <w:numFmt w:val="decimal"/>
      <w:start w:val="1"/>
    </w:lvl>
  </w:abstractNum>
  <w:abstractNum w:abstractNumId="101">
    <w:nsid w:val="45E6D486"/>
    <w:multiLevelType w:val="hybridMultilevel"/>
    <w:lvl w:ilvl="0">
      <w:lvlJc w:val="left"/>
      <w:lvlText w:val="(%1)"/>
      <w:numFmt w:val="lowerLetter"/>
      <w:start w:val="1"/>
    </w:lvl>
  </w:abstractNum>
  <w:abstractNum w:abstractNumId="102">
    <w:nsid w:val="5C10FE21"/>
    <w:multiLevelType w:val="hybridMultilevel"/>
    <w:lvl w:ilvl="0">
      <w:lvlJc w:val="left"/>
      <w:lvlText w:val="(%1)"/>
      <w:numFmt w:val="lowerLetter"/>
      <w:start w:val="1"/>
    </w:lvl>
  </w:abstractNum>
  <w:abstractNum w:abstractNumId="103">
    <w:nsid w:val="E7FFA2B"/>
    <w:multiLevelType w:val="hybridMultilevel"/>
    <w:lvl w:ilvl="0">
      <w:lvlJc w:val="left"/>
      <w:lvlText w:val="(%1)"/>
      <w:numFmt w:val="lowerLetter"/>
      <w:start w:val="1"/>
    </w:lvl>
  </w:abstractNum>
  <w:abstractNum w:abstractNumId="104">
    <w:nsid w:val="3C5991AA"/>
    <w:multiLevelType w:val="hybridMultilevel"/>
    <w:lvl w:ilvl="0">
      <w:lvlJc w:val="left"/>
      <w:lvlText w:val="(%1)"/>
      <w:numFmt w:val="lowerLetter"/>
      <w:start w:val="4"/>
    </w:lvl>
  </w:abstractNum>
  <w:abstractNum w:abstractNumId="105">
    <w:nsid w:val="4BD8591A"/>
    <w:multiLevelType w:val="hybridMultilevel"/>
    <w:lvl w:ilvl="0">
      <w:lvlJc w:val="left"/>
      <w:lvlText w:val="(%1)"/>
      <w:numFmt w:val="decimal"/>
      <w:start w:val="212"/>
    </w:lvl>
  </w:abstractNum>
  <w:abstractNum w:abstractNumId="106">
    <w:nsid w:val="78DF6A55"/>
    <w:multiLevelType w:val="hybridMultilevel"/>
    <w:lvl w:ilvl="0">
      <w:lvlJc w:val="left"/>
      <w:lvlText w:val="(%1)"/>
      <w:numFmt w:val="decimal"/>
      <w:start w:val="212"/>
    </w:lvl>
  </w:abstractNum>
  <w:abstractNum w:abstractNumId="107">
    <w:nsid w:val="39B7AAA2"/>
    <w:multiLevelType w:val="hybridMultilevel"/>
    <w:lvl w:ilvl="0">
      <w:lvlJc w:val="left"/>
      <w:lvlText w:val="&amp;"/>
      <w:numFmt w:val="bullet"/>
      <w:start w:val="1"/>
    </w:lvl>
  </w:abstractNum>
  <w:abstractNum w:abstractNumId="108">
    <w:nsid w:val="2B0D8DBE"/>
    <w:multiLevelType w:val="hybridMultilevel"/>
    <w:lvl w:ilvl="0">
      <w:lvlJc w:val="left"/>
      <w:lvlText w:val="(%1)"/>
      <w:numFmt w:val="lowerLetter"/>
      <w:start w:val="6"/>
    </w:lvl>
  </w:abstractNum>
  <w:abstractNum w:abstractNumId="109">
    <w:nsid w:val="6C80EC70"/>
    <w:multiLevelType w:val="hybridMultilevel"/>
    <w:lvl w:ilvl="0">
      <w:lvlJc w:val="left"/>
      <w:lvlText w:val="(%1)"/>
      <w:numFmt w:val="lowerLetter"/>
      <w:start w:val="8"/>
    </w:lvl>
  </w:abstractNum>
  <w:abstractNum w:abstractNumId="110">
    <w:nsid w:val="379E21B5"/>
    <w:multiLevelType w:val="hybridMultilevel"/>
    <w:lvl w:ilvl="0">
      <w:lvlJc w:val="left"/>
      <w:lvlText w:val="%1."/>
      <w:numFmt w:val="decimal"/>
      <w:start w:val="1"/>
    </w:lvl>
  </w:abstractNum>
  <w:abstractNum w:abstractNumId="111">
    <w:nsid w:val="69E373"/>
    <w:multiLevelType w:val="hybridMultilevel"/>
    <w:lvl w:ilvl="0">
      <w:lvlJc w:val="left"/>
      <w:lvlText w:val="%1."/>
      <w:numFmt w:val="decimal"/>
      <w:start w:val="3"/>
    </w:lvl>
  </w:abstractNum>
  <w:abstractNum w:abstractNumId="112">
    <w:nsid w:val="2C27173B"/>
    <w:multiLevelType w:val="hybridMultilevel"/>
    <w:lvl w:ilvl="0">
      <w:lvlJc w:val="left"/>
      <w:lvlText w:val="%1."/>
      <w:numFmt w:val="decimal"/>
      <w:start w:val="1"/>
    </w:lvl>
    <w:lvl w:ilvl="1">
      <w:lvlJc w:val="left"/>
      <w:lvlText w:val="(%2)"/>
      <w:numFmt w:val="lowerLetter"/>
      <w:start w:val="1"/>
    </w:lvl>
  </w:abstractNum>
  <w:abstractNum w:abstractNumId="113">
    <w:nsid w:val="4C9B0904"/>
    <w:multiLevelType w:val="hybridMultilevel"/>
    <w:lvl w:ilvl="0">
      <w:lvlJc w:val="left"/>
      <w:lvlText w:val="%1."/>
      <w:numFmt w:val="decimal"/>
      <w:start w:val="1"/>
    </w:lvl>
    <w:lvl w:ilvl="1">
      <w:lvlJc w:val="left"/>
      <w:lvlText w:val="(%2)"/>
      <w:numFmt w:val="lowerLetter"/>
      <w:start w:val="1"/>
    </w:lvl>
  </w:abstractNum>
  <w:abstractNum w:abstractNumId="114">
    <w:nsid w:val="6AA7B75C"/>
    <w:multiLevelType w:val="hybridMultilevel"/>
    <w:lvl w:ilvl="0">
      <w:lvlJc w:val="left"/>
      <w:lvlText w:val="%1."/>
      <w:numFmt w:val="decimal"/>
      <w:start w:val="1"/>
    </w:lvl>
    <w:lvl w:ilvl="1">
      <w:lvlJc w:val="left"/>
      <w:lvlText w:val="(%2)"/>
      <w:numFmt w:val="lowerLetter"/>
      <w:start w:val="1"/>
    </w:lvl>
  </w:abstractNum>
  <w:abstractNum w:abstractNumId="115">
    <w:nsid w:val="1DF029D3"/>
    <w:multiLevelType w:val="hybridMultilevel"/>
    <w:lvl w:ilvl="0">
      <w:lvlJc w:val="left"/>
      <w:lvlText w:val="%1."/>
      <w:numFmt w:val="decimal"/>
      <w:start w:val="1"/>
    </w:lvl>
    <w:lvl w:ilvl="1">
      <w:lvlJc w:val="left"/>
      <w:lvlText w:val="(%2)"/>
      <w:numFmt w:val="lowerLetter"/>
      <w:start w:val="1"/>
    </w:lvl>
  </w:abstractNum>
  <w:abstractNum w:abstractNumId="116">
    <w:nsid w:val="5675FF36"/>
    <w:multiLevelType w:val="hybridMultilevel"/>
    <w:lvl w:ilvl="0">
      <w:lvlJc w:val="left"/>
      <w:lvlText w:val="%1."/>
      <w:numFmt w:val="decimal"/>
      <w:start w:val="1"/>
    </w:lvl>
    <w:lvl w:ilvl="1">
      <w:lvlJc w:val="left"/>
      <w:lvlText w:val="(%2)"/>
      <w:numFmt w:val="lowerLetter"/>
      <w:start w:val="1"/>
    </w:lvl>
  </w:abstractNum>
  <w:abstractNum w:abstractNumId="117">
    <w:nsid w:val="3DD15094"/>
    <w:multiLevelType w:val="hybridMultilevel"/>
    <w:lvl w:ilvl="0">
      <w:lvlJc w:val="left"/>
      <w:lvlText w:val="%1."/>
      <w:numFmt w:val="decimal"/>
      <w:start w:val="1"/>
    </w:lvl>
    <w:lvl w:ilvl="1">
      <w:lvlJc w:val="left"/>
      <w:lvlText w:val="(%2)"/>
      <w:numFmt w:val="lowerLetter"/>
      <w:start w:val="1"/>
    </w:lvl>
  </w:abstractNum>
  <w:abstractNum w:abstractNumId="118">
    <w:nsid w:val="3DB012B3"/>
    <w:multiLevelType w:val="hybridMultilevel"/>
    <w:lvl w:ilvl="0">
      <w:lvlJc w:val="left"/>
      <w:lvlText w:val="(%1)"/>
      <w:numFmt w:val="lowerRoman"/>
      <w:start w:val="1"/>
    </w:lvl>
  </w:abstractNum>
  <w:abstractNum w:abstractNumId="119">
    <w:nsid w:val="2708C9AF"/>
    <w:multiLevelType w:val="hybridMultilevel"/>
    <w:lvl w:ilvl="0">
      <w:lvlJc w:val="left"/>
      <w:lvlText w:val="(%1)"/>
      <w:numFmt w:val="lowerRoman"/>
      <w:start w:val="1"/>
    </w:lvl>
  </w:abstractNum>
  <w:abstractNum w:abstractNumId="120">
    <w:nsid w:val="5B25ACE2"/>
    <w:multiLevelType w:val="hybridMultilevel"/>
    <w:lvl w:ilvl="0">
      <w:lvlJc w:val="left"/>
      <w:lvlText w:val="(%1)"/>
      <w:numFmt w:val="lowerRoman"/>
      <w:start w:val="1"/>
    </w:lvl>
  </w:abstractNum>
  <w:abstractNum w:abstractNumId="121">
    <w:nsid w:val="175DFCF0"/>
    <w:multiLevelType w:val="hybridMultilevel"/>
    <w:lvl w:ilvl="0">
      <w:lvlJc w:val="left"/>
      <w:lvlText w:val="&amp;"/>
      <w:numFmt w:val="bullet"/>
      <w:start w:val="1"/>
    </w:lvl>
    <w:lvl w:ilvl="1">
      <w:lvlJc w:val="left"/>
      <w:lvlText w:val="(%2)"/>
      <w:numFmt w:val="lowerRoman"/>
      <w:start w:val="1"/>
    </w:lvl>
  </w:abstractNum>
  <w:abstractNum w:abstractNumId="122">
    <w:nsid w:val="4F97E3E4"/>
    <w:multiLevelType w:val="hybridMultilevel"/>
    <w:lvl w:ilvl="0">
      <w:lvlJc w:val="left"/>
      <w:lvlText w:val="(%1)"/>
      <w:numFmt w:val="lowerRoman"/>
      <w:start w:val="1"/>
    </w:lvl>
  </w:abstractNum>
  <w:abstractNum w:abstractNumId="123">
    <w:nsid w:val="53B0A9E"/>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jpe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jpe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jpe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jpe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88" Type="http://schemas.openxmlformats.org/officeDocument/2006/relationships/image" Target="media/image272.png"/><Relationship Id="rId289" Type="http://schemas.openxmlformats.org/officeDocument/2006/relationships/image" Target="media/image273.png"/><Relationship Id="rId294" Type="http://schemas.openxmlformats.org/officeDocument/2006/relationships/image" Target="media/image274.png"/><Relationship Id="rId295" Type="http://schemas.openxmlformats.org/officeDocument/2006/relationships/image" Target="media/image275.png"/><Relationship Id="rId296" Type="http://schemas.openxmlformats.org/officeDocument/2006/relationships/image" Target="media/image276.png"/><Relationship Id="rId297" Type="http://schemas.openxmlformats.org/officeDocument/2006/relationships/image" Target="media/image277.png"/><Relationship Id="rId298" Type="http://schemas.openxmlformats.org/officeDocument/2006/relationships/image" Target="media/image278.png"/><Relationship Id="rId299" Type="http://schemas.openxmlformats.org/officeDocument/2006/relationships/image" Target="media/image279.png"/><Relationship Id="rId300" Type="http://schemas.openxmlformats.org/officeDocument/2006/relationships/image" Target="media/image280.png"/><Relationship Id="rId301" Type="http://schemas.openxmlformats.org/officeDocument/2006/relationships/image" Target="media/image281.png"/><Relationship Id="rId302" Type="http://schemas.openxmlformats.org/officeDocument/2006/relationships/image" Target="media/image282.png"/><Relationship Id="rId303" Type="http://schemas.openxmlformats.org/officeDocument/2006/relationships/image" Target="media/image283.png"/><Relationship Id="rId304" Type="http://schemas.openxmlformats.org/officeDocument/2006/relationships/image" Target="media/image284.png"/><Relationship Id="rId305" Type="http://schemas.openxmlformats.org/officeDocument/2006/relationships/image" Target="media/image285.png"/><Relationship Id="rId306" Type="http://schemas.openxmlformats.org/officeDocument/2006/relationships/image" Target="media/image286.png"/><Relationship Id="rId307" Type="http://schemas.openxmlformats.org/officeDocument/2006/relationships/image" Target="media/image287.png"/><Relationship Id="rId308" Type="http://schemas.openxmlformats.org/officeDocument/2006/relationships/image" Target="media/image288.png"/><Relationship Id="rId309" Type="http://schemas.openxmlformats.org/officeDocument/2006/relationships/image" Target="media/image289.png"/><Relationship Id="rId310" Type="http://schemas.openxmlformats.org/officeDocument/2006/relationships/image" Target="media/image290.png"/><Relationship Id="rId311" Type="http://schemas.openxmlformats.org/officeDocument/2006/relationships/image" Target="media/image291.png"/><Relationship Id="rId312" Type="http://schemas.openxmlformats.org/officeDocument/2006/relationships/image" Target="media/image292.png"/><Relationship Id="rId313" Type="http://schemas.openxmlformats.org/officeDocument/2006/relationships/image" Target="media/image293.png"/><Relationship Id="rId314" Type="http://schemas.openxmlformats.org/officeDocument/2006/relationships/image" Target="media/image294.png"/><Relationship Id="rId315" Type="http://schemas.openxmlformats.org/officeDocument/2006/relationships/image" Target="media/image295.png"/><Relationship Id="rId316" Type="http://schemas.openxmlformats.org/officeDocument/2006/relationships/image" Target="media/image296.png"/><Relationship Id="rId317" Type="http://schemas.openxmlformats.org/officeDocument/2006/relationships/image" Target="media/image297.png"/><Relationship Id="rId318" Type="http://schemas.openxmlformats.org/officeDocument/2006/relationships/image" Target="media/image298.png"/><Relationship Id="rId319" Type="http://schemas.openxmlformats.org/officeDocument/2006/relationships/image" Target="media/image299.png"/><Relationship Id="rId320" Type="http://schemas.openxmlformats.org/officeDocument/2006/relationships/image" Target="media/image300.png"/><Relationship Id="rId321" Type="http://schemas.openxmlformats.org/officeDocument/2006/relationships/image" Target="media/image301.png"/><Relationship Id="rId322" Type="http://schemas.openxmlformats.org/officeDocument/2006/relationships/image" Target="media/image302.png"/><Relationship Id="rId323" Type="http://schemas.openxmlformats.org/officeDocument/2006/relationships/image" Target="media/image303.png"/><Relationship Id="rId324" Type="http://schemas.openxmlformats.org/officeDocument/2006/relationships/image" Target="media/image304.png"/><Relationship Id="rId325" Type="http://schemas.openxmlformats.org/officeDocument/2006/relationships/image" Target="media/image305.png"/><Relationship Id="rId326" Type="http://schemas.openxmlformats.org/officeDocument/2006/relationships/image" Target="media/image306.png"/><Relationship Id="rId327" Type="http://schemas.openxmlformats.org/officeDocument/2006/relationships/image" Target="media/image307.png"/><Relationship Id="rId328" Type="http://schemas.openxmlformats.org/officeDocument/2006/relationships/image" Target="media/image308.png"/><Relationship Id="rId329" Type="http://schemas.openxmlformats.org/officeDocument/2006/relationships/image" Target="media/image309.png"/><Relationship Id="rId330" Type="http://schemas.openxmlformats.org/officeDocument/2006/relationships/image" Target="media/image310.png"/><Relationship Id="rId331" Type="http://schemas.openxmlformats.org/officeDocument/2006/relationships/image" Target="media/image311.png"/><Relationship Id="rId332" Type="http://schemas.openxmlformats.org/officeDocument/2006/relationships/image" Target="media/image312.png"/><Relationship Id="rId333" Type="http://schemas.openxmlformats.org/officeDocument/2006/relationships/image" Target="media/image313.png"/><Relationship Id="rId334" Type="http://schemas.openxmlformats.org/officeDocument/2006/relationships/image" Target="media/image314.png"/><Relationship Id="rId335" Type="http://schemas.openxmlformats.org/officeDocument/2006/relationships/image" Target="media/image315.png"/><Relationship Id="rId336" Type="http://schemas.openxmlformats.org/officeDocument/2006/relationships/image" Target="media/image316.jpeg"/><Relationship Id="rId337" Type="http://schemas.openxmlformats.org/officeDocument/2006/relationships/image" Target="media/image317.png"/><Relationship Id="rId338" Type="http://schemas.openxmlformats.org/officeDocument/2006/relationships/image" Target="media/image318.png"/><Relationship Id="rId339" Type="http://schemas.openxmlformats.org/officeDocument/2006/relationships/image" Target="media/image319.png"/><Relationship Id="rId340" Type="http://schemas.openxmlformats.org/officeDocument/2006/relationships/image" Target="media/image320.png"/><Relationship Id="rId341" Type="http://schemas.openxmlformats.org/officeDocument/2006/relationships/image" Target="media/image321.png"/><Relationship Id="rId342" Type="http://schemas.openxmlformats.org/officeDocument/2006/relationships/image" Target="media/image322.png"/><Relationship Id="rId343" Type="http://schemas.openxmlformats.org/officeDocument/2006/relationships/image" Target="media/image323.png"/><Relationship Id="rId344" Type="http://schemas.openxmlformats.org/officeDocument/2006/relationships/image" Target="media/image324.png"/><Relationship Id="rId345" Type="http://schemas.openxmlformats.org/officeDocument/2006/relationships/image" Target="media/image325.png"/><Relationship Id="rId346" Type="http://schemas.openxmlformats.org/officeDocument/2006/relationships/image" Target="media/image326.png"/><Relationship Id="rId347" Type="http://schemas.openxmlformats.org/officeDocument/2006/relationships/image" Target="media/image327.png"/><Relationship Id="rId348" Type="http://schemas.openxmlformats.org/officeDocument/2006/relationships/image" Target="media/image328.png"/><Relationship Id="rId349" Type="http://schemas.openxmlformats.org/officeDocument/2006/relationships/image" Target="media/image329.png"/><Relationship Id="rId279" Type="http://schemas.openxmlformats.org/officeDocument/2006/relationships/hyperlink" Target="https://www.sec.gov/Archives/edgar/data/1032208/000103220826000010/sempra-123125xex31.htm" TargetMode="External"/><Relationship Id="rId280" Type="http://schemas.openxmlformats.org/officeDocument/2006/relationships/hyperlink" Target="https://www.sec.gov/Archives/edgar/data/1032208/000103220823000034/exhibit32.htm" TargetMode="External"/><Relationship Id="rId281" Type="http://schemas.openxmlformats.org/officeDocument/2006/relationships/hyperlink" Target="https://www.sec.gov/Archives/edgar/data/86521/000008652115000011/ex3_4.htm" TargetMode="External"/><Relationship Id="rId282" Type="http://schemas.openxmlformats.org/officeDocument/2006/relationships/hyperlink" Target="https://www.sec.gov/Archives/edgar/data/86521/000008652116000145/sempra-93016xex31.htm" TargetMode="External"/><Relationship Id="rId283" Type="http://schemas.openxmlformats.org/officeDocument/2006/relationships/hyperlink" Target="https://www.sec.gov/Archives/edgar/data/92108/0000912057-97-010558.txt" TargetMode="External"/><Relationship Id="rId284" Type="http://schemas.openxmlformats.org/officeDocument/2006/relationships/hyperlink" Target="https://www.sec.gov/Archives/edgar/data/92108/000008652117000002/exhibit31.htm" TargetMode="External"/><Relationship Id="rId285" Type="http://schemas.openxmlformats.org/officeDocument/2006/relationships/hyperlink" Target="https://www.sec.gov/Archives/edgar/data/1032208/000119312526106115/d39493dex41.htm" TargetMode="External"/><Relationship Id="rId286" Type="http://schemas.openxmlformats.org/officeDocument/2006/relationships/hyperlink" Target="https://www.sec.gov/Archives/edgar/data/1032208/000119312526117625/d107627dex41.htm" TargetMode="External"/><Relationship Id="rId287" Type="http://schemas.openxmlformats.org/officeDocument/2006/relationships/hyperlink" Target="https://www.sec.gov/Archives/edgar/data/1032208/000119312526117625/d107627dex42.htm" TargetMode="External"/><Relationship Id="rId290" Type="http://schemas.openxmlformats.org/officeDocument/2006/relationships/hyperlink" Target="https://www.sec.gov/Archives/edgar/data/1032208/000103220826000010/sempra-123125xex102.htm" TargetMode="External"/><Relationship Id="rId291" Type="http://schemas.openxmlformats.org/officeDocument/2006/relationships/hyperlink" Target="https://www.sec.gov/Archives/edgar/data/1032208/000103220826000010/sempra-123125xex103.htm" TargetMode="External"/><Relationship Id="rId292" Type="http://schemas.openxmlformats.org/officeDocument/2006/relationships/hyperlink" Target="https://www.sec.gov/Archives/edgar/data/1032208/000103220826000010/sempra-123125xex1031.htm" TargetMode="External"/><Relationship Id="rId293" Type="http://schemas.openxmlformats.org/officeDocument/2006/relationships/hyperlink" Target="https://www.sec.gov/Archives/edgar/data/1032208/000103220826000010/sempra-123125xex1050.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2026-05-07T15:41:23Z</dcterms:created>
  <dcterms:modified xsi:type="dcterms:W3CDTF">2026-05-07T15:41:23Z</dcterms:modified>
</cp:coreProperties>
</file>