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3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FORM 10-Q</w:t>
      </w:r>
    </w:p>
    <w:p>
      <w:pPr>
        <w:spacing w:after="0" w:line="15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QUARTERLY REPORT PURSUANT TO SECTION 13 OR 15 (d) OF THE</w:t>
      </w:r>
    </w:p>
    <w:p>
      <w:pPr>
        <w:spacing w:after="0" w:line="1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38" w:lineRule="exact"/>
        <w:rPr>
          <w:sz w:val="24"/>
          <w:szCs w:val="24"/>
          <w:color w:val="auto"/>
        </w:rPr>
      </w:pPr>
    </w:p>
    <w:p>
      <w:pPr>
        <w:ind w:left="3100"/>
        <w:spacing w:after="0"/>
        <w:tabs>
          <w:tab w:leader="none" w:pos="5460" w:val="left"/>
        </w:tabs>
        <w:rPr>
          <w:sz w:val="20"/>
          <w:szCs w:val="20"/>
          <w:color w:val="auto"/>
        </w:rPr>
      </w:pPr>
      <w:r>
        <w:rPr>
          <w:rFonts w:ascii="Times New Roman" w:cs="Times New Roman" w:eastAsia="Times New Roman" w:hAnsi="Times New Roman"/>
          <w:sz w:val="18"/>
          <w:szCs w:val="18"/>
          <w:color w:val="auto"/>
        </w:rPr>
        <w:t>For the quarterly period ended</w:t>
        <w:tab/>
        <w:t>March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3423920</wp:posOffset>
            </wp:positionH>
            <wp:positionV relativeFrom="paragraph">
              <wp:posOffset>64135</wp:posOffset>
            </wp:positionV>
            <wp:extent cx="1751965" cy="2171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1965" cy="217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 of Registrant, State of</w:t>
            </w:r>
          </w:p>
        </w:tc>
        <w:tc>
          <w:tcPr>
            <w:tcW w:w="2960" w:type="dxa"/>
            <w:vAlign w:val="bottom"/>
          </w:tcPr>
          <w:p>
            <w:pPr>
              <w:spacing w:after="0"/>
              <w:rPr>
                <w:sz w:val="17"/>
                <w:szCs w:val="17"/>
                <w:color w:val="auto"/>
              </w:rPr>
            </w:pPr>
          </w:p>
        </w:tc>
      </w:tr>
      <w:tr>
        <w:trPr>
          <w:trHeight w:val="205"/>
        </w:trPr>
        <w:tc>
          <w:tcPr>
            <w:tcW w:w="112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Commission</w:t>
            </w:r>
          </w:p>
        </w:tc>
        <w:tc>
          <w:tcPr>
            <w:tcW w:w="320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Incorporation, Address and Telephone</w:t>
            </w:r>
          </w:p>
        </w:tc>
        <w:tc>
          <w:tcPr>
            <w:tcW w:w="2960" w:type="dxa"/>
            <w:vAlign w:val="bottom"/>
          </w:tcPr>
          <w:p>
            <w:pPr>
              <w:ind w:left="280"/>
              <w:spacing w:after="0" w:line="205"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7"/>
        </w:trPr>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 Number</w:t>
            </w: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w:t>
            </w:r>
          </w:p>
        </w:tc>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71"/>
        </w:trPr>
        <w:tc>
          <w:tcPr>
            <w:tcW w:w="11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2960" w:type="dxa"/>
            <w:vAlign w:val="bottom"/>
          </w:tcPr>
          <w:p>
            <w:pPr>
              <w:spacing w:after="0"/>
              <w:rPr>
                <w:sz w:val="6"/>
                <w:szCs w:val="6"/>
                <w:color w:val="auto"/>
              </w:rPr>
            </w:pPr>
          </w:p>
        </w:tc>
      </w:tr>
      <w:tr>
        <w:trPr>
          <w:trHeight w:val="342"/>
        </w:trPr>
        <w:tc>
          <w:tcPr>
            <w:tcW w:w="1120" w:type="dxa"/>
            <w:vAlign w:val="bottom"/>
            <w:shd w:val="clear" w:color="auto" w:fill="000000"/>
          </w:tcPr>
          <w:p>
            <w:pPr>
              <w:spacing w:after="0"/>
              <w:rPr>
                <w:sz w:val="24"/>
                <w:szCs w:val="24"/>
                <w:color w:val="auto"/>
              </w:rPr>
            </w:pPr>
          </w:p>
        </w:tc>
        <w:tc>
          <w:tcPr>
            <w:tcW w:w="3200" w:type="dxa"/>
            <w:vAlign w:val="bottom"/>
            <w:shd w:val="clear" w:color="auto" w:fill="000000"/>
          </w:tcPr>
          <w:p>
            <w:pPr>
              <w:spacing w:after="0"/>
              <w:rPr>
                <w:sz w:val="24"/>
                <w:szCs w:val="24"/>
                <w:color w:val="auto"/>
              </w:rPr>
            </w:pPr>
          </w:p>
        </w:tc>
        <w:tc>
          <w:tcPr>
            <w:tcW w:w="2960" w:type="dxa"/>
            <w:vAlign w:val="bottom"/>
            <w:shd w:val="clear" w:color="auto" w:fill="000000"/>
          </w:tcPr>
          <w:p>
            <w:pPr>
              <w:spacing w:after="0"/>
              <w:rPr>
                <w:sz w:val="24"/>
                <w:szCs w:val="24"/>
                <w:color w:val="auto"/>
              </w:rPr>
            </w:pPr>
          </w:p>
        </w:tc>
      </w:tr>
      <w:tr>
        <w:trPr>
          <w:trHeight w:val="262"/>
        </w:trPr>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1-40</w:t>
            </w: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Pacific Enterprises</w:t>
            </w:r>
          </w:p>
        </w:tc>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94-0743670</w:t>
            </w:r>
          </w:p>
        </w:tc>
      </w:tr>
      <w:tr>
        <w:trPr>
          <w:trHeight w:val="205"/>
        </w:trPr>
        <w:tc>
          <w:tcPr>
            <w:tcW w:w="1120" w:type="dxa"/>
            <w:vAlign w:val="bottom"/>
          </w:tcPr>
          <w:p>
            <w:pPr>
              <w:spacing w:after="0"/>
              <w:rPr>
                <w:sz w:val="17"/>
                <w:szCs w:val="17"/>
                <w:color w:val="auto"/>
              </w:rPr>
            </w:pPr>
          </w:p>
        </w:tc>
        <w:tc>
          <w:tcPr>
            <w:tcW w:w="320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(A California Corporation)</w:t>
            </w:r>
          </w:p>
        </w:tc>
        <w:tc>
          <w:tcPr>
            <w:tcW w:w="2960" w:type="dxa"/>
            <w:vAlign w:val="bottom"/>
          </w:tcPr>
          <w:p>
            <w:pPr>
              <w:spacing w:after="0"/>
              <w:rPr>
                <w:sz w:val="17"/>
                <w:szCs w:val="17"/>
                <w:color w:val="auto"/>
              </w:rPr>
            </w:pPr>
          </w:p>
        </w:tc>
      </w:tr>
      <w:tr>
        <w:trPr>
          <w:trHeight w:val="205"/>
        </w:trPr>
        <w:tc>
          <w:tcPr>
            <w:tcW w:w="1120" w:type="dxa"/>
            <w:vAlign w:val="bottom"/>
          </w:tcPr>
          <w:p>
            <w:pPr>
              <w:spacing w:after="0"/>
              <w:rPr>
                <w:sz w:val="17"/>
                <w:szCs w:val="17"/>
                <w:color w:val="auto"/>
              </w:rPr>
            </w:pPr>
          </w:p>
        </w:tc>
        <w:tc>
          <w:tcPr>
            <w:tcW w:w="320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101 Ash Street</w:t>
            </w:r>
          </w:p>
        </w:tc>
        <w:tc>
          <w:tcPr>
            <w:tcW w:w="2960" w:type="dxa"/>
            <w:vAlign w:val="bottom"/>
          </w:tcPr>
          <w:p>
            <w:pPr>
              <w:spacing w:after="0"/>
              <w:rPr>
                <w:sz w:val="17"/>
                <w:szCs w:val="17"/>
                <w:color w:val="auto"/>
              </w:rPr>
            </w:pPr>
          </w:p>
        </w:tc>
      </w:tr>
      <w:tr>
        <w:trPr>
          <w:trHeight w:val="205"/>
        </w:trPr>
        <w:tc>
          <w:tcPr>
            <w:tcW w:w="1120" w:type="dxa"/>
            <w:vAlign w:val="bottom"/>
          </w:tcPr>
          <w:p>
            <w:pPr>
              <w:spacing w:after="0"/>
              <w:rPr>
                <w:sz w:val="17"/>
                <w:szCs w:val="17"/>
                <w:color w:val="auto"/>
              </w:rPr>
            </w:pPr>
          </w:p>
        </w:tc>
        <w:tc>
          <w:tcPr>
            <w:tcW w:w="320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San Diego, California 92101</w:t>
            </w:r>
          </w:p>
        </w:tc>
        <w:tc>
          <w:tcPr>
            <w:tcW w:w="2960" w:type="dxa"/>
            <w:vAlign w:val="bottom"/>
          </w:tcPr>
          <w:p>
            <w:pPr>
              <w:spacing w:after="0"/>
              <w:rPr>
                <w:sz w:val="17"/>
                <w:szCs w:val="17"/>
                <w:color w:val="auto"/>
              </w:rPr>
            </w:pPr>
          </w:p>
        </w:tc>
      </w:tr>
      <w:tr>
        <w:trPr>
          <w:trHeight w:val="237"/>
        </w:trPr>
        <w:tc>
          <w:tcPr>
            <w:tcW w:w="1120" w:type="dxa"/>
            <w:vAlign w:val="bottom"/>
          </w:tcPr>
          <w:p>
            <w:pPr>
              <w:spacing w:after="0"/>
              <w:rPr>
                <w:sz w:val="20"/>
                <w:szCs w:val="20"/>
                <w:color w:val="auto"/>
              </w:rPr>
            </w:pP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(619) 696-2000</w:t>
            </w:r>
          </w:p>
        </w:tc>
        <w:tc>
          <w:tcPr>
            <w:tcW w:w="2960" w:type="dxa"/>
            <w:vAlign w:val="bottom"/>
          </w:tcPr>
          <w:p>
            <w:pPr>
              <w:spacing w:after="0"/>
              <w:rPr>
                <w:sz w:val="20"/>
                <w:szCs w:val="20"/>
                <w:color w:val="auto"/>
              </w:rPr>
            </w:pPr>
          </w:p>
        </w:tc>
      </w:tr>
      <w:tr>
        <w:trPr>
          <w:trHeight w:val="365"/>
        </w:trPr>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1-1402</w:t>
            </w: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Southern California Gas Company</w:t>
            </w:r>
          </w:p>
        </w:tc>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95-1240705</w:t>
            </w:r>
          </w:p>
        </w:tc>
      </w:tr>
      <w:tr>
        <w:trPr>
          <w:trHeight w:val="356"/>
        </w:trPr>
        <w:tc>
          <w:tcPr>
            <w:tcW w:w="1120" w:type="dxa"/>
            <w:vAlign w:val="bottom"/>
          </w:tcPr>
          <w:p>
            <w:pPr>
              <w:spacing w:after="0"/>
              <w:rPr>
                <w:sz w:val="24"/>
                <w:szCs w:val="24"/>
                <w:color w:val="auto"/>
              </w:rPr>
            </w:pP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California Corporation)</w:t>
            </w:r>
          </w:p>
        </w:tc>
        <w:tc>
          <w:tcPr>
            <w:tcW w:w="2960" w:type="dxa"/>
            <w:vAlign w:val="bottom"/>
          </w:tcPr>
          <w:p>
            <w:pPr>
              <w:spacing w:after="0"/>
              <w:rPr>
                <w:sz w:val="24"/>
                <w:szCs w:val="24"/>
                <w:color w:val="auto"/>
              </w:rPr>
            </w:pPr>
          </w:p>
        </w:tc>
      </w:tr>
      <w:tr>
        <w:trPr>
          <w:trHeight w:val="205"/>
        </w:trPr>
        <w:tc>
          <w:tcPr>
            <w:tcW w:w="1120" w:type="dxa"/>
            <w:vAlign w:val="bottom"/>
          </w:tcPr>
          <w:p>
            <w:pPr>
              <w:spacing w:after="0"/>
              <w:rPr>
                <w:sz w:val="17"/>
                <w:szCs w:val="17"/>
                <w:color w:val="auto"/>
              </w:rPr>
            </w:pPr>
          </w:p>
        </w:tc>
        <w:tc>
          <w:tcPr>
            <w:tcW w:w="320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555 West Fifth Street</w:t>
            </w:r>
          </w:p>
        </w:tc>
        <w:tc>
          <w:tcPr>
            <w:tcW w:w="2960" w:type="dxa"/>
            <w:vAlign w:val="bottom"/>
          </w:tcPr>
          <w:p>
            <w:pPr>
              <w:spacing w:after="0"/>
              <w:rPr>
                <w:sz w:val="17"/>
                <w:szCs w:val="17"/>
                <w:color w:val="auto"/>
              </w:rPr>
            </w:pPr>
          </w:p>
        </w:tc>
      </w:tr>
      <w:tr>
        <w:trPr>
          <w:trHeight w:val="205"/>
        </w:trPr>
        <w:tc>
          <w:tcPr>
            <w:tcW w:w="1120" w:type="dxa"/>
            <w:vAlign w:val="bottom"/>
          </w:tcPr>
          <w:p>
            <w:pPr>
              <w:spacing w:after="0"/>
              <w:rPr>
                <w:sz w:val="17"/>
                <w:szCs w:val="17"/>
                <w:color w:val="auto"/>
              </w:rPr>
            </w:pPr>
          </w:p>
        </w:tc>
        <w:tc>
          <w:tcPr>
            <w:tcW w:w="320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Los Angeles, California 90013</w:t>
            </w:r>
          </w:p>
        </w:tc>
        <w:tc>
          <w:tcPr>
            <w:tcW w:w="2960" w:type="dxa"/>
            <w:vAlign w:val="bottom"/>
          </w:tcPr>
          <w:p>
            <w:pPr>
              <w:spacing w:after="0"/>
              <w:rPr>
                <w:sz w:val="17"/>
                <w:szCs w:val="17"/>
                <w:color w:val="auto"/>
              </w:rPr>
            </w:pPr>
          </w:p>
        </w:tc>
      </w:tr>
      <w:tr>
        <w:trPr>
          <w:trHeight w:val="237"/>
        </w:trPr>
        <w:tc>
          <w:tcPr>
            <w:tcW w:w="1120" w:type="dxa"/>
            <w:vAlign w:val="bottom"/>
          </w:tcPr>
          <w:p>
            <w:pPr>
              <w:spacing w:after="0"/>
              <w:rPr>
                <w:sz w:val="20"/>
                <w:szCs w:val="20"/>
                <w:color w:val="auto"/>
              </w:rPr>
            </w:pP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(213) 244-1200</w:t>
            </w:r>
          </w:p>
        </w:tc>
        <w:tc>
          <w:tcPr>
            <w:tcW w:w="2960" w:type="dxa"/>
            <w:vAlign w:val="bottom"/>
          </w:tcPr>
          <w:p>
            <w:pPr>
              <w:spacing w:after="0"/>
              <w:rPr>
                <w:sz w:val="20"/>
                <w:szCs w:val="20"/>
                <w:color w:val="auto"/>
              </w:rPr>
            </w:pPr>
          </w:p>
        </w:tc>
      </w:tr>
      <w:tr>
        <w:trPr>
          <w:trHeight w:val="570"/>
        </w:trPr>
        <w:tc>
          <w:tcPr>
            <w:tcW w:w="1120" w:type="dxa"/>
            <w:vAlign w:val="bottom"/>
          </w:tcPr>
          <w:p>
            <w:pPr>
              <w:spacing w:after="0"/>
              <w:rPr>
                <w:sz w:val="24"/>
                <w:szCs w:val="24"/>
                <w:color w:val="auto"/>
              </w:rPr>
            </w:pPr>
          </w:p>
        </w:tc>
        <w:tc>
          <w:tcPr>
            <w:tcW w:w="32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No Change</w:t>
            </w:r>
          </w:p>
        </w:tc>
        <w:tc>
          <w:tcPr>
            <w:tcW w:w="2960" w:type="dxa"/>
            <w:vAlign w:val="bottom"/>
          </w:tcPr>
          <w:p>
            <w:pPr>
              <w:spacing w:after="0"/>
              <w:rPr>
                <w:sz w:val="24"/>
                <w:szCs w:val="24"/>
                <w:color w:val="auto"/>
              </w:rPr>
            </w:pPr>
          </w:p>
        </w:tc>
      </w:tr>
      <w:tr>
        <w:trPr>
          <w:trHeight w:val="71"/>
        </w:trPr>
        <w:tc>
          <w:tcPr>
            <w:tcW w:w="11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2960" w:type="dxa"/>
            <w:vAlign w:val="bottom"/>
          </w:tcPr>
          <w:p>
            <w:pPr>
              <w:spacing w:after="0"/>
              <w:rPr>
                <w:sz w:val="6"/>
                <w:szCs w:val="6"/>
                <w:color w:val="auto"/>
              </w:rPr>
            </w:pPr>
          </w:p>
        </w:tc>
      </w:tr>
      <w:tr>
        <w:trPr>
          <w:trHeight w:val="342"/>
        </w:trPr>
        <w:tc>
          <w:tcPr>
            <w:tcW w:w="1120" w:type="dxa"/>
            <w:vAlign w:val="bottom"/>
            <w:shd w:val="clear" w:color="auto" w:fill="000000"/>
          </w:tcPr>
          <w:p>
            <w:pPr>
              <w:spacing w:after="0"/>
              <w:rPr>
                <w:sz w:val="24"/>
                <w:szCs w:val="24"/>
                <w:color w:val="auto"/>
              </w:rPr>
            </w:pPr>
          </w:p>
        </w:tc>
        <w:tc>
          <w:tcPr>
            <w:tcW w:w="3200" w:type="dxa"/>
            <w:vAlign w:val="bottom"/>
            <w:shd w:val="clear" w:color="auto" w:fill="000000"/>
          </w:tcPr>
          <w:p>
            <w:pPr>
              <w:spacing w:after="0"/>
              <w:rPr>
                <w:sz w:val="24"/>
                <w:szCs w:val="24"/>
                <w:color w:val="auto"/>
              </w:rPr>
            </w:pPr>
          </w:p>
        </w:tc>
        <w:tc>
          <w:tcPr>
            <w:tcW w:w="2960" w:type="dxa"/>
            <w:vAlign w:val="bottom"/>
            <w:shd w:val="clear" w:color="auto" w:fill="000000"/>
          </w:tcPr>
          <w:p>
            <w:pPr>
              <w:spacing w:after="0"/>
              <w:rPr>
                <w:sz w:val="24"/>
                <w:szCs w:val="24"/>
                <w:color w:val="auto"/>
              </w:rPr>
            </w:pPr>
          </w:p>
        </w:tc>
      </w:tr>
    </w:tbl>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since last report)</w:t>
      </w:r>
    </w:p>
    <w:p>
      <w:pPr>
        <w:spacing w:after="0" w:line="138" w:lineRule="exact"/>
        <w:rPr>
          <w:sz w:val="24"/>
          <w:szCs w:val="24"/>
          <w:color w:val="auto"/>
        </w:rPr>
      </w:pPr>
    </w:p>
    <w:p>
      <w:pPr>
        <w:ind w:left="960" w:right="1119"/>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15" w:lineRule="exact"/>
        <w:rPr>
          <w:sz w:val="24"/>
          <w:szCs w:val="24"/>
          <w:color w:val="auto"/>
        </w:rPr>
      </w:pPr>
    </w:p>
    <w:p>
      <w:pPr>
        <w:ind w:left="5180"/>
        <w:spacing w:after="0"/>
        <w:tabs>
          <w:tab w:leader="none" w:pos="6160" w:val="left"/>
          <w:tab w:leader="none" w:pos="70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3785870</wp:posOffset>
            </wp:positionH>
            <wp:positionV relativeFrom="paragraph">
              <wp:posOffset>71120</wp:posOffset>
            </wp:positionV>
            <wp:extent cx="376555" cy="217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6555" cy="21717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71120</wp:posOffset>
            </wp:positionV>
            <wp:extent cx="463550" cy="217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3550" cy="217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1000" w:right="1039"/>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9019"/>
          </w:cols>
          <w:pgMar w:left="1440" w:top="288" w:right="1440" w:bottom="0" w:gutter="0" w:footer="0" w:header="0"/>
        </w:sectPr>
      </w:pPr>
    </w:p>
    <w:p>
      <w:pPr>
        <w:spacing w:after="0" w:line="200" w:lineRule="exact"/>
        <w:rPr>
          <w:sz w:val="24"/>
          <w:szCs w:val="24"/>
          <w:color w:val="auto"/>
        </w:rPr>
      </w:pPr>
    </w:p>
    <w:p>
      <w:pPr>
        <w:spacing w:after="0" w:line="280"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Large accelerated</w:t>
      </w:r>
    </w:p>
    <w:p>
      <w:pPr>
        <w:spacing w:after="0" w:line="18"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4"/>
          <w:szCs w:val="24"/>
          <w:color w:val="auto"/>
        </w:rPr>
      </w:pPr>
    </w:p>
    <w:p>
      <w:pPr>
        <w:sectPr>
          <w:pgSz w:w="11900" w:h="16838" w:orient="portrait"/>
          <w:cols w:equalWidth="0" w:num="8">
            <w:col w:w="2300" w:space="300"/>
            <w:col w:w="60" w:space="180"/>
            <w:col w:w="60" w:space="540"/>
            <w:col w:w="1220" w:space="720"/>
            <w:col w:w="60" w:space="180"/>
            <w:col w:w="60" w:space="420"/>
            <w:col w:w="1540" w:space="240"/>
            <w:col w:w="1139"/>
          </w:cols>
          <w:pgMar w:left="1440" w:top="288" w:right="1440" w:bottom="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000" w:right="1179"/>
        <w:spacing w:after="0" w:line="272"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2" w:lineRule="exact"/>
        <w:rPr>
          <w:sz w:val="24"/>
          <w:szCs w:val="24"/>
          <w:color w:val="auto"/>
        </w:rPr>
      </w:pPr>
    </w:p>
    <w:p>
      <w:pPr>
        <w:ind w:left="4300"/>
        <w:spacing w:after="0"/>
        <w:tabs>
          <w:tab w:leader="none" w:pos="7220" w:val="left"/>
          <w:tab w:leader="none" w:pos="77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3445510</wp:posOffset>
            </wp:positionH>
            <wp:positionV relativeFrom="paragraph">
              <wp:posOffset>71120</wp:posOffset>
            </wp:positionV>
            <wp:extent cx="521335" cy="217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335" cy="217170"/>
                    </a:xfrm>
                    <a:prstGeom prst="rect">
                      <a:avLst/>
                    </a:prstGeom>
                    <a:noFill/>
                  </pic:spPr>
                </pic:pic>
              </a:graphicData>
            </a:graphic>
          </wp:anchor>
        </w:drawing>
        <w:drawing>
          <wp:anchor simplePos="0" relativeHeight="251657728" behindDoc="1" locked="0" layoutInCell="0" allowOverlap="1">
            <wp:simplePos x="0" y="0"/>
            <wp:positionH relativeFrom="column">
              <wp:posOffset>4820920</wp:posOffset>
            </wp:positionH>
            <wp:positionV relativeFrom="paragraph">
              <wp:posOffset>71120</wp:posOffset>
            </wp:positionV>
            <wp:extent cx="325755" cy="217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 cy="217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1000" w:right="1039"/>
        <w:spacing w:after="0" w:line="27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88"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Common stock outstanding:</w:t>
      </w:r>
    </w:p>
    <w:p>
      <w:pPr>
        <w:spacing w:after="0" w:line="169" w:lineRule="exact"/>
        <w:rPr>
          <w:sz w:val="24"/>
          <w:szCs w:val="24"/>
          <w:color w:val="auto"/>
        </w:rPr>
      </w:pPr>
    </w:p>
    <w:p>
      <w:pPr>
        <w:ind w:left="1000"/>
        <w:spacing w:after="0"/>
        <w:tabs>
          <w:tab w:leader="none" w:pos="3660" w:val="left"/>
        </w:tabs>
        <w:rPr>
          <w:sz w:val="20"/>
          <w:szCs w:val="20"/>
          <w:color w:val="auto"/>
        </w:rPr>
      </w:pPr>
      <w:r>
        <w:rPr>
          <w:rFonts w:ascii="Times New Roman" w:cs="Times New Roman" w:eastAsia="Times New Roman" w:hAnsi="Times New Roman"/>
          <w:sz w:val="18"/>
          <w:szCs w:val="18"/>
          <w:color w:val="auto"/>
        </w:rPr>
        <w:t>Pacific Enterprises</w:t>
      </w:r>
      <w:r>
        <w:rPr>
          <w:sz w:val="20"/>
          <w:szCs w:val="20"/>
          <w:color w:val="auto"/>
        </w:rPr>
        <w:tab/>
      </w:r>
      <w:r>
        <w:rPr>
          <w:rFonts w:ascii="Times New Roman" w:cs="Times New Roman" w:eastAsia="Times New Roman" w:hAnsi="Times New Roman"/>
          <w:sz w:val="18"/>
          <w:szCs w:val="18"/>
          <w:color w:val="auto"/>
        </w:rPr>
        <w:t>Wholly owned by Sempra Energy</w:t>
      </w:r>
    </w:p>
    <w:p>
      <w:pPr>
        <w:spacing w:after="0" w:line="16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Wholly owned by Pacific Enterprises</w:t>
      </w:r>
    </w:p>
    <w:p>
      <w:pPr>
        <w:sectPr>
          <w:pgSz w:w="11900" w:h="16838" w:orient="portrait"/>
          <w:cols w:equalWidth="0" w:num="1">
            <w:col w:w="9019"/>
          </w:cols>
          <w:pgMar w:left="1440" w:top="288" w:right="1440" w:bottom="0" w:gutter="0" w:footer="0" w:header="0"/>
          <w:type w:val="continuous"/>
        </w:sectPr>
      </w:pPr>
    </w:p>
    <w:bookmarkStart w:id="1" w:name="page2"/>
    <w:bookmarkEnd w:id="1"/>
    <w:p>
      <w:pPr>
        <w:spacing w:after="0" w:line="6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Southern California Gas</w:t>
      </w:r>
    </w:p>
    <w:p>
      <w:pPr>
        <w:spacing w:after="0" w:line="1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704850</wp:posOffset>
            </wp:positionV>
            <wp:extent cx="72936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REGARDING FORWARD-LOOKING STATEMENTS</w:t>
      </w:r>
    </w:p>
    <w:p>
      <w:pPr>
        <w:spacing w:after="0" w:line="18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This Quarterly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14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Forward-looking statements are necessarily based upon various assumptions involving judgments with respect to the future and other risks, including, among others, local, regional and national economic, competitive, political, legislative and regulatory conditions and developments; actions by the California Public Utilities Commission, the California State Legislature, and the Federal Energy Regulatory Commission and other regulatory bodies in the United States; capital markets conditions, inflation rates, interest rates and exchange rates; energy and trading markets, including the timing and extent of changes in commodity prices; the availability of natural gas; weather conditions and conservation efforts; war and terrorist attacks; business, regulatory, environmental and legal decisions and requirements; the status of deregulation of retail natural gas and electricity delivery; the timing and success of business development efforts; the resolution of litigation; and other uncertainties, all of which are difficult to predict and many of which are beyond the control of the companies. Readers are cautioned not to rely unduly on any forward-looking statements and are urged to review and consider carefully the risks, uncertainties and other factors which affect the companies' business described in this report and other reports filed by the companies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419100</wp:posOffset>
            </wp:positionV>
            <wp:extent cx="729361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PART I. FINANCIAL INFORMATION</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ITEM 1. CONDENSED CONSOLIDATED FINANCIAL STATEMENTS</w:t>
      </w:r>
    </w:p>
    <w:p>
      <w:pPr>
        <w:spacing w:after="0" w:line="14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color w:val="auto"/>
        </w:rPr>
        <w:t>PACIFIC ENTERPRISES AND SUBSIDIARIES</w:t>
      </w:r>
    </w:p>
    <w:p>
      <w:pPr>
        <w:spacing w:after="0" w:line="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color w:val="auto"/>
        </w:rPr>
        <w:t>STATEMENTS OF CONSOLIDATED INCOME</w:t>
      </w:r>
    </w:p>
    <w:p>
      <w:pPr>
        <w:spacing w:after="0" w:line="200" w:lineRule="exact"/>
        <w:rPr>
          <w:sz w:val="20"/>
          <w:szCs w:val="20"/>
          <w:color w:val="auto"/>
        </w:rPr>
      </w:pPr>
    </w:p>
    <w:p>
      <w:pPr>
        <w:spacing w:after="0" w:line="325" w:lineRule="exact"/>
        <w:rPr>
          <w:sz w:val="20"/>
          <w:szCs w:val="20"/>
          <w:color w:val="auto"/>
        </w:rPr>
      </w:pPr>
    </w:p>
    <w:tbl>
      <w:tblPr>
        <w:tblLayout w:type="fixed"/>
        <w:tblInd w:w="244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4"/>
          </w:tcPr>
          <w:p>
            <w:pPr>
              <w:jc w:val="center"/>
              <w:ind w:right="66"/>
              <w:spacing w:after="0"/>
              <w:rPr>
                <w:sz w:val="20"/>
                <w:szCs w:val="20"/>
                <w:color w:val="auto"/>
              </w:rPr>
            </w:pPr>
            <w:r>
              <w:rPr>
                <w:rFonts w:ascii="Times New Roman" w:cs="Times New Roman" w:eastAsia="Times New Roman" w:hAnsi="Times New Roman"/>
                <w:sz w:val="15"/>
                <w:szCs w:val="15"/>
                <w:color w:val="auto"/>
                <w:w w:val="97"/>
              </w:rPr>
              <w:t>Three months ended</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center"/>
              <w:ind w:left="306"/>
              <w:spacing w:after="0"/>
              <w:rPr>
                <w:sz w:val="20"/>
                <w:szCs w:val="20"/>
                <w:color w:val="auto"/>
              </w:rPr>
            </w:pPr>
            <w:r>
              <w:rPr>
                <w:rFonts w:ascii="Times New Roman" w:cs="Times New Roman" w:eastAsia="Times New Roman" w:hAnsi="Times New Roman"/>
                <w:sz w:val="15"/>
                <w:szCs w:val="15"/>
                <w:color w:val="auto"/>
                <w:w w:val="97"/>
              </w:rPr>
              <w:t>March 31,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7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(Dollars in millions)</w:t>
            </w: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760" w:type="dxa"/>
            <w:vAlign w:val="bottom"/>
            <w:vMerge w:val="continue"/>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3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2006</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w w:val="99"/>
              </w:rPr>
              <w:t>2005</w:t>
            </w:r>
          </w:p>
        </w:tc>
        <w:tc>
          <w:tcPr>
            <w:tcW w:w="0" w:type="dxa"/>
            <w:vAlign w:val="bottom"/>
          </w:tcPr>
          <w:p>
            <w:pPr>
              <w:spacing w:after="0"/>
              <w:rPr>
                <w:sz w:val="1"/>
                <w:szCs w:val="1"/>
                <w:color w:val="auto"/>
              </w:rPr>
            </w:pPr>
          </w:p>
        </w:tc>
      </w:tr>
      <w:tr>
        <w:trPr>
          <w:trHeight w:val="36"/>
        </w:trPr>
        <w:tc>
          <w:tcPr>
            <w:tcW w:w="4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76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960" w:type="dxa"/>
            <w:vAlign w:val="bottom"/>
            <w:gridSpan w:val="2"/>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center"/>
              <w:ind w:left="306"/>
              <w:spacing w:after="0"/>
              <w:rPr>
                <w:sz w:val="20"/>
                <w:szCs w:val="20"/>
                <w:color w:val="auto"/>
              </w:rPr>
            </w:pPr>
            <w:r>
              <w:rPr>
                <w:rFonts w:ascii="Times New Roman" w:cs="Times New Roman" w:eastAsia="Times New Roman" w:hAnsi="Times New Roman"/>
                <w:sz w:val="15"/>
                <w:szCs w:val="15"/>
                <w:color w:val="auto"/>
                <w:w w:val="98"/>
              </w:rPr>
              <w:t>(unaudited)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6"/>
        </w:trPr>
        <w:tc>
          <w:tcPr>
            <w:tcW w:w="4760" w:type="dxa"/>
            <w:vAlign w:val="bottom"/>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1,425</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1,241</w:t>
            </w:r>
          </w:p>
        </w:tc>
        <w:tc>
          <w:tcPr>
            <w:tcW w:w="0" w:type="dxa"/>
            <w:vAlign w:val="bottom"/>
          </w:tcPr>
          <w:p>
            <w:pPr>
              <w:spacing w:after="0"/>
              <w:rPr>
                <w:sz w:val="1"/>
                <w:szCs w:val="1"/>
                <w:color w:val="auto"/>
              </w:rPr>
            </w:pPr>
          </w:p>
        </w:tc>
      </w:tr>
      <w:tr>
        <w:trPr>
          <w:trHeight w:val="36"/>
        </w:trPr>
        <w:tc>
          <w:tcPr>
            <w:tcW w:w="47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760" w:type="dxa"/>
            <w:vAlign w:val="bottom"/>
            <w:vMerge w:val="continue"/>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Cost of natural gas</w:t>
            </w:r>
          </w:p>
        </w:tc>
        <w:tc>
          <w:tcPr>
            <w:tcW w:w="140" w:type="dxa"/>
            <w:vAlign w:val="bottom"/>
          </w:tcPr>
          <w:p>
            <w:pPr>
              <w:spacing w:after="0"/>
              <w:rPr>
                <w:sz w:val="19"/>
                <w:szCs w:val="19"/>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986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801</w:t>
            </w:r>
          </w:p>
        </w:tc>
        <w:tc>
          <w:tcPr>
            <w:tcW w:w="0" w:type="dxa"/>
            <w:vAlign w:val="bottom"/>
          </w:tcPr>
          <w:p>
            <w:pPr>
              <w:spacing w:after="0"/>
              <w:rPr>
                <w:sz w:val="1"/>
                <w:szCs w:val="1"/>
                <w:color w:val="auto"/>
              </w:rPr>
            </w:pPr>
          </w:p>
        </w:tc>
      </w:tr>
      <w:tr>
        <w:trPr>
          <w:trHeight w:val="228"/>
        </w:trPr>
        <w:tc>
          <w:tcPr>
            <w:tcW w:w="4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operating expenses</w:t>
            </w:r>
          </w:p>
        </w:tc>
        <w:tc>
          <w:tcPr>
            <w:tcW w:w="140" w:type="dxa"/>
            <w:vAlign w:val="bottom"/>
          </w:tcPr>
          <w:p>
            <w:pPr>
              <w:spacing w:after="0"/>
              <w:rPr>
                <w:sz w:val="19"/>
                <w:szCs w:val="19"/>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233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215</w:t>
            </w:r>
          </w:p>
        </w:tc>
        <w:tc>
          <w:tcPr>
            <w:tcW w:w="0" w:type="dxa"/>
            <w:vAlign w:val="bottom"/>
          </w:tcPr>
          <w:p>
            <w:pPr>
              <w:spacing w:after="0"/>
              <w:rPr>
                <w:sz w:val="1"/>
                <w:szCs w:val="1"/>
                <w:color w:val="auto"/>
              </w:rPr>
            </w:pPr>
          </w:p>
        </w:tc>
      </w:tr>
      <w:tr>
        <w:trPr>
          <w:trHeight w:val="228"/>
        </w:trPr>
        <w:tc>
          <w:tcPr>
            <w:tcW w:w="4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w:t>
            </w:r>
          </w:p>
        </w:tc>
        <w:tc>
          <w:tcPr>
            <w:tcW w:w="140" w:type="dxa"/>
            <w:vAlign w:val="bottom"/>
          </w:tcPr>
          <w:p>
            <w:pPr>
              <w:spacing w:after="0"/>
              <w:rPr>
                <w:sz w:val="19"/>
                <w:szCs w:val="19"/>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28"/>
        </w:trPr>
        <w:tc>
          <w:tcPr>
            <w:tcW w:w="4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Franchise fees and other taxes</w:t>
            </w:r>
          </w:p>
        </w:tc>
        <w:tc>
          <w:tcPr>
            <w:tcW w:w="140" w:type="dxa"/>
            <w:vAlign w:val="bottom"/>
          </w:tcPr>
          <w:p>
            <w:pPr>
              <w:spacing w:after="0"/>
              <w:rPr>
                <w:sz w:val="19"/>
                <w:szCs w:val="19"/>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39</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36"/>
        </w:trPr>
        <w:tc>
          <w:tcPr>
            <w:tcW w:w="476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760" w:type="dxa"/>
            <w:vAlign w:val="bottom"/>
            <w:vMerge w:val="continue"/>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1,324</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1,115</w:t>
            </w:r>
          </w:p>
        </w:tc>
        <w:tc>
          <w:tcPr>
            <w:tcW w:w="0" w:type="dxa"/>
            <w:vAlign w:val="bottom"/>
          </w:tcPr>
          <w:p>
            <w:pPr>
              <w:spacing w:after="0"/>
              <w:rPr>
                <w:sz w:val="1"/>
                <w:szCs w:val="1"/>
                <w:color w:val="auto"/>
              </w:rPr>
            </w:pPr>
          </w:p>
        </w:tc>
      </w:tr>
      <w:tr>
        <w:trPr>
          <w:trHeight w:val="36"/>
        </w:trPr>
        <w:tc>
          <w:tcPr>
            <w:tcW w:w="4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760" w:type="dxa"/>
            <w:vAlign w:val="bottom"/>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76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140" w:type="dxa"/>
            <w:vAlign w:val="bottom"/>
          </w:tcPr>
          <w:p>
            <w:pPr>
              <w:spacing w:after="0"/>
              <w:rPr>
                <w:sz w:val="24"/>
                <w:szCs w:val="24"/>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101</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126</w:t>
            </w:r>
          </w:p>
        </w:tc>
        <w:tc>
          <w:tcPr>
            <w:tcW w:w="0" w:type="dxa"/>
            <w:vAlign w:val="bottom"/>
          </w:tcPr>
          <w:p>
            <w:pPr>
              <w:spacing w:after="0"/>
              <w:rPr>
                <w:sz w:val="1"/>
                <w:szCs w:val="1"/>
                <w:color w:val="auto"/>
              </w:rPr>
            </w:pPr>
          </w:p>
        </w:tc>
      </w:tr>
      <w:tr>
        <w:trPr>
          <w:trHeight w:val="456"/>
        </w:trPr>
        <w:tc>
          <w:tcPr>
            <w:tcW w:w="476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 net (Note 3)</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tcPr>
          <w:p>
            <w:pPr>
              <w:spacing w:after="0"/>
              <w:rPr>
                <w:sz w:val="19"/>
                <w:szCs w:val="19"/>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0" w:type="dxa"/>
            <w:vAlign w:val="bottom"/>
          </w:tcPr>
          <w:p>
            <w:pPr>
              <w:spacing w:after="0"/>
              <w:rPr>
                <w:sz w:val="1"/>
                <w:szCs w:val="1"/>
                <w:color w:val="auto"/>
              </w:rPr>
            </w:pPr>
          </w:p>
        </w:tc>
      </w:tr>
      <w:tr>
        <w:trPr>
          <w:trHeight w:val="36"/>
        </w:trPr>
        <w:tc>
          <w:tcPr>
            <w:tcW w:w="47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760" w:type="dxa"/>
            <w:vAlign w:val="bottom"/>
            <w:vMerge w:val="continue"/>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89</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117</w:t>
            </w:r>
          </w:p>
        </w:tc>
        <w:tc>
          <w:tcPr>
            <w:tcW w:w="0" w:type="dxa"/>
            <w:vAlign w:val="bottom"/>
          </w:tcPr>
          <w:p>
            <w:pPr>
              <w:spacing w:after="0"/>
              <w:rPr>
                <w:sz w:val="1"/>
                <w:szCs w:val="1"/>
                <w:color w:val="auto"/>
              </w:rPr>
            </w:pPr>
          </w:p>
        </w:tc>
      </w:tr>
      <w:tr>
        <w:trPr>
          <w:trHeight w:val="456"/>
        </w:trPr>
        <w:tc>
          <w:tcPr>
            <w:tcW w:w="476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140" w:type="dxa"/>
            <w:vAlign w:val="bottom"/>
          </w:tcPr>
          <w:p>
            <w:pPr>
              <w:spacing w:after="0"/>
              <w:rPr>
                <w:sz w:val="24"/>
                <w:szCs w:val="24"/>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38</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36"/>
        </w:trPr>
        <w:tc>
          <w:tcPr>
            <w:tcW w:w="4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760" w:type="dxa"/>
            <w:vAlign w:val="bottom"/>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76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tcPr>
          <w:p>
            <w:pPr>
              <w:spacing w:after="0"/>
              <w:rPr>
                <w:sz w:val="24"/>
                <w:szCs w:val="24"/>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51</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5"/>
                <w:szCs w:val="15"/>
                <w:color w:val="auto"/>
              </w:rPr>
              <w:t>Preferred dividend requirements</w:t>
            </w:r>
          </w:p>
        </w:tc>
        <w:tc>
          <w:tcPr>
            <w:tcW w:w="140" w:type="dxa"/>
            <w:vAlign w:val="bottom"/>
          </w:tcPr>
          <w:p>
            <w:pPr>
              <w:spacing w:after="0"/>
              <w:rPr>
                <w:sz w:val="19"/>
                <w:szCs w:val="19"/>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36"/>
        </w:trPr>
        <w:tc>
          <w:tcPr>
            <w:tcW w:w="47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Earnings applicable to common shares</w:t>
            </w: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760" w:type="dxa"/>
            <w:vAlign w:val="bottom"/>
            <w:vMerge w:val="continue"/>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50</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bl>
    <w:p>
      <w:pPr>
        <w:sectPr>
          <w:pgSz w:w="11900" w:h="16903" w:orient="portrait"/>
          <w:cols w:equalWidth="0" w:num="1">
            <w:col w:w="11400"/>
          </w:cols>
          <w:pgMar w:left="240" w:top="115" w:right="259" w:bottom="0" w:gutter="0" w:footer="0" w:header="0"/>
        </w:sectPr>
      </w:pPr>
    </w:p>
    <w:bookmarkStart w:id="2" w:name="page3"/>
    <w:bookmarkEnd w:id="2"/>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4728845</wp:posOffset>
            </wp:positionH>
            <wp:positionV relativeFrom="page">
              <wp:posOffset>226695</wp:posOffset>
            </wp:positionV>
            <wp:extent cx="1143635" cy="130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635" cy="130175"/>
                    </a:xfrm>
                    <a:prstGeom prst="rect">
                      <a:avLst/>
                    </a:prstGeom>
                    <a:noFill/>
                  </pic:spPr>
                </pic:pic>
              </a:graphicData>
            </a:graphic>
          </wp:anchor>
        </w:drawing>
        <w:drawing>
          <wp:anchor simplePos="0" relativeHeight="251657728" behindDoc="1" locked="0" layoutInCell="0" allowOverlap="1">
            <wp:simplePos x="0" y="0"/>
            <wp:positionH relativeFrom="page">
              <wp:posOffset>4728845</wp:posOffset>
            </wp:positionH>
            <wp:positionV relativeFrom="page">
              <wp:posOffset>487045</wp:posOffset>
            </wp:positionV>
            <wp:extent cx="1143635" cy="130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635" cy="13017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377190</wp:posOffset>
            </wp:positionV>
            <wp:extent cx="729361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5"/>
          <w:szCs w:val="15"/>
          <w:color w:val="auto"/>
        </w:rPr>
        <w:t>PACIFIC ENTERPRISES AND SUBSIDIARIES</w:t>
      </w:r>
    </w:p>
    <w:p>
      <w:pPr>
        <w:spacing w:after="0" w:line="2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5"/>
          <w:szCs w:val="15"/>
          <w:color w:val="auto"/>
        </w:rPr>
        <w:t>CONSOLIDATED BALANCE SHEETS</w:t>
      </w:r>
    </w:p>
    <w:p>
      <w:pPr>
        <w:spacing w:after="0" w:line="240"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44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(Dollars in millions)</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March 31,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December 31,</w:t>
            </w:r>
          </w:p>
        </w:tc>
        <w:tc>
          <w:tcPr>
            <w:tcW w:w="0" w:type="dxa"/>
            <w:vAlign w:val="bottom"/>
          </w:tcPr>
          <w:p>
            <w:pPr>
              <w:spacing w:after="0"/>
              <w:rPr>
                <w:sz w:val="1"/>
                <w:szCs w:val="1"/>
                <w:color w:val="auto"/>
              </w:rPr>
            </w:pPr>
          </w:p>
        </w:tc>
      </w:tr>
      <w:tr>
        <w:trPr>
          <w:trHeight w:val="199"/>
        </w:trPr>
        <w:tc>
          <w:tcPr>
            <w:tcW w:w="4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2005</w:t>
            </w:r>
          </w:p>
        </w:tc>
        <w:tc>
          <w:tcPr>
            <w:tcW w:w="0" w:type="dxa"/>
            <w:vAlign w:val="bottom"/>
          </w:tcPr>
          <w:p>
            <w:pPr>
              <w:spacing w:after="0"/>
              <w:rPr>
                <w:sz w:val="1"/>
                <w:szCs w:val="1"/>
                <w:color w:val="auto"/>
              </w:rPr>
            </w:pPr>
          </w:p>
        </w:tc>
      </w:tr>
      <w:tr>
        <w:trPr>
          <w:trHeight w:val="212"/>
        </w:trPr>
        <w:tc>
          <w:tcPr>
            <w:tcW w:w="4480" w:type="dxa"/>
            <w:vAlign w:val="bottom"/>
            <w:shd w:val="clear" w:color="auto" w:fill="000000"/>
          </w:tcPr>
          <w:p>
            <w:pPr>
              <w:spacing w:after="0"/>
              <w:rPr>
                <w:sz w:val="18"/>
                <w:szCs w:val="18"/>
                <w:color w:val="auto"/>
              </w:rPr>
            </w:pPr>
          </w:p>
        </w:tc>
        <w:tc>
          <w:tcPr>
            <w:tcW w:w="160" w:type="dxa"/>
            <w:vAlign w:val="bottom"/>
            <w:shd w:val="clear" w:color="auto" w:fill="000000"/>
          </w:tcPr>
          <w:p>
            <w:pPr>
              <w:spacing w:after="0"/>
              <w:rPr>
                <w:sz w:val="18"/>
                <w:szCs w:val="18"/>
                <w:color w:val="auto"/>
              </w:rPr>
            </w:pPr>
          </w:p>
        </w:tc>
        <w:tc>
          <w:tcPr>
            <w:tcW w:w="1060" w:type="dxa"/>
            <w:vAlign w:val="bottom"/>
            <w:gridSpan w:val="2"/>
            <w:shd w:val="clear" w:color="auto" w:fill="000000"/>
          </w:tcPr>
          <w:p>
            <w:pPr>
              <w:spacing w:after="0"/>
              <w:rPr>
                <w:sz w:val="18"/>
                <w:szCs w:val="18"/>
                <w:color w:val="auto"/>
              </w:rPr>
            </w:pPr>
          </w:p>
        </w:tc>
        <w:tc>
          <w:tcPr>
            <w:tcW w:w="960" w:type="dxa"/>
            <w:vAlign w:val="bottom"/>
            <w:gridSpan w:val="2"/>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4"/>
          </w:tcPr>
          <w:p>
            <w:pPr>
              <w:jc w:val="right"/>
              <w:ind w:right="666"/>
              <w:spacing w:after="0"/>
              <w:rPr>
                <w:sz w:val="20"/>
                <w:szCs w:val="20"/>
                <w:color w:val="auto"/>
              </w:rPr>
            </w:pPr>
            <w:r>
              <w:rPr>
                <w:rFonts w:ascii="Times New Roman" w:cs="Times New Roman" w:eastAsia="Times New Roman" w:hAnsi="Times New Roman"/>
                <w:sz w:val="15"/>
                <w:szCs w:val="15"/>
                <w:color w:val="auto"/>
              </w:rPr>
              <w:t>(unaudited)</w:t>
            </w:r>
          </w:p>
        </w:tc>
        <w:tc>
          <w:tcPr>
            <w:tcW w:w="0" w:type="dxa"/>
            <w:vAlign w:val="bottom"/>
          </w:tcPr>
          <w:p>
            <w:pPr>
              <w:spacing w:after="0"/>
              <w:rPr>
                <w:sz w:val="1"/>
                <w:szCs w:val="1"/>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371</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228"/>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Accounts receivable - trade</w:t>
            </w:r>
          </w:p>
        </w:tc>
        <w:tc>
          <w:tcPr>
            <w:tcW w:w="160" w:type="dxa"/>
            <w:vAlign w:val="bottom"/>
          </w:tcPr>
          <w:p>
            <w:pPr>
              <w:spacing w:after="0"/>
              <w:rPr>
                <w:sz w:val="19"/>
                <w:szCs w:val="19"/>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658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694</w:t>
            </w:r>
          </w:p>
        </w:tc>
        <w:tc>
          <w:tcPr>
            <w:tcW w:w="0" w:type="dxa"/>
            <w:vAlign w:val="bottom"/>
          </w:tcPr>
          <w:p>
            <w:pPr>
              <w:spacing w:after="0"/>
              <w:rPr>
                <w:sz w:val="1"/>
                <w:szCs w:val="1"/>
                <w:color w:val="auto"/>
              </w:rPr>
            </w:pPr>
          </w:p>
        </w:tc>
      </w:tr>
      <w:tr>
        <w:trPr>
          <w:trHeight w:val="228"/>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Accounts receivable - other</w:t>
            </w:r>
          </w:p>
        </w:tc>
        <w:tc>
          <w:tcPr>
            <w:tcW w:w="160" w:type="dxa"/>
            <w:vAlign w:val="bottom"/>
          </w:tcPr>
          <w:p>
            <w:pPr>
              <w:spacing w:after="0"/>
              <w:rPr>
                <w:sz w:val="19"/>
                <w:szCs w:val="19"/>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228"/>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Interest receivable</w:t>
            </w:r>
          </w:p>
        </w:tc>
        <w:tc>
          <w:tcPr>
            <w:tcW w:w="160" w:type="dxa"/>
            <w:vAlign w:val="bottom"/>
          </w:tcPr>
          <w:p>
            <w:pPr>
              <w:spacing w:after="0"/>
              <w:rPr>
                <w:sz w:val="19"/>
                <w:szCs w:val="19"/>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28"/>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Due from unconsolidated affiliates</w:t>
            </w:r>
          </w:p>
        </w:tc>
        <w:tc>
          <w:tcPr>
            <w:tcW w:w="160" w:type="dxa"/>
            <w:vAlign w:val="bottom"/>
          </w:tcPr>
          <w:p>
            <w:pPr>
              <w:spacing w:after="0"/>
              <w:rPr>
                <w:sz w:val="19"/>
                <w:szCs w:val="19"/>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28"/>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Income taxes receivable</w:t>
            </w:r>
          </w:p>
        </w:tc>
        <w:tc>
          <w:tcPr>
            <w:tcW w:w="160" w:type="dxa"/>
            <w:vAlign w:val="bottom"/>
          </w:tcPr>
          <w:p>
            <w:pPr>
              <w:spacing w:after="0"/>
              <w:rPr>
                <w:sz w:val="19"/>
                <w:szCs w:val="19"/>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166</w:t>
            </w:r>
          </w:p>
        </w:tc>
        <w:tc>
          <w:tcPr>
            <w:tcW w:w="0" w:type="dxa"/>
            <w:vAlign w:val="bottom"/>
          </w:tcPr>
          <w:p>
            <w:pPr>
              <w:spacing w:after="0"/>
              <w:rPr>
                <w:sz w:val="1"/>
                <w:szCs w:val="1"/>
                <w:color w:val="auto"/>
              </w:rPr>
            </w:pPr>
          </w:p>
        </w:tc>
      </w:tr>
      <w:tr>
        <w:trPr>
          <w:trHeight w:val="228"/>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Deferred income taxes</w:t>
            </w:r>
          </w:p>
        </w:tc>
        <w:tc>
          <w:tcPr>
            <w:tcW w:w="160" w:type="dxa"/>
            <w:vAlign w:val="bottom"/>
          </w:tcPr>
          <w:p>
            <w:pPr>
              <w:spacing w:after="0"/>
              <w:rPr>
                <w:sz w:val="19"/>
                <w:szCs w:val="19"/>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18"/>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Regulatory assets arising from fixed-price contracts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80" w:type="dxa"/>
            <w:vAlign w:val="bottom"/>
          </w:tcPr>
          <w:p>
            <w:pPr>
              <w:jc w:val="center"/>
              <w:ind w:right="2246"/>
              <w:spacing w:after="0"/>
              <w:rPr>
                <w:sz w:val="20"/>
                <w:szCs w:val="20"/>
                <w:color w:val="auto"/>
              </w:rPr>
            </w:pPr>
            <w:r>
              <w:rPr>
                <w:rFonts w:ascii="Times New Roman" w:cs="Times New Roman" w:eastAsia="Times New Roman" w:hAnsi="Times New Roman"/>
                <w:sz w:val="15"/>
                <w:szCs w:val="15"/>
                <w:color w:val="auto"/>
                <w:w w:val="98"/>
              </w:rPr>
              <w:t>and other derivatives</w:t>
            </w:r>
          </w:p>
        </w:tc>
        <w:tc>
          <w:tcPr>
            <w:tcW w:w="160" w:type="dxa"/>
            <w:vAlign w:val="bottom"/>
          </w:tcPr>
          <w:p>
            <w:pPr>
              <w:spacing w:after="0"/>
              <w:rPr>
                <w:sz w:val="16"/>
                <w:szCs w:val="16"/>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05"/>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regulatory assets</w:t>
            </w:r>
          </w:p>
        </w:tc>
        <w:tc>
          <w:tcPr>
            <w:tcW w:w="160" w:type="dxa"/>
            <w:vAlign w:val="bottom"/>
          </w:tcPr>
          <w:p>
            <w:pPr>
              <w:spacing w:after="0"/>
              <w:rPr>
                <w:sz w:val="17"/>
                <w:szCs w:val="17"/>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28"/>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Inventories</w:t>
            </w:r>
          </w:p>
        </w:tc>
        <w:tc>
          <w:tcPr>
            <w:tcW w:w="160" w:type="dxa"/>
            <w:vAlign w:val="bottom"/>
          </w:tcPr>
          <w:p>
            <w:pPr>
              <w:spacing w:after="0"/>
              <w:rPr>
                <w:sz w:val="19"/>
                <w:szCs w:val="19"/>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121</w:t>
            </w:r>
          </w:p>
        </w:tc>
        <w:tc>
          <w:tcPr>
            <w:tcW w:w="0" w:type="dxa"/>
            <w:vAlign w:val="bottom"/>
          </w:tcPr>
          <w:p>
            <w:pPr>
              <w:spacing w:after="0"/>
              <w:rPr>
                <w:sz w:val="1"/>
                <w:szCs w:val="1"/>
                <w:color w:val="auto"/>
              </w:rPr>
            </w:pPr>
          </w:p>
        </w:tc>
      </w:tr>
      <w:tr>
        <w:trPr>
          <w:trHeight w:val="228"/>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9"/>
                <w:szCs w:val="19"/>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36"/>
        </w:trPr>
        <w:tc>
          <w:tcPr>
            <w:tcW w:w="448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rPr>
              <w:t>Total current assets</w:t>
            </w: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80" w:type="dxa"/>
            <w:vAlign w:val="bottom"/>
            <w:vMerge w:val="continue"/>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1,325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1,246</w:t>
            </w:r>
          </w:p>
        </w:tc>
        <w:tc>
          <w:tcPr>
            <w:tcW w:w="0" w:type="dxa"/>
            <w:vAlign w:val="bottom"/>
          </w:tcPr>
          <w:p>
            <w:pPr>
              <w:spacing w:after="0"/>
              <w:rPr>
                <w:sz w:val="1"/>
                <w:szCs w:val="1"/>
                <w:color w:val="auto"/>
              </w:rPr>
            </w:pPr>
          </w:p>
        </w:tc>
      </w:tr>
      <w:tr>
        <w:trPr>
          <w:trHeight w:val="36"/>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80" w:type="dxa"/>
            <w:vAlign w:val="bottom"/>
            <w:vMerge w:val="continue"/>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Due from unconsolidated affiliates</w:t>
            </w:r>
          </w:p>
        </w:tc>
        <w:tc>
          <w:tcPr>
            <w:tcW w:w="16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416</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414</w:t>
            </w:r>
          </w:p>
        </w:tc>
        <w:tc>
          <w:tcPr>
            <w:tcW w:w="0" w:type="dxa"/>
            <w:vAlign w:val="bottom"/>
          </w:tcPr>
          <w:p>
            <w:pPr>
              <w:spacing w:after="0"/>
              <w:rPr>
                <w:sz w:val="1"/>
                <w:szCs w:val="1"/>
                <w:color w:val="auto"/>
              </w:rPr>
            </w:pPr>
          </w:p>
        </w:tc>
      </w:tr>
      <w:tr>
        <w:trPr>
          <w:trHeight w:val="228"/>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regulatory assets</w:t>
            </w:r>
          </w:p>
        </w:tc>
        <w:tc>
          <w:tcPr>
            <w:tcW w:w="160" w:type="dxa"/>
            <w:vAlign w:val="bottom"/>
          </w:tcPr>
          <w:p>
            <w:pPr>
              <w:spacing w:after="0"/>
              <w:rPr>
                <w:sz w:val="19"/>
                <w:szCs w:val="19"/>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143</w:t>
            </w:r>
          </w:p>
        </w:tc>
        <w:tc>
          <w:tcPr>
            <w:tcW w:w="0" w:type="dxa"/>
            <w:vAlign w:val="bottom"/>
          </w:tcPr>
          <w:p>
            <w:pPr>
              <w:spacing w:after="0"/>
              <w:rPr>
                <w:sz w:val="1"/>
                <w:szCs w:val="1"/>
                <w:color w:val="auto"/>
              </w:rPr>
            </w:pPr>
          </w:p>
        </w:tc>
      </w:tr>
      <w:tr>
        <w:trPr>
          <w:trHeight w:val="205"/>
        </w:trPr>
        <w:tc>
          <w:tcPr>
            <w:tcW w:w="4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Sundry</w:t>
            </w:r>
          </w:p>
        </w:tc>
        <w:tc>
          <w:tcPr>
            <w:tcW w:w="160" w:type="dxa"/>
            <w:vAlign w:val="bottom"/>
          </w:tcPr>
          <w:p>
            <w:pPr>
              <w:spacing w:after="0"/>
              <w:rPr>
                <w:sz w:val="17"/>
                <w:szCs w:val="17"/>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36"/>
        </w:trPr>
        <w:tc>
          <w:tcPr>
            <w:tcW w:w="448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rPr>
              <w:t>Total other assets</w:t>
            </w: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80" w:type="dxa"/>
            <w:vAlign w:val="bottom"/>
            <w:vMerge w:val="continue"/>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606</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612</w:t>
            </w:r>
          </w:p>
        </w:tc>
        <w:tc>
          <w:tcPr>
            <w:tcW w:w="0" w:type="dxa"/>
            <w:vAlign w:val="bottom"/>
          </w:tcPr>
          <w:p>
            <w:pPr>
              <w:spacing w:after="0"/>
              <w:rPr>
                <w:sz w:val="1"/>
                <w:szCs w:val="1"/>
                <w:color w:val="auto"/>
              </w:rPr>
            </w:pPr>
          </w:p>
        </w:tc>
      </w:tr>
      <w:tr>
        <w:trPr>
          <w:trHeight w:val="36"/>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80" w:type="dxa"/>
            <w:vAlign w:val="bottom"/>
            <w:vMerge w:val="continue"/>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480" w:type="dxa"/>
            <w:vAlign w:val="bottom"/>
          </w:tcPr>
          <w:p>
            <w:pPr>
              <w:jc w:val="center"/>
              <w:ind w:right="2266"/>
              <w:spacing w:after="0"/>
              <w:rPr>
                <w:sz w:val="20"/>
                <w:szCs w:val="20"/>
                <w:color w:val="auto"/>
              </w:rPr>
            </w:pPr>
            <w:r>
              <w:rPr>
                <w:rFonts w:ascii="Times New Roman" w:cs="Times New Roman" w:eastAsia="Times New Roman" w:hAnsi="Times New Roman"/>
                <w:sz w:val="15"/>
                <w:szCs w:val="15"/>
                <w:color w:val="auto"/>
                <w:w w:val="97"/>
              </w:rPr>
              <w:t>Property, plant and equipment</w:t>
            </w:r>
          </w:p>
        </w:tc>
        <w:tc>
          <w:tcPr>
            <w:tcW w:w="16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7,845</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7,764</w:t>
            </w:r>
          </w:p>
        </w:tc>
        <w:tc>
          <w:tcPr>
            <w:tcW w:w="0" w:type="dxa"/>
            <w:vAlign w:val="bottom"/>
          </w:tcPr>
          <w:p>
            <w:pPr>
              <w:spacing w:after="0"/>
              <w:rPr>
                <w:sz w:val="1"/>
                <w:szCs w:val="1"/>
                <w:color w:val="auto"/>
              </w:rPr>
            </w:pPr>
          </w:p>
        </w:tc>
      </w:tr>
      <w:tr>
        <w:trPr>
          <w:trHeight w:val="234"/>
        </w:trPr>
        <w:tc>
          <w:tcPr>
            <w:tcW w:w="4480" w:type="dxa"/>
            <w:vAlign w:val="bottom"/>
          </w:tcPr>
          <w:p>
            <w:pPr>
              <w:jc w:val="center"/>
              <w:ind w:right="2226"/>
              <w:spacing w:after="0"/>
              <w:rPr>
                <w:sz w:val="20"/>
                <w:szCs w:val="20"/>
                <w:color w:val="auto"/>
              </w:rPr>
            </w:pPr>
            <w:r>
              <w:rPr>
                <w:rFonts w:ascii="Times New Roman" w:cs="Times New Roman" w:eastAsia="Times New Roman" w:hAnsi="Times New Roman"/>
                <w:sz w:val="15"/>
                <w:szCs w:val="15"/>
                <w:color w:val="auto"/>
                <w:w w:val="98"/>
              </w:rPr>
              <w:t>Less accumulated depreciation</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(3,133 )</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(3,091 )</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160" w:type="dxa"/>
            <w:vAlign w:val="bottom"/>
            <w:shd w:val="clear" w:color="auto" w:fill="000000"/>
          </w:tcPr>
          <w:p>
            <w:pPr>
              <w:spacing w:after="0"/>
              <w:rPr>
                <w:sz w:val="18"/>
                <w:szCs w:val="18"/>
                <w:color w:val="auto"/>
              </w:rPr>
            </w:pPr>
          </w:p>
        </w:tc>
        <w:tc>
          <w:tcPr>
            <w:tcW w:w="7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86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160" w:type="dxa"/>
            <w:vAlign w:val="bottom"/>
          </w:tcPr>
          <w:p>
            <w:pPr>
              <w:spacing w:after="0"/>
              <w:rPr>
                <w:sz w:val="18"/>
                <w:szCs w:val="18"/>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4,712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4,673</w:t>
            </w:r>
          </w:p>
        </w:tc>
        <w:tc>
          <w:tcPr>
            <w:tcW w:w="0" w:type="dxa"/>
            <w:vAlign w:val="bottom"/>
          </w:tcPr>
          <w:p>
            <w:pPr>
              <w:spacing w:after="0"/>
              <w:rPr>
                <w:sz w:val="1"/>
                <w:szCs w:val="1"/>
                <w:color w:val="auto"/>
              </w:rPr>
            </w:pPr>
          </w:p>
        </w:tc>
      </w:tr>
      <w:tr>
        <w:trPr>
          <w:trHeight w:val="218"/>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shd w:val="clear" w:color="auto" w:fill="000000"/>
          </w:tcPr>
          <w:p>
            <w:pPr>
              <w:spacing w:after="0"/>
              <w:rPr>
                <w:sz w:val="18"/>
                <w:szCs w:val="18"/>
                <w:color w:val="auto"/>
              </w:rPr>
            </w:pPr>
          </w:p>
        </w:tc>
        <w:tc>
          <w:tcPr>
            <w:tcW w:w="7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86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80" w:type="dxa"/>
            <w:vAlign w:val="bottom"/>
            <w:vMerge w:val="continue"/>
          </w:tcPr>
          <w:p>
            <w:pPr>
              <w:spacing w:after="0"/>
              <w:rPr>
                <w:sz w:val="16"/>
                <w:szCs w:val="16"/>
                <w:color w:val="auto"/>
              </w:rPr>
            </w:pP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6,643</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6,531</w:t>
            </w:r>
          </w:p>
        </w:tc>
        <w:tc>
          <w:tcPr>
            <w:tcW w:w="0" w:type="dxa"/>
            <w:vAlign w:val="bottom"/>
          </w:tcPr>
          <w:p>
            <w:pPr>
              <w:spacing w:after="0"/>
              <w:rPr>
                <w:sz w:val="1"/>
                <w:szCs w:val="1"/>
                <w:color w:val="auto"/>
              </w:rPr>
            </w:pPr>
          </w:p>
        </w:tc>
      </w:tr>
      <w:tr>
        <w:trPr>
          <w:trHeight w:val="36"/>
        </w:trPr>
        <w:tc>
          <w:tcPr>
            <w:tcW w:w="4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80" w:type="dxa"/>
            <w:vAlign w:val="bottom"/>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80" w:type="dxa"/>
            <w:vAlign w:val="bottom"/>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377190</wp:posOffset>
            </wp:positionV>
            <wp:extent cx="729361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5"/>
          <w:szCs w:val="15"/>
          <w:color w:val="auto"/>
        </w:rPr>
        <w:t>PACIFIC ENTERPRISES AND SUBSIDIARIES</w:t>
      </w:r>
    </w:p>
    <w:p>
      <w:pPr>
        <w:spacing w:after="0" w:line="2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5"/>
          <w:szCs w:val="15"/>
          <w:color w:val="auto"/>
        </w:rPr>
        <w:t>CONSOLIDATED BALANCE SHEETS</w:t>
      </w:r>
    </w:p>
    <w:p>
      <w:pPr>
        <w:spacing w:after="0" w:line="240"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(Dollars in millions)</w:t>
            </w:r>
          </w:p>
        </w:tc>
        <w:tc>
          <w:tcPr>
            <w:tcW w:w="880" w:type="dxa"/>
            <w:vAlign w:val="bottom"/>
          </w:tcPr>
          <w:p>
            <w:pPr>
              <w:spacing w:after="0"/>
              <w:rPr>
                <w:sz w:val="15"/>
                <w:szCs w:val="15"/>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March 31,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December 31,</w:t>
            </w:r>
          </w:p>
        </w:tc>
        <w:tc>
          <w:tcPr>
            <w:tcW w:w="0" w:type="dxa"/>
            <w:vAlign w:val="bottom"/>
          </w:tcPr>
          <w:p>
            <w:pPr>
              <w:spacing w:after="0"/>
              <w:rPr>
                <w:sz w:val="1"/>
                <w:szCs w:val="1"/>
                <w:color w:val="auto"/>
              </w:rPr>
            </w:pPr>
          </w:p>
        </w:tc>
      </w:tr>
      <w:tr>
        <w:trPr>
          <w:trHeight w:val="199"/>
        </w:trPr>
        <w:tc>
          <w:tcPr>
            <w:tcW w:w="37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2006</w:t>
            </w:r>
          </w:p>
        </w:tc>
        <w:tc>
          <w:tcPr>
            <w:tcW w:w="6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2005</w:t>
            </w:r>
          </w:p>
        </w:tc>
        <w:tc>
          <w:tcPr>
            <w:tcW w:w="0" w:type="dxa"/>
            <w:vAlign w:val="bottom"/>
          </w:tcPr>
          <w:p>
            <w:pPr>
              <w:spacing w:after="0"/>
              <w:rPr>
                <w:sz w:val="1"/>
                <w:szCs w:val="1"/>
                <w:color w:val="auto"/>
              </w:rPr>
            </w:pPr>
          </w:p>
        </w:tc>
      </w:tr>
      <w:tr>
        <w:trPr>
          <w:trHeight w:val="212"/>
        </w:trPr>
        <w:tc>
          <w:tcPr>
            <w:tcW w:w="3760" w:type="dxa"/>
            <w:vAlign w:val="bottom"/>
            <w:shd w:val="clear" w:color="auto" w:fill="000000"/>
          </w:tcPr>
          <w:p>
            <w:pPr>
              <w:spacing w:after="0"/>
              <w:rPr>
                <w:sz w:val="18"/>
                <w:szCs w:val="18"/>
                <w:color w:val="auto"/>
              </w:rPr>
            </w:pPr>
          </w:p>
        </w:tc>
        <w:tc>
          <w:tcPr>
            <w:tcW w:w="880" w:type="dxa"/>
            <w:vAlign w:val="bottom"/>
            <w:shd w:val="clear" w:color="auto" w:fill="000000"/>
          </w:tcPr>
          <w:p>
            <w:pPr>
              <w:spacing w:after="0"/>
              <w:rPr>
                <w:sz w:val="18"/>
                <w:szCs w:val="18"/>
                <w:color w:val="auto"/>
              </w:rPr>
            </w:pPr>
          </w:p>
        </w:tc>
        <w:tc>
          <w:tcPr>
            <w:tcW w:w="1480" w:type="dxa"/>
            <w:vAlign w:val="bottom"/>
            <w:gridSpan w:val="2"/>
            <w:shd w:val="clear" w:color="auto" w:fill="000000"/>
          </w:tcPr>
          <w:p>
            <w:pPr>
              <w:spacing w:after="0"/>
              <w:rPr>
                <w:sz w:val="18"/>
                <w:szCs w:val="18"/>
                <w:color w:val="auto"/>
              </w:rPr>
            </w:pPr>
          </w:p>
        </w:tc>
        <w:tc>
          <w:tcPr>
            <w:tcW w:w="54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(unaudited)</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 AND SHAREHOLDERS' EQUITY</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Short-term debt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228"/>
        </w:trPr>
        <w:tc>
          <w:tcPr>
            <w:tcW w:w="3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 - trade</w:t>
            </w:r>
          </w:p>
        </w:tc>
        <w:tc>
          <w:tcPr>
            <w:tcW w:w="880" w:type="dxa"/>
            <w:vAlign w:val="bottom"/>
          </w:tcPr>
          <w:p>
            <w:pPr>
              <w:spacing w:after="0"/>
              <w:rPr>
                <w:sz w:val="19"/>
                <w:szCs w:val="19"/>
                <w:color w:val="auto"/>
              </w:rPr>
            </w:pPr>
          </w:p>
        </w:tc>
        <w:tc>
          <w:tcPr>
            <w:tcW w:w="88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275</w:t>
            </w:r>
          </w:p>
        </w:tc>
        <w:tc>
          <w:tcPr>
            <w:tcW w:w="6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344</w:t>
            </w:r>
          </w:p>
        </w:tc>
        <w:tc>
          <w:tcPr>
            <w:tcW w:w="0" w:type="dxa"/>
            <w:vAlign w:val="bottom"/>
          </w:tcPr>
          <w:p>
            <w:pPr>
              <w:spacing w:after="0"/>
              <w:rPr>
                <w:sz w:val="1"/>
                <w:szCs w:val="1"/>
                <w:color w:val="auto"/>
              </w:rPr>
            </w:pPr>
          </w:p>
        </w:tc>
      </w:tr>
    </w:tbl>
    <w:p>
      <w:pPr>
        <w:sectPr>
          <w:pgSz w:w="11900" w:h="16925" w:orient="portrait"/>
          <w:cols w:equalWidth="0" w:num="1">
            <w:col w:w="9019"/>
          </w:cols>
          <w:pgMar w:left="1440" w:top="1143" w:right="1440" w:bottom="0" w:gutter="0" w:footer="0" w:header="0"/>
        </w:sectPr>
      </w:pPr>
    </w:p>
    <w:bookmarkStart w:id="3" w:name="page4"/>
    <w:bookmarkEnd w:id="3"/>
    <w:p>
      <w:pPr>
        <w:spacing w:after="0" w:line="54"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 - other</w:t>
            </w:r>
          </w:p>
        </w:tc>
        <w:tc>
          <w:tcPr>
            <w:tcW w:w="260" w:type="dxa"/>
            <w:vAlign w:val="bottom"/>
          </w:tcPr>
          <w:p>
            <w:pPr>
              <w:spacing w:after="0"/>
              <w:rPr>
                <w:sz w:val="16"/>
                <w:szCs w:val="16"/>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Due to unconsolidated affiliates</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165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176</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Regulatory balancing accounts, net</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193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Fixed-price contracts and other derivatives</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Customer deposits</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Temporary LIFO liquidation</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36"/>
        </w:trPr>
        <w:tc>
          <w:tcPr>
            <w:tcW w:w="446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1,221</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1,117</w:t>
            </w:r>
          </w:p>
        </w:tc>
        <w:tc>
          <w:tcPr>
            <w:tcW w:w="0" w:type="dxa"/>
            <w:vAlign w:val="bottom"/>
          </w:tcPr>
          <w:p>
            <w:pPr>
              <w:spacing w:after="0"/>
              <w:rPr>
                <w:sz w:val="1"/>
                <w:szCs w:val="1"/>
                <w:color w:val="auto"/>
              </w:rPr>
            </w:pPr>
          </w:p>
        </w:tc>
      </w:tr>
      <w:tr>
        <w:trPr>
          <w:trHeight w:val="36"/>
        </w:trPr>
        <w:tc>
          <w:tcPr>
            <w:tcW w:w="44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Long-term debt</w:t>
            </w: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1,098</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1,100</w:t>
            </w:r>
          </w:p>
        </w:tc>
        <w:tc>
          <w:tcPr>
            <w:tcW w:w="0" w:type="dxa"/>
            <w:vAlign w:val="bottom"/>
          </w:tcPr>
          <w:p>
            <w:pPr>
              <w:spacing w:after="0"/>
              <w:rPr>
                <w:sz w:val="1"/>
                <w:szCs w:val="1"/>
                <w:color w:val="auto"/>
              </w:rPr>
            </w:pPr>
          </w:p>
        </w:tc>
      </w:tr>
      <w:tr>
        <w:trPr>
          <w:trHeight w:val="36"/>
        </w:trPr>
        <w:tc>
          <w:tcPr>
            <w:tcW w:w="44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Deferred credits and other liabilities:</w:t>
            </w: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Customer advances for construction</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Postretirement benefits other than pensions</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65</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income taxes</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investment tax credits</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251"/>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Regulatory liabilities arising from removal obligations</w:t>
            </w:r>
          </w:p>
        </w:tc>
        <w:tc>
          <w:tcPr>
            <w:tcW w:w="260" w:type="dxa"/>
            <w:vAlign w:val="bottom"/>
          </w:tcPr>
          <w:p>
            <w:pPr>
              <w:spacing w:after="0"/>
              <w:rPr>
                <w:sz w:val="21"/>
                <w:szCs w:val="21"/>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1,104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1,097</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504</w:t>
            </w:r>
          </w:p>
        </w:tc>
        <w:tc>
          <w:tcPr>
            <w:tcW w:w="0" w:type="dxa"/>
            <w:vAlign w:val="bottom"/>
          </w:tcPr>
          <w:p>
            <w:pPr>
              <w:spacing w:after="0"/>
              <w:rPr>
                <w:sz w:val="1"/>
                <w:szCs w:val="1"/>
                <w:color w:val="auto"/>
              </w:rPr>
            </w:pPr>
          </w:p>
        </w:tc>
      </w:tr>
      <w:tr>
        <w:trPr>
          <w:trHeight w:val="205"/>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taxes refundable in rates</w:t>
            </w:r>
          </w:p>
        </w:tc>
        <w:tc>
          <w:tcPr>
            <w:tcW w:w="260" w:type="dxa"/>
            <w:vAlign w:val="bottom"/>
          </w:tcPr>
          <w:p>
            <w:pPr>
              <w:spacing w:after="0"/>
              <w:rPr>
                <w:sz w:val="17"/>
                <w:szCs w:val="17"/>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Fixed-price contracts and other derivatives</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Preferred stock of subsidiary</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credits and other</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343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355</w:t>
            </w:r>
          </w:p>
        </w:tc>
        <w:tc>
          <w:tcPr>
            <w:tcW w:w="0" w:type="dxa"/>
            <w:vAlign w:val="bottom"/>
          </w:tcPr>
          <w:p>
            <w:pPr>
              <w:spacing w:after="0"/>
              <w:rPr>
                <w:sz w:val="1"/>
                <w:szCs w:val="1"/>
                <w:color w:val="auto"/>
              </w:rPr>
            </w:pPr>
          </w:p>
        </w:tc>
      </w:tr>
      <w:tr>
        <w:trPr>
          <w:trHeight w:val="36"/>
        </w:trPr>
        <w:tc>
          <w:tcPr>
            <w:tcW w:w="446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Total deferred credits and other liabilities</w:t>
            </w: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2,490</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2,480</w:t>
            </w:r>
          </w:p>
        </w:tc>
        <w:tc>
          <w:tcPr>
            <w:tcW w:w="0" w:type="dxa"/>
            <w:vAlign w:val="bottom"/>
          </w:tcPr>
          <w:p>
            <w:pPr>
              <w:spacing w:after="0"/>
              <w:rPr>
                <w:sz w:val="1"/>
                <w:szCs w:val="1"/>
                <w:color w:val="auto"/>
              </w:rPr>
            </w:pPr>
          </w:p>
        </w:tc>
      </w:tr>
      <w:tr>
        <w:trPr>
          <w:trHeight w:val="36"/>
        </w:trPr>
        <w:tc>
          <w:tcPr>
            <w:tcW w:w="44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Commitments and contingencies (Note 6)</w:t>
            </w: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460" w:type="dxa"/>
            <w:vAlign w:val="bottom"/>
          </w:tcPr>
          <w:p>
            <w:pPr>
              <w:spacing w:after="0"/>
              <w:rPr>
                <w:sz w:val="20"/>
                <w:szCs w:val="20"/>
                <w:color w:val="auto"/>
              </w:rPr>
            </w:pPr>
            <w:r>
              <w:rPr>
                <w:rFonts w:ascii="Times New Roman" w:cs="Times New Roman" w:eastAsia="Times New Roman" w:hAnsi="Times New Roman"/>
                <w:sz w:val="15"/>
                <w:szCs w:val="15"/>
                <w:color w:val="auto"/>
              </w:rPr>
              <w:t>Shareholders' equity:</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Preferred stock</w:t>
            </w:r>
          </w:p>
        </w:tc>
        <w:tc>
          <w:tcPr>
            <w:tcW w:w="260" w:type="dxa"/>
            <w:vAlign w:val="bottom"/>
          </w:tcPr>
          <w:p>
            <w:pPr>
              <w:spacing w:after="0"/>
              <w:rPr>
                <w:sz w:val="21"/>
                <w:szCs w:val="21"/>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205"/>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Common stock (600 million shares authorized;</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84 million shares outstanding)</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1,453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1,453</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Retained earnings</w:t>
            </w:r>
          </w:p>
        </w:tc>
        <w:tc>
          <w:tcPr>
            <w:tcW w:w="26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306</w:t>
            </w:r>
          </w:p>
        </w:tc>
        <w:tc>
          <w:tcPr>
            <w:tcW w:w="0" w:type="dxa"/>
            <w:vAlign w:val="bottom"/>
          </w:tcPr>
          <w:p>
            <w:pPr>
              <w:spacing w:after="0"/>
              <w:rPr>
                <w:sz w:val="1"/>
                <w:szCs w:val="1"/>
                <w:color w:val="auto"/>
              </w:rPr>
            </w:pPr>
          </w:p>
        </w:tc>
      </w:tr>
      <w:tr>
        <w:trPr>
          <w:trHeight w:val="228"/>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36"/>
        </w:trPr>
        <w:tc>
          <w:tcPr>
            <w:tcW w:w="44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Total shareholders' equity</w:t>
            </w: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1,834</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1,834</w:t>
            </w:r>
          </w:p>
        </w:tc>
        <w:tc>
          <w:tcPr>
            <w:tcW w:w="0" w:type="dxa"/>
            <w:vAlign w:val="bottom"/>
          </w:tcPr>
          <w:p>
            <w:pPr>
              <w:spacing w:after="0"/>
              <w:rPr>
                <w:sz w:val="1"/>
                <w:szCs w:val="1"/>
                <w:color w:val="auto"/>
              </w:rPr>
            </w:pPr>
          </w:p>
        </w:tc>
      </w:tr>
      <w:tr>
        <w:trPr>
          <w:trHeight w:val="36"/>
        </w:trPr>
        <w:tc>
          <w:tcPr>
            <w:tcW w:w="44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Total liabilities and shareholders' equity</w:t>
            </w: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vMerge w:val="continue"/>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6,643</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6,531</w:t>
            </w: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60" w:type="dxa"/>
            <w:vAlign w:val="bottom"/>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377190</wp:posOffset>
            </wp:positionV>
            <wp:extent cx="729361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PACIFIC ENTERPRISES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CONDENSED STATEMENTS OF CONSOLIDATED CASH FLOWS</w:t>
      </w:r>
    </w:p>
    <w:p>
      <w:pPr>
        <w:spacing w:after="0" w:line="200" w:lineRule="exact"/>
        <w:rPr>
          <w:sz w:val="20"/>
          <w:szCs w:val="20"/>
          <w:color w:val="auto"/>
        </w:rPr>
      </w:pPr>
    </w:p>
    <w:p>
      <w:pPr>
        <w:spacing w:after="0" w:line="325"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5"/>
          </w:tcPr>
          <w:p>
            <w:pPr>
              <w:jc w:val="center"/>
              <w:ind w:right="66"/>
              <w:spacing w:after="0"/>
              <w:rPr>
                <w:sz w:val="20"/>
                <w:szCs w:val="20"/>
                <w:color w:val="auto"/>
              </w:rPr>
            </w:pPr>
            <w:r>
              <w:rPr>
                <w:rFonts w:ascii="Times New Roman" w:cs="Times New Roman" w:eastAsia="Times New Roman" w:hAnsi="Times New Roman"/>
                <w:sz w:val="15"/>
                <w:szCs w:val="15"/>
                <w:color w:val="auto"/>
                <w:w w:val="99"/>
              </w:rPr>
              <w:t>Three months ended</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March 31,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8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(Dollars in millions)</w:t>
            </w: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4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46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2006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w w:val="99"/>
              </w:rPr>
              <w:t>2005</w:t>
            </w:r>
          </w:p>
        </w:tc>
        <w:tc>
          <w:tcPr>
            <w:tcW w:w="0" w:type="dxa"/>
            <w:vAlign w:val="bottom"/>
          </w:tcPr>
          <w:p>
            <w:pPr>
              <w:spacing w:after="0"/>
              <w:rPr>
                <w:sz w:val="1"/>
                <w:szCs w:val="1"/>
                <w:color w:val="auto"/>
              </w:rPr>
            </w:pPr>
          </w:p>
        </w:tc>
      </w:tr>
      <w:tr>
        <w:trPr>
          <w:trHeight w:val="36"/>
        </w:trPr>
        <w:tc>
          <w:tcPr>
            <w:tcW w:w="4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4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46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(unaudited)</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operating activities: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Depreciation</w:t>
            </w: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28"/>
        </w:trPr>
        <w:tc>
          <w:tcPr>
            <w:tcW w:w="48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Deferred income taxes and investment tax credits</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(3 )</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28"/>
        </w:trPr>
        <w:tc>
          <w:tcPr>
            <w:tcW w:w="48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changes in other working capital components</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330</w:t>
            </w: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Changes in other assets</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Changes in other liabilities</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0" w:type="dxa"/>
            <w:vAlign w:val="bottom"/>
          </w:tcPr>
          <w:p>
            <w:pPr>
              <w:spacing w:after="0"/>
              <w:rPr>
                <w:sz w:val="1"/>
                <w:szCs w:val="1"/>
                <w:color w:val="auto"/>
              </w:rPr>
            </w:pPr>
          </w:p>
        </w:tc>
      </w:tr>
      <w:tr>
        <w:trPr>
          <w:trHeight w:val="36"/>
        </w:trPr>
        <w:tc>
          <w:tcPr>
            <w:tcW w:w="4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4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ectPr>
          <w:pgSz w:w="11900" w:h="16893" w:orient="portrait"/>
          <w:cols w:equalWidth="0" w:num="1">
            <w:col w:w="9019"/>
          </w:cols>
          <w:pgMar w:left="1440" w:top="356" w:right="1440" w:bottom="0" w:gutter="0" w:footer="0" w:header="0"/>
        </w:sectPr>
      </w:pPr>
    </w:p>
    <w:bookmarkStart w:id="4" w:name="page5"/>
    <w:bookmarkEnd w:id="4"/>
    <w:p>
      <w:pPr>
        <w:spacing w:after="0" w:line="62" w:lineRule="exact"/>
        <w:rPr>
          <w:sz w:val="20"/>
          <w:szCs w:val="20"/>
          <w:color w:val="auto"/>
        </w:rPr>
      </w:pPr>
    </w:p>
    <w:tbl>
      <w:tblPr>
        <w:tblLayout w:type="fixed"/>
        <w:tblInd w:w="1200" w:type="dxa"/>
        <w:tblCellMar>
          <w:top w:w="0" w:type="dxa"/>
          <w:left w:w="0" w:type="dxa"/>
          <w:bottom w:w="0" w:type="dxa"/>
          <w:right w:w="0" w:type="dxa"/>
        </w:tblCellMar>
      </w:tblPr>
      <w:tr>
        <w:trPr>
          <w:trHeight w:val="191"/>
        </w:trPr>
        <w:tc>
          <w:tcPr>
            <w:tcW w:w="48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8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590</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471</w:t>
            </w:r>
          </w:p>
        </w:tc>
        <w:tc>
          <w:tcPr>
            <w:tcW w:w="0" w:type="dxa"/>
            <w:vAlign w:val="bottom"/>
          </w:tcPr>
          <w:p>
            <w:pPr>
              <w:spacing w:after="0"/>
              <w:rPr>
                <w:sz w:val="1"/>
                <w:szCs w:val="1"/>
                <w:color w:val="auto"/>
              </w:rPr>
            </w:pPr>
          </w:p>
        </w:tc>
      </w:tr>
      <w:tr>
        <w:trPr>
          <w:trHeight w:val="47"/>
        </w:trPr>
        <w:tc>
          <w:tcPr>
            <w:tcW w:w="48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Expenditures for property, plant and equipment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(97 )</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Increase in loans to affiliates, net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(71 )</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(386 )</w:t>
            </w: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6"/>
        </w:trPr>
        <w:tc>
          <w:tcPr>
            <w:tcW w:w="48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(170 )</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(449 )</w:t>
            </w:r>
          </w:p>
        </w:tc>
        <w:tc>
          <w:tcPr>
            <w:tcW w:w="0" w:type="dxa"/>
            <w:vAlign w:val="bottom"/>
          </w:tcPr>
          <w:p>
            <w:pPr>
              <w:spacing w:after="0"/>
              <w:rPr>
                <w:sz w:val="1"/>
                <w:szCs w:val="1"/>
                <w:color w:val="auto"/>
              </w:rPr>
            </w:pPr>
          </w:p>
        </w:tc>
      </w:tr>
      <w:tr>
        <w:trPr>
          <w:trHeight w:val="36"/>
        </w:trPr>
        <w:tc>
          <w:tcPr>
            <w:tcW w:w="48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Common dividends paid</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Preferred dividends paid</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Decrease in short-term debt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(88 )</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0" w:type="dxa"/>
            <w:vAlign w:val="bottom"/>
          </w:tcPr>
          <w:p>
            <w:pPr>
              <w:spacing w:after="0"/>
              <w:rPr>
                <w:sz w:val="1"/>
                <w:szCs w:val="1"/>
                <w:color w:val="auto"/>
              </w:rPr>
            </w:pPr>
          </w:p>
        </w:tc>
      </w:tr>
      <w:tr>
        <w:trPr>
          <w:trHeight w:val="36"/>
        </w:trPr>
        <w:tc>
          <w:tcPr>
            <w:tcW w:w="48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(139 )</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0" w:type="dxa"/>
            <w:vAlign w:val="bottom"/>
          </w:tcPr>
          <w:p>
            <w:pPr>
              <w:spacing w:after="0"/>
              <w:rPr>
                <w:sz w:val="1"/>
                <w:szCs w:val="1"/>
                <w:color w:val="auto"/>
              </w:rPr>
            </w:pPr>
          </w:p>
        </w:tc>
      </w:tr>
      <w:tr>
        <w:trPr>
          <w:trHeight w:val="36"/>
        </w:trPr>
        <w:tc>
          <w:tcPr>
            <w:tcW w:w="4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Increase (decrease) in cash and cash equivalents</w:t>
            </w:r>
          </w:p>
        </w:tc>
        <w:tc>
          <w:tcPr>
            <w:tcW w:w="180" w:type="dxa"/>
            <w:vAlign w:val="bottom"/>
          </w:tcPr>
          <w:p>
            <w:pPr>
              <w:spacing w:after="0"/>
              <w:rPr>
                <w:sz w:val="24"/>
                <w:szCs w:val="24"/>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281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(9 )</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January 1</w:t>
            </w:r>
          </w:p>
        </w:tc>
        <w:tc>
          <w:tcPr>
            <w:tcW w:w="180" w:type="dxa"/>
            <w:vAlign w:val="bottom"/>
          </w:tcPr>
          <w:p>
            <w:pPr>
              <w:spacing w:after="0"/>
              <w:rPr>
                <w:sz w:val="19"/>
                <w:szCs w:val="19"/>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36"/>
        </w:trPr>
        <w:tc>
          <w:tcPr>
            <w:tcW w:w="48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and cash equivalents, March 31</w:t>
            </w: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40" w:type="dxa"/>
            <w:vAlign w:val="bottom"/>
            <w:vMerge w:val="continue"/>
          </w:tcPr>
          <w:p>
            <w:pPr>
              <w:spacing w:after="0"/>
              <w:rPr>
                <w:sz w:val="16"/>
                <w:szCs w:val="16"/>
                <w:color w:val="auto"/>
              </w:rPr>
            </w:pP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371</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36"/>
        </w:trPr>
        <w:tc>
          <w:tcPr>
            <w:tcW w:w="48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payments, net of amounts capitalized</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36"/>
        </w:trPr>
        <w:tc>
          <w:tcPr>
            <w:tcW w:w="484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Income tax payments (refunds), net</w:t>
            </w: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40" w:type="dxa"/>
            <w:vAlign w:val="bottom"/>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40" w:type="dxa"/>
            <w:vAlign w:val="bottom"/>
            <w:vMerge w:val="continue"/>
          </w:tcPr>
          <w:p>
            <w:pPr>
              <w:spacing w:after="0"/>
              <w:rPr>
                <w:sz w:val="16"/>
                <w:szCs w:val="16"/>
                <w:color w:val="auto"/>
              </w:rPr>
            </w:pP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(47 )</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36"/>
        </w:trPr>
        <w:tc>
          <w:tcPr>
            <w:tcW w:w="4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40" w:type="dxa"/>
            <w:vAlign w:val="bottom"/>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377190</wp:posOffset>
            </wp:positionV>
            <wp:extent cx="729361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SOUTHERN CALIFORNIA GAS COMPANY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STATEMENTS OF CONSOLIDATED INCOME</w:t>
      </w:r>
    </w:p>
    <w:p>
      <w:pPr>
        <w:spacing w:after="0" w:line="194"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88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auto"/>
                <w:w w:val="97"/>
              </w:rPr>
              <w:t>Three months ended</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w w:val="97"/>
              </w:rPr>
              <w:t>March 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(Dollars in millions)</w:t>
            </w: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vMerge w:val="continue"/>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46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2006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2005</w:t>
            </w:r>
          </w:p>
        </w:tc>
        <w:tc>
          <w:tcPr>
            <w:tcW w:w="0" w:type="dxa"/>
            <w:vAlign w:val="bottom"/>
          </w:tcPr>
          <w:p>
            <w:pPr>
              <w:spacing w:after="0"/>
              <w:rPr>
                <w:sz w:val="1"/>
                <w:szCs w:val="1"/>
                <w:color w:val="auto"/>
              </w:rPr>
            </w:pPr>
          </w:p>
        </w:tc>
      </w:tr>
      <w:tr>
        <w:trPr>
          <w:trHeight w:val="36"/>
        </w:trPr>
        <w:tc>
          <w:tcPr>
            <w:tcW w:w="46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shd w:val="clear" w:color="auto" w:fill="000000"/>
          </w:tcPr>
          <w:p>
            <w:pPr>
              <w:spacing w:after="0"/>
              <w:rPr>
                <w:sz w:val="17"/>
                <w:szCs w:val="17"/>
                <w:color w:val="auto"/>
              </w:rPr>
            </w:pPr>
          </w:p>
        </w:tc>
        <w:tc>
          <w:tcPr>
            <w:tcW w:w="720" w:type="dxa"/>
            <w:vAlign w:val="bottom"/>
            <w:gridSpan w:val="2"/>
            <w:shd w:val="clear" w:color="auto" w:fill="000000"/>
          </w:tcPr>
          <w:p>
            <w:pPr>
              <w:spacing w:after="0"/>
              <w:rPr>
                <w:sz w:val="17"/>
                <w:szCs w:val="17"/>
                <w:color w:val="auto"/>
              </w:rPr>
            </w:pPr>
          </w:p>
        </w:tc>
        <w:tc>
          <w:tcPr>
            <w:tcW w:w="46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320" w:type="dxa"/>
            <w:vAlign w:val="bottom"/>
            <w:gridSpan w:val="4"/>
          </w:tcPr>
          <w:p>
            <w:pPr>
              <w:jc w:val="center"/>
              <w:ind w:left="486"/>
              <w:spacing w:after="0"/>
              <w:rPr>
                <w:sz w:val="20"/>
                <w:szCs w:val="20"/>
                <w:color w:val="auto"/>
              </w:rPr>
            </w:pPr>
            <w:r>
              <w:rPr>
                <w:rFonts w:ascii="Times New Roman" w:cs="Times New Roman" w:eastAsia="Times New Roman" w:hAnsi="Times New Roman"/>
                <w:sz w:val="15"/>
                <w:szCs w:val="15"/>
                <w:color w:val="auto"/>
                <w:w w:val="98"/>
              </w:rPr>
              <w:t>(unaudited)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6"/>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1,425</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1,241</w:t>
            </w:r>
          </w:p>
        </w:tc>
        <w:tc>
          <w:tcPr>
            <w:tcW w:w="0" w:type="dxa"/>
            <w:vAlign w:val="bottom"/>
          </w:tcPr>
          <w:p>
            <w:pPr>
              <w:spacing w:after="0"/>
              <w:rPr>
                <w:sz w:val="1"/>
                <w:szCs w:val="1"/>
                <w:color w:val="auto"/>
              </w:rPr>
            </w:pPr>
          </w:p>
        </w:tc>
      </w:tr>
      <w:tr>
        <w:trPr>
          <w:trHeight w:val="36"/>
        </w:trPr>
        <w:tc>
          <w:tcPr>
            <w:tcW w:w="4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vMerge w:val="continue"/>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6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Cost of natural gas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801</w:t>
            </w:r>
          </w:p>
        </w:tc>
        <w:tc>
          <w:tcPr>
            <w:tcW w:w="0" w:type="dxa"/>
            <w:vAlign w:val="bottom"/>
          </w:tcPr>
          <w:p>
            <w:pPr>
              <w:spacing w:after="0"/>
              <w:rPr>
                <w:sz w:val="1"/>
                <w:szCs w:val="1"/>
                <w:color w:val="auto"/>
              </w:rPr>
            </w:pPr>
          </w:p>
        </w:tc>
      </w:tr>
      <w:tr>
        <w:trPr>
          <w:trHeight w:val="228"/>
        </w:trPr>
        <w:tc>
          <w:tcPr>
            <w:tcW w:w="4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operating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215</w:t>
            </w:r>
          </w:p>
        </w:tc>
        <w:tc>
          <w:tcPr>
            <w:tcW w:w="0" w:type="dxa"/>
            <w:vAlign w:val="bottom"/>
          </w:tcPr>
          <w:p>
            <w:pPr>
              <w:spacing w:after="0"/>
              <w:rPr>
                <w:sz w:val="1"/>
                <w:szCs w:val="1"/>
                <w:color w:val="auto"/>
              </w:rPr>
            </w:pPr>
          </w:p>
        </w:tc>
      </w:tr>
      <w:tr>
        <w:trPr>
          <w:trHeight w:val="228"/>
        </w:trPr>
        <w:tc>
          <w:tcPr>
            <w:tcW w:w="4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28"/>
        </w:trPr>
        <w:tc>
          <w:tcPr>
            <w:tcW w:w="4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Franchise fees and other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36"/>
        </w:trPr>
        <w:tc>
          <w:tcPr>
            <w:tcW w:w="46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vMerge w:val="continue"/>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1,115</w:t>
            </w:r>
          </w:p>
        </w:tc>
        <w:tc>
          <w:tcPr>
            <w:tcW w:w="0" w:type="dxa"/>
            <w:vAlign w:val="bottom"/>
          </w:tcPr>
          <w:p>
            <w:pPr>
              <w:spacing w:after="0"/>
              <w:rPr>
                <w:sz w:val="1"/>
                <w:szCs w:val="1"/>
                <w:color w:val="auto"/>
              </w:rPr>
            </w:pPr>
          </w:p>
        </w:tc>
      </w:tr>
      <w:tr>
        <w:trPr>
          <w:trHeight w:val="36"/>
        </w:trPr>
        <w:tc>
          <w:tcPr>
            <w:tcW w:w="4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126</w:t>
            </w:r>
          </w:p>
        </w:tc>
        <w:tc>
          <w:tcPr>
            <w:tcW w:w="0" w:type="dxa"/>
            <w:vAlign w:val="bottom"/>
          </w:tcPr>
          <w:p>
            <w:pPr>
              <w:spacing w:after="0"/>
              <w:rPr>
                <w:sz w:val="1"/>
                <w:szCs w:val="1"/>
                <w:color w:val="auto"/>
              </w:rPr>
            </w:pPr>
          </w:p>
        </w:tc>
      </w:tr>
      <w:tr>
        <w:trPr>
          <w:trHeight w:val="456"/>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 net (Note 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(18 )</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0" w:type="dxa"/>
            <w:vAlign w:val="bottom"/>
          </w:tcPr>
          <w:p>
            <w:pPr>
              <w:spacing w:after="0"/>
              <w:rPr>
                <w:sz w:val="1"/>
                <w:szCs w:val="1"/>
                <w:color w:val="auto"/>
              </w:rPr>
            </w:pPr>
          </w:p>
        </w:tc>
      </w:tr>
      <w:tr>
        <w:trPr>
          <w:trHeight w:val="36"/>
        </w:trPr>
        <w:tc>
          <w:tcPr>
            <w:tcW w:w="4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vMerge w:val="continue"/>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456"/>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36"/>
        </w:trPr>
        <w:tc>
          <w:tcPr>
            <w:tcW w:w="46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118" w:right="1440" w:bottom="0" w:gutter="0" w:footer="0" w:header="0"/>
        </w:sectPr>
      </w:pPr>
    </w:p>
    <w:bookmarkStart w:id="5" w:name="page6"/>
    <w:bookmarkEnd w:id="5"/>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4678680</wp:posOffset>
            </wp:positionH>
            <wp:positionV relativeFrom="page">
              <wp:posOffset>88900</wp:posOffset>
            </wp:positionV>
            <wp:extent cx="119443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94435" cy="6985"/>
                    </a:xfrm>
                    <a:prstGeom prst="rect">
                      <a:avLst/>
                    </a:prstGeom>
                    <a:noFill/>
                  </pic:spPr>
                </pic:pic>
              </a:graphicData>
            </a:graphic>
          </wp:anchor>
        </w:drawing>
      </w:r>
    </w:p>
    <w:p>
      <w:pPr>
        <w:ind w:left="1240"/>
        <w:spacing w:after="0"/>
        <w:tabs>
          <w:tab w:leader="none" w:pos="5920" w:val="left"/>
          <w:tab w:leader="none" w:pos="6360" w:val="left"/>
          <w:tab w:leader="none" w:pos="7080" w:val="left"/>
          <w:tab w:leader="none" w:pos="7540" w:val="left"/>
        </w:tabs>
        <w:rPr>
          <w:sz w:val="20"/>
          <w:szCs w:val="20"/>
          <w:color w:val="auto"/>
        </w:rPr>
      </w:pPr>
      <w:r>
        <w:rPr>
          <w:rFonts w:ascii="Times New Roman" w:cs="Times New Roman" w:eastAsia="Times New Roman" w:hAnsi="Times New Roman"/>
          <w:sz w:val="15"/>
          <w:szCs w:val="15"/>
          <w:color w:val="auto"/>
        </w:rPr>
        <w:t>Net income/earnings applicable to common shares</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49</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20955</wp:posOffset>
            </wp:positionV>
            <wp:extent cx="1194435" cy="130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4435" cy="13017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281305</wp:posOffset>
            </wp:positionV>
            <wp:extent cx="1194435" cy="130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4435" cy="13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377190</wp:posOffset>
            </wp:positionV>
            <wp:extent cx="729361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SOUTHERN CALIFORNIA GAS COMPANY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CONSOLIDATED BALANCE SHEETS</w:t>
      </w:r>
    </w:p>
    <w:p>
      <w:pPr>
        <w:spacing w:after="0" w:line="240"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(Dollars in millions)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March 31,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December 31,</w:t>
            </w:r>
          </w:p>
        </w:tc>
        <w:tc>
          <w:tcPr>
            <w:tcW w:w="0" w:type="dxa"/>
            <w:vAlign w:val="bottom"/>
          </w:tcPr>
          <w:p>
            <w:pPr>
              <w:spacing w:after="0"/>
              <w:rPr>
                <w:sz w:val="1"/>
                <w:szCs w:val="1"/>
                <w:color w:val="auto"/>
              </w:rPr>
            </w:pPr>
          </w:p>
        </w:tc>
      </w:tr>
      <w:tr>
        <w:trPr>
          <w:trHeight w:val="199"/>
        </w:trPr>
        <w:tc>
          <w:tcPr>
            <w:tcW w:w="4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2005</w:t>
            </w:r>
          </w:p>
        </w:tc>
        <w:tc>
          <w:tcPr>
            <w:tcW w:w="0" w:type="dxa"/>
            <w:vAlign w:val="bottom"/>
          </w:tcPr>
          <w:p>
            <w:pPr>
              <w:spacing w:after="0"/>
              <w:rPr>
                <w:sz w:val="1"/>
                <w:szCs w:val="1"/>
                <w:color w:val="auto"/>
              </w:rPr>
            </w:pPr>
          </w:p>
        </w:tc>
      </w:tr>
      <w:tr>
        <w:trPr>
          <w:trHeight w:val="212"/>
        </w:trPr>
        <w:tc>
          <w:tcPr>
            <w:tcW w:w="4660" w:type="dxa"/>
            <w:vAlign w:val="bottom"/>
            <w:shd w:val="clear" w:color="auto" w:fill="000000"/>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960" w:type="dxa"/>
            <w:vAlign w:val="bottom"/>
            <w:gridSpan w:val="2"/>
            <w:shd w:val="clear" w:color="auto" w:fill="000000"/>
          </w:tcPr>
          <w:p>
            <w:pPr>
              <w:spacing w:after="0"/>
              <w:rPr>
                <w:sz w:val="18"/>
                <w:szCs w:val="18"/>
                <w:color w:val="auto"/>
              </w:rPr>
            </w:pPr>
          </w:p>
        </w:tc>
        <w:tc>
          <w:tcPr>
            <w:tcW w:w="940" w:type="dxa"/>
            <w:vAlign w:val="bottom"/>
            <w:gridSpan w:val="2"/>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right"/>
              <w:ind w:right="586"/>
              <w:spacing w:after="0"/>
              <w:rPr>
                <w:sz w:val="20"/>
                <w:szCs w:val="20"/>
                <w:color w:val="auto"/>
              </w:rPr>
            </w:pPr>
            <w:r>
              <w:rPr>
                <w:rFonts w:ascii="Times New Roman" w:cs="Times New Roman" w:eastAsia="Times New Roman" w:hAnsi="Times New Roman"/>
                <w:sz w:val="15"/>
                <w:szCs w:val="15"/>
                <w:color w:val="auto"/>
              </w:rPr>
              <w:t>(unaudited)</w:t>
            </w:r>
          </w:p>
        </w:tc>
        <w:tc>
          <w:tcPr>
            <w:tcW w:w="0" w:type="dxa"/>
            <w:vAlign w:val="bottom"/>
          </w:tcPr>
          <w:p>
            <w:pPr>
              <w:spacing w:after="0"/>
              <w:rPr>
                <w:sz w:val="1"/>
                <w:szCs w:val="1"/>
                <w:color w:val="auto"/>
              </w:rPr>
            </w:pPr>
          </w:p>
        </w:tc>
      </w:tr>
      <w:tr>
        <w:trPr>
          <w:trHeight w:val="228"/>
        </w:trPr>
        <w:tc>
          <w:tcPr>
            <w:tcW w:w="4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371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228"/>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Accounts receivable - trade</w:t>
            </w:r>
          </w:p>
        </w:tc>
        <w:tc>
          <w:tcPr>
            <w:tcW w:w="100" w:type="dxa"/>
            <w:vAlign w:val="bottom"/>
          </w:tcPr>
          <w:p>
            <w:pPr>
              <w:spacing w:after="0"/>
              <w:rPr>
                <w:sz w:val="19"/>
                <w:szCs w:val="19"/>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658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694</w:t>
            </w:r>
          </w:p>
        </w:tc>
        <w:tc>
          <w:tcPr>
            <w:tcW w:w="0" w:type="dxa"/>
            <w:vAlign w:val="bottom"/>
          </w:tcPr>
          <w:p>
            <w:pPr>
              <w:spacing w:after="0"/>
              <w:rPr>
                <w:sz w:val="1"/>
                <w:szCs w:val="1"/>
                <w:color w:val="auto"/>
              </w:rPr>
            </w:pPr>
          </w:p>
        </w:tc>
      </w:tr>
      <w:tr>
        <w:trPr>
          <w:trHeight w:val="228"/>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Accounts receivable - other</w:t>
            </w:r>
          </w:p>
        </w:tc>
        <w:tc>
          <w:tcPr>
            <w:tcW w:w="100" w:type="dxa"/>
            <w:vAlign w:val="bottom"/>
          </w:tcPr>
          <w:p>
            <w:pPr>
              <w:spacing w:after="0"/>
              <w:rPr>
                <w:sz w:val="19"/>
                <w:szCs w:val="19"/>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228"/>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receivable</w:t>
            </w:r>
          </w:p>
        </w:tc>
        <w:tc>
          <w:tcPr>
            <w:tcW w:w="100" w:type="dxa"/>
            <w:vAlign w:val="bottom"/>
          </w:tcPr>
          <w:p>
            <w:pPr>
              <w:spacing w:after="0"/>
              <w:rPr>
                <w:sz w:val="19"/>
                <w:szCs w:val="19"/>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28"/>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Due from unconsolidated affiliates</w:t>
            </w:r>
          </w:p>
        </w:tc>
        <w:tc>
          <w:tcPr>
            <w:tcW w:w="100" w:type="dxa"/>
            <w:vAlign w:val="bottom"/>
          </w:tcPr>
          <w:p>
            <w:pPr>
              <w:spacing w:after="0"/>
              <w:rPr>
                <w:sz w:val="19"/>
                <w:szCs w:val="19"/>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28"/>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Income taxes receivable</w:t>
            </w:r>
          </w:p>
        </w:tc>
        <w:tc>
          <w:tcPr>
            <w:tcW w:w="100" w:type="dxa"/>
            <w:vAlign w:val="bottom"/>
          </w:tcPr>
          <w:p>
            <w:pPr>
              <w:spacing w:after="0"/>
              <w:rPr>
                <w:sz w:val="19"/>
                <w:szCs w:val="19"/>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228"/>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Deferred income taxes</w:t>
            </w:r>
          </w:p>
        </w:tc>
        <w:tc>
          <w:tcPr>
            <w:tcW w:w="100" w:type="dxa"/>
            <w:vAlign w:val="bottom"/>
          </w:tcPr>
          <w:p>
            <w:pPr>
              <w:spacing w:after="0"/>
              <w:rPr>
                <w:sz w:val="19"/>
                <w:szCs w:val="19"/>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18"/>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Regulatory assets arising from fixed-price contracts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and other derivatives</w:t>
            </w:r>
          </w:p>
        </w:tc>
        <w:tc>
          <w:tcPr>
            <w:tcW w:w="100" w:type="dxa"/>
            <w:vAlign w:val="bottom"/>
          </w:tcPr>
          <w:p>
            <w:pPr>
              <w:spacing w:after="0"/>
              <w:rPr>
                <w:sz w:val="16"/>
                <w:szCs w:val="16"/>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05"/>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regulatory assets</w:t>
            </w:r>
          </w:p>
        </w:tc>
        <w:tc>
          <w:tcPr>
            <w:tcW w:w="100" w:type="dxa"/>
            <w:vAlign w:val="bottom"/>
          </w:tcPr>
          <w:p>
            <w:pPr>
              <w:spacing w:after="0"/>
              <w:rPr>
                <w:sz w:val="17"/>
                <w:szCs w:val="17"/>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28"/>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Inventories</w:t>
            </w:r>
          </w:p>
        </w:tc>
        <w:tc>
          <w:tcPr>
            <w:tcW w:w="100" w:type="dxa"/>
            <w:vAlign w:val="bottom"/>
          </w:tcPr>
          <w:p>
            <w:pPr>
              <w:spacing w:after="0"/>
              <w:rPr>
                <w:sz w:val="19"/>
                <w:szCs w:val="19"/>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121</w:t>
            </w:r>
          </w:p>
        </w:tc>
        <w:tc>
          <w:tcPr>
            <w:tcW w:w="0" w:type="dxa"/>
            <w:vAlign w:val="bottom"/>
          </w:tcPr>
          <w:p>
            <w:pPr>
              <w:spacing w:after="0"/>
              <w:rPr>
                <w:sz w:val="1"/>
                <w:szCs w:val="1"/>
                <w:color w:val="auto"/>
              </w:rPr>
            </w:pPr>
          </w:p>
        </w:tc>
      </w:tr>
      <w:tr>
        <w:trPr>
          <w:trHeight w:val="228"/>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Pr>
          <w:p>
            <w:pPr>
              <w:spacing w:after="0"/>
              <w:rPr>
                <w:sz w:val="19"/>
                <w:szCs w:val="19"/>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36"/>
        </w:trPr>
        <w:tc>
          <w:tcPr>
            <w:tcW w:w="4660" w:type="dxa"/>
            <w:vAlign w:val="bottom"/>
            <w:vMerge w:val="restart"/>
          </w:tcPr>
          <w:p>
            <w:pPr>
              <w:ind w:left="400"/>
              <w:spacing w:after="0"/>
              <w:rPr>
                <w:sz w:val="20"/>
                <w:szCs w:val="20"/>
                <w:color w:val="auto"/>
              </w:rPr>
            </w:pPr>
            <w:r>
              <w:rPr>
                <w:rFonts w:ascii="Times New Roman" w:cs="Times New Roman" w:eastAsia="Times New Roman" w:hAnsi="Times New Roman"/>
                <w:sz w:val="15"/>
                <w:szCs w:val="15"/>
                <w:color w:val="auto"/>
              </w:rPr>
              <w:t>Total current assets</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60" w:type="dxa"/>
            <w:vAlign w:val="bottom"/>
            <w:vMerge w:val="continue"/>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1,242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1,160</w:t>
            </w:r>
          </w:p>
        </w:tc>
        <w:tc>
          <w:tcPr>
            <w:tcW w:w="0" w:type="dxa"/>
            <w:vAlign w:val="bottom"/>
          </w:tcPr>
          <w:p>
            <w:pPr>
              <w:spacing w:after="0"/>
              <w:rPr>
                <w:sz w:val="1"/>
                <w:szCs w:val="1"/>
                <w:color w:val="auto"/>
              </w:rPr>
            </w:pPr>
          </w:p>
        </w:tc>
      </w:tr>
      <w:tr>
        <w:trPr>
          <w:trHeight w:val="36"/>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60" w:type="dxa"/>
            <w:vAlign w:val="bottom"/>
            <w:vMerge w:val="continue"/>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regulatory assets</w:t>
            </w:r>
          </w:p>
        </w:tc>
        <w:tc>
          <w:tcPr>
            <w:tcW w:w="100" w:type="dxa"/>
            <w:vAlign w:val="bottom"/>
          </w:tcPr>
          <w:p>
            <w:pPr>
              <w:spacing w:after="0"/>
              <w:rPr>
                <w:sz w:val="21"/>
                <w:szCs w:val="2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148</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143</w:t>
            </w:r>
          </w:p>
        </w:tc>
        <w:tc>
          <w:tcPr>
            <w:tcW w:w="0" w:type="dxa"/>
            <w:vAlign w:val="bottom"/>
          </w:tcPr>
          <w:p>
            <w:pPr>
              <w:spacing w:after="0"/>
              <w:rPr>
                <w:sz w:val="1"/>
                <w:szCs w:val="1"/>
                <w:color w:val="auto"/>
              </w:rPr>
            </w:pPr>
          </w:p>
        </w:tc>
      </w:tr>
      <w:tr>
        <w:trPr>
          <w:trHeight w:val="205"/>
        </w:trPr>
        <w:tc>
          <w:tcPr>
            <w:tcW w:w="4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Sundry</w:t>
            </w:r>
          </w:p>
        </w:tc>
        <w:tc>
          <w:tcPr>
            <w:tcW w:w="100" w:type="dxa"/>
            <w:vAlign w:val="bottom"/>
          </w:tcPr>
          <w:p>
            <w:pPr>
              <w:spacing w:after="0"/>
              <w:rPr>
                <w:sz w:val="17"/>
                <w:szCs w:val="17"/>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36"/>
        </w:trPr>
        <w:tc>
          <w:tcPr>
            <w:tcW w:w="4660" w:type="dxa"/>
            <w:vAlign w:val="bottom"/>
            <w:vMerge w:val="restart"/>
          </w:tcPr>
          <w:p>
            <w:pPr>
              <w:ind w:left="400"/>
              <w:spacing w:after="0"/>
              <w:rPr>
                <w:sz w:val="20"/>
                <w:szCs w:val="20"/>
                <w:color w:val="auto"/>
              </w:rPr>
            </w:pPr>
            <w:r>
              <w:rPr>
                <w:rFonts w:ascii="Times New Roman" w:cs="Times New Roman" w:eastAsia="Times New Roman" w:hAnsi="Times New Roman"/>
                <w:sz w:val="15"/>
                <w:szCs w:val="15"/>
                <w:color w:val="auto"/>
              </w:rPr>
              <w:t>Total other assets</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60" w:type="dxa"/>
            <w:vAlign w:val="bottom"/>
            <w:vMerge w:val="continue"/>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168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176</w:t>
            </w:r>
          </w:p>
        </w:tc>
        <w:tc>
          <w:tcPr>
            <w:tcW w:w="0" w:type="dxa"/>
            <w:vAlign w:val="bottom"/>
          </w:tcPr>
          <w:p>
            <w:pPr>
              <w:spacing w:after="0"/>
              <w:rPr>
                <w:sz w:val="1"/>
                <w:szCs w:val="1"/>
                <w:color w:val="auto"/>
              </w:rPr>
            </w:pPr>
          </w:p>
        </w:tc>
      </w:tr>
      <w:tr>
        <w:trPr>
          <w:trHeight w:val="36"/>
        </w:trPr>
        <w:tc>
          <w:tcPr>
            <w:tcW w:w="466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60" w:type="dxa"/>
            <w:vAlign w:val="bottom"/>
            <w:vMerge w:val="continue"/>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6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100" w:type="dxa"/>
            <w:vAlign w:val="bottom"/>
          </w:tcPr>
          <w:p>
            <w:pPr>
              <w:spacing w:after="0"/>
              <w:rPr>
                <w:sz w:val="21"/>
                <w:szCs w:val="21"/>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7,842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7,762</w:t>
            </w:r>
          </w:p>
        </w:tc>
        <w:tc>
          <w:tcPr>
            <w:tcW w:w="0" w:type="dxa"/>
            <w:vAlign w:val="bottom"/>
          </w:tcPr>
          <w:p>
            <w:pPr>
              <w:spacing w:after="0"/>
              <w:rPr>
                <w:sz w:val="1"/>
                <w:szCs w:val="1"/>
                <w:color w:val="auto"/>
              </w:rPr>
            </w:pPr>
          </w:p>
        </w:tc>
      </w:tr>
      <w:tr>
        <w:trPr>
          <w:trHeight w:val="205"/>
        </w:trPr>
        <w:tc>
          <w:tcPr>
            <w:tcW w:w="46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(3,133 )</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(3,091 )</w:t>
            </w:r>
          </w:p>
        </w:tc>
        <w:tc>
          <w:tcPr>
            <w:tcW w:w="0" w:type="dxa"/>
            <w:vAlign w:val="bottom"/>
          </w:tcPr>
          <w:p>
            <w:pPr>
              <w:spacing w:after="0"/>
              <w:rPr>
                <w:sz w:val="1"/>
                <w:szCs w:val="1"/>
                <w:color w:val="auto"/>
              </w:rPr>
            </w:pPr>
          </w:p>
        </w:tc>
      </w:tr>
      <w:tr>
        <w:trPr>
          <w:trHeight w:val="36"/>
        </w:trPr>
        <w:tc>
          <w:tcPr>
            <w:tcW w:w="4660" w:type="dxa"/>
            <w:vAlign w:val="bottom"/>
            <w:vMerge w:val="restart"/>
          </w:tcPr>
          <w:p>
            <w:pPr>
              <w:ind w:left="40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60" w:type="dxa"/>
            <w:vAlign w:val="bottom"/>
            <w:vMerge w:val="continue"/>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4,709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4,671</w:t>
            </w:r>
          </w:p>
        </w:tc>
        <w:tc>
          <w:tcPr>
            <w:tcW w:w="0" w:type="dxa"/>
            <w:vAlign w:val="bottom"/>
          </w:tcPr>
          <w:p>
            <w:pPr>
              <w:spacing w:after="0"/>
              <w:rPr>
                <w:sz w:val="1"/>
                <w:szCs w:val="1"/>
                <w:color w:val="auto"/>
              </w:rPr>
            </w:pPr>
          </w:p>
        </w:tc>
      </w:tr>
      <w:tr>
        <w:trPr>
          <w:trHeight w:val="36"/>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60" w:type="dxa"/>
            <w:vAlign w:val="bottom"/>
            <w:vMerge w:val="continue"/>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6,119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6,007</w:t>
            </w: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6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377190</wp:posOffset>
            </wp:positionV>
            <wp:extent cx="729361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SOUTHERN CALIFORNIA GAS COMPANY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CONSOLIDATED BALANCE SHEETS</w:t>
      </w:r>
    </w:p>
    <w:p>
      <w:pPr>
        <w:spacing w:after="0" w:line="240"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(Dollars in millions)</w:t>
            </w:r>
          </w:p>
        </w:tc>
        <w:tc>
          <w:tcPr>
            <w:tcW w:w="880" w:type="dxa"/>
            <w:vAlign w:val="bottom"/>
          </w:tcPr>
          <w:p>
            <w:pPr>
              <w:spacing w:after="0"/>
              <w:rPr>
                <w:sz w:val="15"/>
                <w:szCs w:val="15"/>
                <w:color w:val="auto"/>
              </w:rPr>
            </w:pPr>
          </w:p>
        </w:tc>
        <w:tc>
          <w:tcPr>
            <w:tcW w:w="80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w w:val="97"/>
              </w:rPr>
              <w:t>March 31,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December 31,</w:t>
            </w:r>
          </w:p>
        </w:tc>
        <w:tc>
          <w:tcPr>
            <w:tcW w:w="0" w:type="dxa"/>
            <w:vAlign w:val="bottom"/>
          </w:tcPr>
          <w:p>
            <w:pPr>
              <w:spacing w:after="0"/>
              <w:rPr>
                <w:sz w:val="1"/>
                <w:szCs w:val="1"/>
                <w:color w:val="auto"/>
              </w:rPr>
            </w:pPr>
          </w:p>
        </w:tc>
      </w:tr>
      <w:tr>
        <w:trPr>
          <w:trHeight w:val="199"/>
        </w:trPr>
        <w:tc>
          <w:tcPr>
            <w:tcW w:w="38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2006</w:t>
            </w:r>
          </w:p>
        </w:tc>
        <w:tc>
          <w:tcPr>
            <w:tcW w:w="6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2005</w:t>
            </w:r>
          </w:p>
        </w:tc>
        <w:tc>
          <w:tcPr>
            <w:tcW w:w="0" w:type="dxa"/>
            <w:vAlign w:val="bottom"/>
          </w:tcPr>
          <w:p>
            <w:pPr>
              <w:spacing w:after="0"/>
              <w:rPr>
                <w:sz w:val="1"/>
                <w:szCs w:val="1"/>
                <w:color w:val="auto"/>
              </w:rPr>
            </w:pPr>
          </w:p>
        </w:tc>
      </w:tr>
      <w:tr>
        <w:trPr>
          <w:trHeight w:val="212"/>
        </w:trPr>
        <w:tc>
          <w:tcPr>
            <w:tcW w:w="3840" w:type="dxa"/>
            <w:vAlign w:val="bottom"/>
            <w:shd w:val="clear" w:color="auto" w:fill="000000"/>
          </w:tcPr>
          <w:p>
            <w:pPr>
              <w:spacing w:after="0"/>
              <w:rPr>
                <w:sz w:val="18"/>
                <w:szCs w:val="18"/>
                <w:color w:val="auto"/>
              </w:rPr>
            </w:pPr>
          </w:p>
        </w:tc>
        <w:tc>
          <w:tcPr>
            <w:tcW w:w="880" w:type="dxa"/>
            <w:vAlign w:val="bottom"/>
            <w:shd w:val="clear" w:color="auto" w:fill="000000"/>
          </w:tcPr>
          <w:p>
            <w:pPr>
              <w:spacing w:after="0"/>
              <w:rPr>
                <w:sz w:val="18"/>
                <w:szCs w:val="18"/>
                <w:color w:val="auto"/>
              </w:rPr>
            </w:pPr>
          </w:p>
        </w:tc>
        <w:tc>
          <w:tcPr>
            <w:tcW w:w="1440" w:type="dxa"/>
            <w:vAlign w:val="bottom"/>
            <w:gridSpan w:val="2"/>
            <w:shd w:val="clear" w:color="auto" w:fill="000000"/>
          </w:tcPr>
          <w:p>
            <w:pPr>
              <w:spacing w:after="0"/>
              <w:rPr>
                <w:sz w:val="18"/>
                <w:szCs w:val="18"/>
                <w:color w:val="auto"/>
              </w:rPr>
            </w:pPr>
          </w:p>
        </w:tc>
        <w:tc>
          <w:tcPr>
            <w:tcW w:w="50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gridSpan w:val="2"/>
          </w:tcPr>
          <w:p>
            <w:pPr>
              <w:jc w:val="right"/>
              <w:ind w:right="106"/>
              <w:spacing w:after="0"/>
              <w:rPr>
                <w:sz w:val="20"/>
                <w:szCs w:val="20"/>
                <w:color w:val="auto"/>
              </w:rPr>
            </w:pPr>
            <w:r>
              <w:rPr>
                <w:rFonts w:ascii="Times New Roman" w:cs="Times New Roman" w:eastAsia="Times New Roman" w:hAnsi="Times New Roman"/>
                <w:sz w:val="15"/>
                <w:szCs w:val="15"/>
                <w:color w:val="auto"/>
              </w:rPr>
              <w:t>(unaudited)</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 AND SHAREHOLDERS' EQUITY</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Short-term debt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228"/>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 - trade</w:t>
            </w:r>
          </w:p>
        </w:tc>
        <w:tc>
          <w:tcPr>
            <w:tcW w:w="880" w:type="dxa"/>
            <w:vAlign w:val="bottom"/>
          </w:tcPr>
          <w:p>
            <w:pPr>
              <w:spacing w:after="0"/>
              <w:rPr>
                <w:sz w:val="19"/>
                <w:szCs w:val="19"/>
                <w:color w:val="auto"/>
              </w:rPr>
            </w:pPr>
          </w:p>
        </w:tc>
        <w:tc>
          <w:tcPr>
            <w:tcW w:w="80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275</w:t>
            </w:r>
          </w:p>
        </w:tc>
        <w:tc>
          <w:tcPr>
            <w:tcW w:w="640" w:type="dxa"/>
            <w:vAlign w:val="bottom"/>
          </w:tcPr>
          <w:p>
            <w:pPr>
              <w:spacing w:after="0"/>
              <w:rPr>
                <w:sz w:val="19"/>
                <w:szCs w:val="19"/>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344</w:t>
            </w:r>
          </w:p>
        </w:tc>
        <w:tc>
          <w:tcPr>
            <w:tcW w:w="0" w:type="dxa"/>
            <w:vAlign w:val="bottom"/>
          </w:tcPr>
          <w:p>
            <w:pPr>
              <w:spacing w:after="0"/>
              <w:rPr>
                <w:sz w:val="1"/>
                <w:szCs w:val="1"/>
                <w:color w:val="auto"/>
              </w:rPr>
            </w:pPr>
          </w:p>
        </w:tc>
      </w:tr>
    </w:tbl>
    <w:p>
      <w:pPr>
        <w:sectPr>
          <w:pgSz w:w="11900" w:h="16925" w:orient="portrait"/>
          <w:cols w:equalWidth="0" w:num="1">
            <w:col w:w="9019"/>
          </w:cols>
          <w:pgMar w:left="1440" w:top="379" w:right="1440" w:bottom="0" w:gutter="0" w:footer="0" w:header="0"/>
        </w:sectPr>
      </w:pPr>
    </w:p>
    <w:bookmarkStart w:id="6" w:name="page7"/>
    <w:bookmarkEnd w:id="6"/>
    <w:p>
      <w:pPr>
        <w:spacing w:after="0" w:line="54"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 - other</w:t>
            </w:r>
          </w:p>
        </w:tc>
        <w:tc>
          <w:tcPr>
            <w:tcW w:w="200" w:type="dxa"/>
            <w:vAlign w:val="bottom"/>
          </w:tcPr>
          <w:p>
            <w:pPr>
              <w:spacing w:after="0"/>
              <w:rPr>
                <w:sz w:val="16"/>
                <w:szCs w:val="16"/>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Due to unconsolidated affiliates</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Income taxes payable</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Regulatory balancing accounts, net</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193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Fixed-price contracts and other derivatives</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Customer deposits</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Temporary LIFO liquidation</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36"/>
        </w:trPr>
        <w:tc>
          <w:tcPr>
            <w:tcW w:w="460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00" w:type="dxa"/>
            <w:vAlign w:val="bottom"/>
            <w:vMerge w:val="continue"/>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1,147</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1,043</w:t>
            </w:r>
          </w:p>
        </w:tc>
        <w:tc>
          <w:tcPr>
            <w:tcW w:w="0" w:type="dxa"/>
            <w:vAlign w:val="bottom"/>
          </w:tcPr>
          <w:p>
            <w:pPr>
              <w:spacing w:after="0"/>
              <w:rPr>
                <w:sz w:val="1"/>
                <w:szCs w:val="1"/>
                <w:color w:val="auto"/>
              </w:rPr>
            </w:pPr>
          </w:p>
        </w:tc>
      </w:tr>
      <w:tr>
        <w:trPr>
          <w:trHeight w:val="36"/>
        </w:trPr>
        <w:tc>
          <w:tcPr>
            <w:tcW w:w="4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Long-term debt</w:t>
            </w: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00" w:type="dxa"/>
            <w:vAlign w:val="bottom"/>
            <w:vMerge w:val="continue"/>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1,098</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1,100</w:t>
            </w:r>
          </w:p>
        </w:tc>
        <w:tc>
          <w:tcPr>
            <w:tcW w:w="0" w:type="dxa"/>
            <w:vAlign w:val="bottom"/>
          </w:tcPr>
          <w:p>
            <w:pPr>
              <w:spacing w:after="0"/>
              <w:rPr>
                <w:sz w:val="1"/>
                <w:szCs w:val="1"/>
                <w:color w:val="auto"/>
              </w:rPr>
            </w:pPr>
          </w:p>
        </w:tc>
      </w:tr>
      <w:tr>
        <w:trPr>
          <w:trHeight w:val="36"/>
        </w:trPr>
        <w:tc>
          <w:tcPr>
            <w:tcW w:w="4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Deferred credits and other liabilities:</w:t>
            </w: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00" w:type="dxa"/>
            <w:vAlign w:val="bottom"/>
            <w:vMerge w:val="continue"/>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Customer advances for construction</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Postretirement benefits other than pensions</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65</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145</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investment tax credits</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251"/>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Regulatory liabilities arising from removal obligations</w:t>
            </w:r>
          </w:p>
        </w:tc>
        <w:tc>
          <w:tcPr>
            <w:tcW w:w="200" w:type="dxa"/>
            <w:vAlign w:val="bottom"/>
          </w:tcPr>
          <w:p>
            <w:pPr>
              <w:spacing w:after="0"/>
              <w:rPr>
                <w:sz w:val="21"/>
                <w:szCs w:val="21"/>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1,104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1,097</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504</w:t>
            </w:r>
          </w:p>
        </w:tc>
        <w:tc>
          <w:tcPr>
            <w:tcW w:w="0" w:type="dxa"/>
            <w:vAlign w:val="bottom"/>
          </w:tcPr>
          <w:p>
            <w:pPr>
              <w:spacing w:after="0"/>
              <w:rPr>
                <w:sz w:val="1"/>
                <w:szCs w:val="1"/>
                <w:color w:val="auto"/>
              </w:rPr>
            </w:pPr>
          </w:p>
        </w:tc>
      </w:tr>
      <w:tr>
        <w:trPr>
          <w:trHeight w:val="205"/>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taxes refundable in rates</w:t>
            </w:r>
          </w:p>
        </w:tc>
        <w:tc>
          <w:tcPr>
            <w:tcW w:w="200" w:type="dxa"/>
            <w:vAlign w:val="bottom"/>
          </w:tcPr>
          <w:p>
            <w:pPr>
              <w:spacing w:after="0"/>
              <w:rPr>
                <w:sz w:val="17"/>
                <w:szCs w:val="17"/>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Fixed-price contracts and other derivatives</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credits and other</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311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322</w:t>
            </w:r>
          </w:p>
        </w:tc>
        <w:tc>
          <w:tcPr>
            <w:tcW w:w="0" w:type="dxa"/>
            <w:vAlign w:val="bottom"/>
          </w:tcPr>
          <w:p>
            <w:pPr>
              <w:spacing w:after="0"/>
              <w:rPr>
                <w:sz w:val="1"/>
                <w:szCs w:val="1"/>
                <w:color w:val="auto"/>
              </w:rPr>
            </w:pPr>
          </w:p>
        </w:tc>
      </w:tr>
      <w:tr>
        <w:trPr>
          <w:trHeight w:val="36"/>
        </w:trPr>
        <w:tc>
          <w:tcPr>
            <w:tcW w:w="460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Total deferred credits and other liabilities</w:t>
            </w: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00" w:type="dxa"/>
            <w:vAlign w:val="bottom"/>
            <w:vMerge w:val="continue"/>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2,458</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2,447</w:t>
            </w:r>
          </w:p>
        </w:tc>
        <w:tc>
          <w:tcPr>
            <w:tcW w:w="0" w:type="dxa"/>
            <w:vAlign w:val="bottom"/>
          </w:tcPr>
          <w:p>
            <w:pPr>
              <w:spacing w:after="0"/>
              <w:rPr>
                <w:sz w:val="1"/>
                <w:szCs w:val="1"/>
                <w:color w:val="auto"/>
              </w:rPr>
            </w:pPr>
          </w:p>
        </w:tc>
      </w:tr>
      <w:tr>
        <w:trPr>
          <w:trHeight w:val="36"/>
        </w:trPr>
        <w:tc>
          <w:tcPr>
            <w:tcW w:w="4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Commitments and contingencies (Note 6)</w:t>
            </w: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00" w:type="dxa"/>
            <w:vAlign w:val="bottom"/>
            <w:vMerge w:val="continue"/>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Shareholders' equity:</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Preferred stock</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Common stock (100 million shares authorized;</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91 million shares outstanding)</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866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866</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Retained earnings</w:t>
            </w:r>
          </w:p>
        </w:tc>
        <w:tc>
          <w:tcPr>
            <w:tcW w:w="2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533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534</w:t>
            </w:r>
          </w:p>
        </w:tc>
        <w:tc>
          <w:tcPr>
            <w:tcW w:w="0" w:type="dxa"/>
            <w:vAlign w:val="bottom"/>
          </w:tcPr>
          <w:p>
            <w:pPr>
              <w:spacing w:after="0"/>
              <w:rPr>
                <w:sz w:val="1"/>
                <w:szCs w:val="1"/>
                <w:color w:val="auto"/>
              </w:rPr>
            </w:pPr>
          </w:p>
        </w:tc>
      </w:tr>
      <w:tr>
        <w:trPr>
          <w:trHeight w:val="228"/>
        </w:trPr>
        <w:tc>
          <w:tcPr>
            <w:tcW w:w="4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36"/>
        </w:trPr>
        <w:tc>
          <w:tcPr>
            <w:tcW w:w="4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Total shareholders' equity</w:t>
            </w: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00" w:type="dxa"/>
            <w:vAlign w:val="bottom"/>
            <w:vMerge w:val="continue"/>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1,416</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1,417</w:t>
            </w:r>
          </w:p>
        </w:tc>
        <w:tc>
          <w:tcPr>
            <w:tcW w:w="0" w:type="dxa"/>
            <w:vAlign w:val="bottom"/>
          </w:tcPr>
          <w:p>
            <w:pPr>
              <w:spacing w:after="0"/>
              <w:rPr>
                <w:sz w:val="1"/>
                <w:szCs w:val="1"/>
                <w:color w:val="auto"/>
              </w:rPr>
            </w:pPr>
          </w:p>
        </w:tc>
      </w:tr>
      <w:tr>
        <w:trPr>
          <w:trHeight w:val="36"/>
        </w:trPr>
        <w:tc>
          <w:tcPr>
            <w:tcW w:w="4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Total liabilities and shareholders' equity</w:t>
            </w: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00" w:type="dxa"/>
            <w:vAlign w:val="bottom"/>
            <w:vMerge w:val="continue"/>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00" w:type="dxa"/>
            <w:vAlign w:val="bottom"/>
            <w:vMerge w:val="continue"/>
          </w:tcPr>
          <w:p>
            <w:pPr>
              <w:spacing w:after="0"/>
              <w:rPr>
                <w:sz w:val="16"/>
                <w:szCs w:val="16"/>
                <w:color w:val="auto"/>
              </w:rPr>
            </w:pP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6,119</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6,007</w:t>
            </w:r>
          </w:p>
        </w:tc>
        <w:tc>
          <w:tcPr>
            <w:tcW w:w="0" w:type="dxa"/>
            <w:vAlign w:val="bottom"/>
          </w:tcPr>
          <w:p>
            <w:pPr>
              <w:spacing w:after="0"/>
              <w:rPr>
                <w:sz w:val="1"/>
                <w:szCs w:val="1"/>
                <w:color w:val="auto"/>
              </w:rPr>
            </w:pPr>
          </w:p>
        </w:tc>
      </w:tr>
      <w:tr>
        <w:trPr>
          <w:trHeight w:val="36"/>
        </w:trPr>
        <w:tc>
          <w:tcPr>
            <w:tcW w:w="4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6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377190</wp:posOffset>
            </wp:positionV>
            <wp:extent cx="729361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5"/>
          <w:szCs w:val="15"/>
          <w:color w:val="auto"/>
        </w:rPr>
        <w:t>SOUTHERN CALIFORNIA GAS COMPANY AND SUBSIDIARIES</w:t>
      </w:r>
    </w:p>
    <w:p>
      <w:pPr>
        <w:spacing w:after="0" w:line="2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5"/>
          <w:szCs w:val="15"/>
          <w:color w:val="auto"/>
        </w:rPr>
        <w:t>CONDENSED STATEMENTS OF CONSOLIDATED CASH FLOWS</w:t>
      </w:r>
    </w:p>
    <w:p>
      <w:pPr>
        <w:spacing w:after="0" w:line="200" w:lineRule="exact"/>
        <w:rPr>
          <w:sz w:val="20"/>
          <w:szCs w:val="20"/>
          <w:color w:val="auto"/>
        </w:rPr>
      </w:pPr>
    </w:p>
    <w:p>
      <w:pPr>
        <w:spacing w:after="0" w:line="325"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4"/>
          </w:tcPr>
          <w:p>
            <w:pPr>
              <w:jc w:val="center"/>
              <w:ind w:right="106"/>
              <w:spacing w:after="0"/>
              <w:rPr>
                <w:sz w:val="20"/>
                <w:szCs w:val="20"/>
                <w:color w:val="auto"/>
              </w:rPr>
            </w:pPr>
            <w:r>
              <w:rPr>
                <w:rFonts w:ascii="Times New Roman" w:cs="Times New Roman" w:eastAsia="Times New Roman" w:hAnsi="Times New Roman"/>
                <w:sz w:val="15"/>
                <w:szCs w:val="15"/>
                <w:color w:val="auto"/>
                <w:w w:val="99"/>
              </w:rPr>
              <w:t>Three months ended</w:t>
            </w:r>
          </w:p>
        </w:tc>
        <w:tc>
          <w:tcPr>
            <w:tcW w:w="0" w:type="dxa"/>
            <w:vAlign w:val="bottom"/>
          </w:tcPr>
          <w:p>
            <w:pPr>
              <w:spacing w:after="0"/>
              <w:rPr>
                <w:sz w:val="1"/>
                <w:szCs w:val="1"/>
                <w:color w:val="auto"/>
              </w:rPr>
            </w:pPr>
          </w:p>
        </w:tc>
      </w:tr>
      <w:tr>
        <w:trPr>
          <w:trHeight w:val="228"/>
        </w:trPr>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center"/>
              <w:ind w:left="306"/>
              <w:spacing w:after="0"/>
              <w:rPr>
                <w:sz w:val="20"/>
                <w:szCs w:val="20"/>
                <w:color w:val="auto"/>
              </w:rPr>
            </w:pPr>
            <w:r>
              <w:rPr>
                <w:rFonts w:ascii="Times New Roman" w:cs="Times New Roman" w:eastAsia="Times New Roman" w:hAnsi="Times New Roman"/>
                <w:sz w:val="15"/>
                <w:szCs w:val="15"/>
                <w:color w:val="auto"/>
              </w:rPr>
              <w:t>March 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(Dollars in millions)</w:t>
            </w: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2006</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2005</w:t>
            </w:r>
          </w:p>
        </w:tc>
        <w:tc>
          <w:tcPr>
            <w:tcW w:w="0" w:type="dxa"/>
            <w:vAlign w:val="bottom"/>
          </w:tcPr>
          <w:p>
            <w:pPr>
              <w:spacing w:after="0"/>
              <w:rPr>
                <w:sz w:val="1"/>
                <w:szCs w:val="1"/>
                <w:color w:val="auto"/>
              </w:rPr>
            </w:pPr>
          </w:p>
        </w:tc>
      </w:tr>
      <w:tr>
        <w:trPr>
          <w:trHeight w:val="36"/>
        </w:trPr>
        <w:tc>
          <w:tcPr>
            <w:tcW w:w="4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0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100" w:type="dxa"/>
            <w:vAlign w:val="bottom"/>
            <w:gridSpan w:val="2"/>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ind w:left="306"/>
              <w:spacing w:after="0"/>
              <w:rPr>
                <w:sz w:val="20"/>
                <w:szCs w:val="20"/>
                <w:color w:val="auto"/>
              </w:rPr>
            </w:pPr>
            <w:r>
              <w:rPr>
                <w:rFonts w:ascii="Times New Roman" w:cs="Times New Roman" w:eastAsia="Times New Roman" w:hAnsi="Times New Roman"/>
                <w:sz w:val="15"/>
                <w:szCs w:val="15"/>
                <w:color w:val="auto"/>
              </w:rPr>
              <w:t>(unaudited)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49</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3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operating activities: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Depreciation</w:t>
            </w:r>
          </w:p>
        </w:tc>
        <w:tc>
          <w:tcPr>
            <w:tcW w:w="180" w:type="dxa"/>
            <w:vAlign w:val="bottom"/>
          </w:tcPr>
          <w:p>
            <w:pPr>
              <w:spacing w:after="0"/>
              <w:rPr>
                <w:sz w:val="17"/>
                <w:szCs w:val="17"/>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66</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28"/>
        </w:trPr>
        <w:tc>
          <w:tcPr>
            <w:tcW w:w="4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Deferred income taxes and investment tax credits</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28"/>
        </w:trPr>
        <w:tc>
          <w:tcPr>
            <w:tcW w:w="4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9"/>
                <w:szCs w:val="19"/>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changes in other working capital components</w:t>
            </w:r>
          </w:p>
        </w:tc>
        <w:tc>
          <w:tcPr>
            <w:tcW w:w="180" w:type="dxa"/>
            <w:vAlign w:val="bottom"/>
          </w:tcPr>
          <w:p>
            <w:pPr>
              <w:spacing w:after="0"/>
              <w:rPr>
                <w:sz w:val="19"/>
                <w:szCs w:val="19"/>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470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326</w:t>
            </w: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Changes in other assets</w:t>
            </w:r>
          </w:p>
        </w:tc>
        <w:tc>
          <w:tcPr>
            <w:tcW w:w="180" w:type="dxa"/>
            <w:vAlign w:val="bottom"/>
          </w:tcPr>
          <w:p>
            <w:pPr>
              <w:spacing w:after="0"/>
              <w:rPr>
                <w:sz w:val="19"/>
                <w:szCs w:val="19"/>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Changes in other liabilities</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0" w:type="dxa"/>
            <w:vAlign w:val="bottom"/>
          </w:tcPr>
          <w:p>
            <w:pPr>
              <w:spacing w:after="0"/>
              <w:rPr>
                <w:sz w:val="1"/>
                <w:szCs w:val="1"/>
                <w:color w:val="auto"/>
              </w:rPr>
            </w:pPr>
          </w:p>
        </w:tc>
      </w:tr>
      <w:tr>
        <w:trPr>
          <w:trHeight w:val="36"/>
        </w:trPr>
        <w:tc>
          <w:tcPr>
            <w:tcW w:w="4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00" w:type="dxa"/>
            <w:vAlign w:val="bottom"/>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ectPr>
          <w:pgSz w:w="11900" w:h="16893" w:orient="portrait"/>
          <w:cols w:equalWidth="0" w:num="1">
            <w:col w:w="9019"/>
          </w:cols>
          <w:pgMar w:left="1440" w:top="356" w:right="1440" w:bottom="0" w:gutter="0" w:footer="0" w:header="0"/>
        </w:sectPr>
      </w:pPr>
    </w:p>
    <w:bookmarkStart w:id="7" w:name="page8"/>
    <w:bookmarkEnd w:id="7"/>
    <w:p>
      <w:pPr>
        <w:spacing w:after="0" w:line="1" w:lineRule="exact"/>
        <w:rPr>
          <w:sz w:val="20"/>
          <w:szCs w:val="20"/>
          <w:color w:val="auto"/>
        </w:rPr>
      </w:pPr>
    </w:p>
    <w:tbl>
      <w:tblPr>
        <w:tblLayout w:type="fixed"/>
        <w:tblInd w:w="2580" w:type="dxa"/>
        <w:tblCellMar>
          <w:top w:w="0" w:type="dxa"/>
          <w:left w:w="0" w:type="dxa"/>
          <w:bottom w:w="0" w:type="dxa"/>
          <w:right w:w="0" w:type="dxa"/>
        </w:tblCellMar>
      </w:tblPr>
      <w:tr>
        <w:trPr>
          <w:trHeight w:val="191"/>
        </w:trPr>
        <w:tc>
          <w:tcPr>
            <w:tcW w:w="4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60" w:type="dxa"/>
            <w:vAlign w:val="bottom"/>
          </w:tcPr>
          <w:p>
            <w:pPr>
              <w:spacing w:after="0"/>
              <w:rPr>
                <w:sz w:val="16"/>
                <w:szCs w:val="16"/>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587</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467</w:t>
            </w:r>
          </w:p>
        </w:tc>
        <w:tc>
          <w:tcPr>
            <w:tcW w:w="0" w:type="dxa"/>
            <w:vAlign w:val="bottom"/>
          </w:tcPr>
          <w:p>
            <w:pPr>
              <w:spacing w:after="0"/>
              <w:rPr>
                <w:sz w:val="1"/>
                <w:szCs w:val="1"/>
                <w:color w:val="auto"/>
              </w:rPr>
            </w:pPr>
          </w:p>
        </w:tc>
      </w:tr>
      <w:tr>
        <w:trPr>
          <w:trHeight w:val="47"/>
        </w:trPr>
        <w:tc>
          <w:tcPr>
            <w:tcW w:w="4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Expenditures for property, plant and equipment</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(97 )</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Increase in loans to affiliates, net</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(71 )</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(333 )</w:t>
            </w:r>
          </w:p>
        </w:tc>
        <w:tc>
          <w:tcPr>
            <w:tcW w:w="0" w:type="dxa"/>
            <w:vAlign w:val="bottom"/>
          </w:tcPr>
          <w:p>
            <w:pPr>
              <w:spacing w:after="0"/>
              <w:rPr>
                <w:sz w:val="1"/>
                <w:szCs w:val="1"/>
                <w:color w:val="auto"/>
              </w:rPr>
            </w:pPr>
          </w:p>
        </w:tc>
      </w:tr>
      <w:tr>
        <w:trPr>
          <w:trHeight w:val="36"/>
        </w:trPr>
        <w:tc>
          <w:tcPr>
            <w:tcW w:w="430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(168 )</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(396 )</w:t>
            </w:r>
          </w:p>
        </w:tc>
        <w:tc>
          <w:tcPr>
            <w:tcW w:w="0" w:type="dxa"/>
            <w:vAlign w:val="bottom"/>
          </w:tcPr>
          <w:p>
            <w:pPr>
              <w:spacing w:after="0"/>
              <w:rPr>
                <w:sz w:val="1"/>
                <w:szCs w:val="1"/>
                <w:color w:val="auto"/>
              </w:rPr>
            </w:pPr>
          </w:p>
        </w:tc>
      </w:tr>
      <w:tr>
        <w:trPr>
          <w:trHeight w:val="36"/>
        </w:trPr>
        <w:tc>
          <w:tcPr>
            <w:tcW w:w="4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Common dividends paid</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0" w:type="dxa"/>
            <w:vAlign w:val="bottom"/>
          </w:tcPr>
          <w:p>
            <w:pPr>
              <w:spacing w:after="0"/>
              <w:rPr>
                <w:sz w:val="1"/>
                <w:szCs w:val="1"/>
                <w:color w:val="auto"/>
              </w:rPr>
            </w:pPr>
          </w:p>
        </w:tc>
      </w:t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Decrease in short-term debt</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(88 )</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0" w:type="dxa"/>
            <w:vAlign w:val="bottom"/>
          </w:tcPr>
          <w:p>
            <w:pPr>
              <w:spacing w:after="0"/>
              <w:rPr>
                <w:sz w:val="1"/>
                <w:szCs w:val="1"/>
                <w:color w:val="auto"/>
              </w:rPr>
            </w:pPr>
          </w:p>
        </w:tc>
      </w:tr>
      <w:tr>
        <w:trPr>
          <w:trHeight w:val="36"/>
        </w:trPr>
        <w:tc>
          <w:tcPr>
            <w:tcW w:w="430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(138 )</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(80 )</w:t>
            </w:r>
          </w:p>
        </w:tc>
        <w:tc>
          <w:tcPr>
            <w:tcW w:w="0" w:type="dxa"/>
            <w:vAlign w:val="bottom"/>
          </w:tcPr>
          <w:p>
            <w:pPr>
              <w:spacing w:after="0"/>
              <w:rPr>
                <w:sz w:val="1"/>
                <w:szCs w:val="1"/>
                <w:color w:val="auto"/>
              </w:rPr>
            </w:pPr>
          </w:p>
        </w:tc>
      </w:tr>
      <w:tr>
        <w:trPr>
          <w:trHeight w:val="36"/>
        </w:trPr>
        <w:tc>
          <w:tcPr>
            <w:tcW w:w="4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00" w:type="dxa"/>
            <w:vAlign w:val="bottom"/>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Increase (decrease) in cash and cash equivalents</w:t>
            </w:r>
          </w:p>
        </w:tc>
        <w:tc>
          <w:tcPr>
            <w:tcW w:w="260" w:type="dxa"/>
            <w:vAlign w:val="bottom"/>
          </w:tcPr>
          <w:p>
            <w:pPr>
              <w:spacing w:after="0"/>
              <w:rPr>
                <w:sz w:val="24"/>
                <w:szCs w:val="24"/>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281</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(9 )</w:t>
            </w:r>
          </w:p>
        </w:tc>
        <w:tc>
          <w:tcPr>
            <w:tcW w:w="0" w:type="dxa"/>
            <w:vAlign w:val="bottom"/>
          </w:tcPr>
          <w:p>
            <w:pPr>
              <w:spacing w:after="0"/>
              <w:rPr>
                <w:sz w:val="1"/>
                <w:szCs w:val="1"/>
                <w:color w:val="auto"/>
              </w:rPr>
            </w:pP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January 1</w:t>
            </w:r>
          </w:p>
        </w:tc>
        <w:tc>
          <w:tcPr>
            <w:tcW w:w="260" w:type="dxa"/>
            <w:vAlign w:val="bottom"/>
          </w:tcPr>
          <w:p>
            <w:pPr>
              <w:spacing w:after="0"/>
              <w:rPr>
                <w:sz w:val="19"/>
                <w:szCs w:val="19"/>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36"/>
        </w:trPr>
        <w:tc>
          <w:tcPr>
            <w:tcW w:w="4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and cash equivalents, March 31</w:t>
            </w: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00" w:type="dxa"/>
            <w:vAlign w:val="bottom"/>
            <w:vMerge w:val="continue"/>
          </w:tcPr>
          <w:p>
            <w:pPr>
              <w:spacing w:after="0"/>
              <w:rPr>
                <w:sz w:val="16"/>
                <w:szCs w:val="16"/>
                <w:color w:val="auto"/>
              </w:rPr>
            </w:pP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371</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36"/>
        </w:trPr>
        <w:tc>
          <w:tcPr>
            <w:tcW w:w="43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SUPPLEMENTAL DISCLOSURE OF CASH FLOW</w:t>
            </w: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INFORMATION</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payments, net of amounts capitalized</w:t>
            </w: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36"/>
        </w:trPr>
        <w:tc>
          <w:tcPr>
            <w:tcW w:w="430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Income tax payments (refunds), net</w:t>
            </w: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00" w:type="dxa"/>
            <w:vAlign w:val="bottom"/>
            <w:vMerge w:val="continue"/>
          </w:tcPr>
          <w:p>
            <w:pPr>
              <w:spacing w:after="0"/>
              <w:rPr>
                <w:sz w:val="16"/>
                <w:szCs w:val="16"/>
                <w:color w:val="auto"/>
              </w:rPr>
            </w:pP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(47 )</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36"/>
        </w:trPr>
        <w:tc>
          <w:tcPr>
            <w:tcW w:w="4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00" w:type="dxa"/>
            <w:vAlign w:val="bottom"/>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377190</wp:posOffset>
            </wp:positionV>
            <wp:extent cx="729361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18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This Quarterly Report on Form 10-Q is that of Pacific Enterprises (PE) and of Southern California Gas Company (SoCalGas) (collectively referred to as the company or the companies). PE's common stock is wholly owned by Sempra Energy, a California-based Fortune 500 holding company, and PE owns all of the common stock of SoCalGas. The financial statements herein are, in one case, the Consolidated Financial Statements of PE and its subsidiary, SoCalGas, and, in the other case, the Consolidated Financial Statements of SoCalGas and its subsidiaries, which comprise less than one percent of SoCalGas' consolidated financial position and results of operations.</w:t>
      </w:r>
    </w:p>
    <w:p>
      <w:pPr>
        <w:spacing w:after="0" w:line="148"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8"/>
          <w:szCs w:val="18"/>
          <w:color w:val="auto"/>
        </w:rPr>
        <w:t>Sempra Energy also indirectly owns all of the common stock of San Diego Gas &amp; Electric Company (SDG&amp;E). SoCalGas and SDG&amp;E are collectively referred to herein as the California Utilities.</w:t>
      </w:r>
    </w:p>
    <w:p>
      <w:pPr>
        <w:spacing w:after="0" w:line="124"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the interim-period-reporting requirements of Form 10-Q. Results of operations for interim periods are not necessarily indicative of results for the entire year. In the opinion of management, the accompanying statements reflect all adjustments necessary for a fair presentation. These adjustments are only of a normal recurring nature.</w:t>
      </w:r>
    </w:p>
    <w:p>
      <w:pPr>
        <w:spacing w:after="0" w:line="138"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8"/>
          <w:szCs w:val="18"/>
          <w:color w:val="auto"/>
        </w:rPr>
        <w:t>Information in this Quarterly Report should be read in conjunction with the Annual Report on Form 10-K for the year ended December 31, 2005 (the Annual Report).</w:t>
      </w:r>
    </w:p>
    <w:p>
      <w:pPr>
        <w:spacing w:after="0" w:line="124"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8"/>
          <w:szCs w:val="18"/>
          <w:color w:val="auto"/>
        </w:rPr>
        <w:t>The companies' significant accounting policies are described in Note 1 of the notes to Consolidated Financial Statements in the Annual Report. The same accounting policies are followed for interim reporting purposes.</w:t>
      </w:r>
    </w:p>
    <w:p>
      <w:pPr>
        <w:spacing w:after="0" w:line="12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SoCalGas accounts for the economic effects of regulation on utility operations in accordance with Statement of Financial Accounting Standards (SFAS) 71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the Effects of Certain Types of Regulation.</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Following are the changes in asset-retirement obligations, as defined in SFAS 143, </w:t>
      </w:r>
      <w:r>
        <w:rPr>
          <w:rFonts w:ascii="Times New Roman" w:cs="Times New Roman" w:eastAsia="Times New Roman" w:hAnsi="Times New Roman"/>
          <w:sz w:val="18"/>
          <w:szCs w:val="18"/>
          <w:i w:val="1"/>
          <w:iCs w:val="1"/>
          <w:color w:val="auto"/>
        </w:rPr>
        <w:t>Accounting for Asset Retirement Obligations</w:t>
      </w:r>
      <w:r>
        <w:rPr>
          <w:rFonts w:ascii="Times New Roman" w:cs="Times New Roman" w:eastAsia="Times New Roman" w:hAnsi="Times New Roman"/>
          <w:sz w:val="18"/>
          <w:szCs w:val="18"/>
          <w:color w:val="auto"/>
        </w:rPr>
        <w:t xml:space="preserve"> and Financial Accounting Standards Board (FASB) Interpretation (FIN) No. 47</w:t>
      </w:r>
      <w:r>
        <w:rPr>
          <w:rFonts w:ascii="Times New Roman" w:cs="Times New Roman" w:eastAsia="Times New Roman" w:hAnsi="Times New Roman"/>
          <w:sz w:val="18"/>
          <w:szCs w:val="18"/>
          <w:i w:val="1"/>
          <w:iCs w:val="1"/>
          <w:color w:val="auto"/>
        </w:rPr>
        <w:t>, Accounting for Conditional Asset Retirement Obligations, an interpretation of SFAS 143</w:t>
      </w:r>
      <w:r>
        <w:rPr>
          <w:rFonts w:ascii="Times New Roman" w:cs="Times New Roman" w:eastAsia="Times New Roman" w:hAnsi="Times New Roman"/>
          <w:sz w:val="18"/>
          <w:szCs w:val="18"/>
          <w:color w:val="auto"/>
        </w:rPr>
        <w:t>, for the three months ended March 31, 2006 and 2005. FIN 47 was adopted prospectively on January 1, 2006.</w:t>
      </w:r>
    </w:p>
    <w:p>
      <w:pPr>
        <w:spacing w:after="0" w:line="160" w:lineRule="exact"/>
        <w:rPr>
          <w:sz w:val="20"/>
          <w:szCs w:val="20"/>
          <w:color w:val="auto"/>
        </w:rPr>
      </w:pPr>
    </w:p>
    <w:tbl>
      <w:tblPr>
        <w:tblLayout w:type="fixed"/>
        <w:tblInd w:w="2440" w:type="dxa"/>
        <w:tblCellMar>
          <w:top w:w="0" w:type="dxa"/>
          <w:left w:w="0" w:type="dxa"/>
          <w:bottom w:w="0" w:type="dxa"/>
          <w:right w:w="0" w:type="dxa"/>
        </w:tblCellMar>
      </w:tblPr>
      <w:tr>
        <w:trPr>
          <w:trHeight w:val="199"/>
        </w:trPr>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(Dollars in millions)</w:t>
            </w:r>
          </w:p>
        </w:tc>
        <w:tc>
          <w:tcPr>
            <w:tcW w:w="180" w:type="dxa"/>
            <w:vAlign w:val="bottom"/>
          </w:tcPr>
          <w:p>
            <w:pPr>
              <w:spacing w:after="0"/>
              <w:rPr>
                <w:sz w:val="17"/>
                <w:szCs w:val="17"/>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2006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2005</w:t>
            </w:r>
          </w:p>
        </w:tc>
        <w:tc>
          <w:tcPr>
            <w:tcW w:w="140" w:type="dxa"/>
            <w:vAlign w:val="bottom"/>
          </w:tcPr>
          <w:p>
            <w:pPr>
              <w:spacing w:after="0"/>
              <w:rPr>
                <w:sz w:val="17"/>
                <w:szCs w:val="17"/>
                <w:color w:val="auto"/>
              </w:rPr>
            </w:pPr>
          </w:p>
        </w:tc>
      </w:tr>
      <w:tr>
        <w:trPr>
          <w:trHeight w:val="212"/>
        </w:trPr>
        <w:tc>
          <w:tcPr>
            <w:tcW w:w="4920" w:type="dxa"/>
            <w:vAlign w:val="bottom"/>
            <w:shd w:val="clear" w:color="auto" w:fill="000000"/>
          </w:tcPr>
          <w:p>
            <w:pPr>
              <w:spacing w:after="0"/>
              <w:rPr>
                <w:sz w:val="18"/>
                <w:szCs w:val="18"/>
                <w:color w:val="auto"/>
              </w:rPr>
            </w:pPr>
          </w:p>
        </w:tc>
        <w:tc>
          <w:tcPr>
            <w:tcW w:w="180" w:type="dxa"/>
            <w:vAlign w:val="bottom"/>
            <w:shd w:val="clear" w:color="auto" w:fill="000000"/>
          </w:tcPr>
          <w:p>
            <w:pPr>
              <w:spacing w:after="0"/>
              <w:rPr>
                <w:sz w:val="18"/>
                <w:szCs w:val="18"/>
                <w:color w:val="auto"/>
              </w:rPr>
            </w:pPr>
          </w:p>
        </w:tc>
        <w:tc>
          <w:tcPr>
            <w:tcW w:w="50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220" w:type="dxa"/>
            <w:vAlign w:val="bottom"/>
            <w:shd w:val="clear" w:color="auto" w:fill="000000"/>
          </w:tcPr>
          <w:p>
            <w:pPr>
              <w:spacing w:after="0"/>
              <w:rPr>
                <w:sz w:val="18"/>
                <w:szCs w:val="18"/>
                <w:color w:val="auto"/>
              </w:rPr>
            </w:pPr>
          </w:p>
        </w:tc>
        <w:tc>
          <w:tcPr>
            <w:tcW w:w="46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r>
      <w:tr>
        <w:trPr>
          <w:trHeight w:val="215"/>
        </w:trPr>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January 1</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5"/>
        </w:trPr>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Accretion expense</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p>
        </w:tc>
      </w:tr>
      <w:tr>
        <w:trPr>
          <w:trHeight w:val="212"/>
        </w:trPr>
        <w:tc>
          <w:tcPr>
            <w:tcW w:w="4920" w:type="dxa"/>
            <w:vAlign w:val="bottom"/>
          </w:tcPr>
          <w:p>
            <w:pPr>
              <w:spacing w:after="0"/>
              <w:rPr>
                <w:sz w:val="18"/>
                <w:szCs w:val="18"/>
                <w:color w:val="auto"/>
              </w:rPr>
            </w:pPr>
          </w:p>
        </w:tc>
        <w:tc>
          <w:tcPr>
            <w:tcW w:w="180" w:type="dxa"/>
            <w:vAlign w:val="bottom"/>
            <w:shd w:val="clear" w:color="auto" w:fill="000000"/>
          </w:tcPr>
          <w:p>
            <w:pPr>
              <w:spacing w:after="0"/>
              <w:rPr>
                <w:sz w:val="18"/>
                <w:szCs w:val="18"/>
                <w:color w:val="auto"/>
              </w:rPr>
            </w:pPr>
          </w:p>
        </w:tc>
        <w:tc>
          <w:tcPr>
            <w:tcW w:w="50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220" w:type="dxa"/>
            <w:vAlign w:val="bottom"/>
            <w:shd w:val="clear" w:color="auto" w:fill="000000"/>
          </w:tcPr>
          <w:p>
            <w:pPr>
              <w:spacing w:after="0"/>
              <w:rPr>
                <w:sz w:val="18"/>
                <w:szCs w:val="18"/>
                <w:color w:val="auto"/>
              </w:rPr>
            </w:pPr>
          </w:p>
        </w:tc>
        <w:tc>
          <w:tcPr>
            <w:tcW w:w="46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r>
      <w:tr>
        <w:trPr>
          <w:trHeight w:val="222"/>
        </w:trPr>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March 31</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2"/>
        </w:trPr>
        <w:tc>
          <w:tcPr>
            <w:tcW w:w="4920" w:type="dxa"/>
            <w:vAlign w:val="bottom"/>
            <w:shd w:val="clear" w:color="auto" w:fill="000000"/>
          </w:tcPr>
          <w:p>
            <w:pPr>
              <w:spacing w:after="0"/>
              <w:rPr>
                <w:sz w:val="18"/>
                <w:szCs w:val="18"/>
                <w:color w:val="auto"/>
              </w:rPr>
            </w:pPr>
          </w:p>
        </w:tc>
        <w:tc>
          <w:tcPr>
            <w:tcW w:w="180" w:type="dxa"/>
            <w:vAlign w:val="bottom"/>
            <w:shd w:val="clear" w:color="auto" w:fill="000000"/>
          </w:tcPr>
          <w:p>
            <w:pPr>
              <w:spacing w:after="0"/>
              <w:rPr>
                <w:sz w:val="18"/>
                <w:szCs w:val="18"/>
                <w:color w:val="auto"/>
              </w:rPr>
            </w:pPr>
          </w:p>
        </w:tc>
        <w:tc>
          <w:tcPr>
            <w:tcW w:w="50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220" w:type="dxa"/>
            <w:vAlign w:val="bottom"/>
            <w:shd w:val="clear" w:color="auto" w:fill="000000"/>
          </w:tcPr>
          <w:p>
            <w:pPr>
              <w:spacing w:after="0"/>
              <w:rPr>
                <w:sz w:val="18"/>
                <w:szCs w:val="18"/>
                <w:color w:val="auto"/>
              </w:rPr>
            </w:pPr>
          </w:p>
        </w:tc>
        <w:tc>
          <w:tcPr>
            <w:tcW w:w="46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r>
    </w:tbl>
    <w:p>
      <w:pPr>
        <w:sectPr>
          <w:pgSz w:w="11900" w:h="16838" w:orient="portrait"/>
          <w:cols w:equalWidth="0" w:num="1">
            <w:col w:w="11380"/>
          </w:cols>
          <w:pgMar w:left="240" w:top="118" w:right="279" w:bottom="0" w:gutter="0" w:footer="0" w:header="0"/>
        </w:sectPr>
      </w:pPr>
    </w:p>
    <w:bookmarkStart w:id="8" w:name="page9"/>
    <w:bookmarkEnd w:id="8"/>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current portion of the obligation is included in Other Current Liabilities on the Consolidated Balance Sheets.</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accordance with FIN 47, the company has determined that the amount of asbestos-containing materials could not be determined and, therefore, no liability has been recognized for the related removal obligations. Since substantially all of the cost of removing such materials is expected to be recovered in rates, the effect of not recognizing these liabilities is not material to the company's financial condition or results of operations.</w:t>
      </w:r>
    </w:p>
    <w:p>
      <w:pPr>
        <w:spacing w:after="0" w:line="200" w:lineRule="exact"/>
        <w:rPr>
          <w:sz w:val="20"/>
          <w:szCs w:val="20"/>
          <w:color w:val="auto"/>
        </w:rPr>
      </w:pPr>
    </w:p>
    <w:p>
      <w:pPr>
        <w:spacing w:after="0" w:line="322" w:lineRule="exact"/>
        <w:rPr>
          <w:sz w:val="20"/>
          <w:szCs w:val="20"/>
          <w:color w:val="auto"/>
        </w:rPr>
      </w:pPr>
    </w:p>
    <w:p>
      <w:pPr>
        <w:ind w:right="640"/>
        <w:spacing w:after="0" w:line="276" w:lineRule="auto"/>
        <w:rPr>
          <w:sz w:val="20"/>
          <w:szCs w:val="20"/>
          <w:color w:val="auto"/>
        </w:rPr>
      </w:pPr>
      <w:r>
        <w:rPr>
          <w:rFonts w:ascii="Times New Roman" w:cs="Times New Roman" w:eastAsia="Times New Roman" w:hAnsi="Times New Roman"/>
          <w:sz w:val="18"/>
          <w:szCs w:val="18"/>
          <w:color w:val="auto"/>
        </w:rPr>
        <w:t xml:space="preserve">In accordance with SFAS 132 (revised), </w:t>
      </w:r>
      <w:r>
        <w:rPr>
          <w:rFonts w:ascii="Times New Roman" w:cs="Times New Roman" w:eastAsia="Times New Roman" w:hAnsi="Times New Roman"/>
          <w:sz w:val="18"/>
          <w:szCs w:val="18"/>
          <w:i w:val="1"/>
          <w:iCs w:val="1"/>
          <w:color w:val="auto"/>
        </w:rPr>
        <w:t>Employers' Disclosures about Pensions and Other Postretirement Benefits</w:t>
      </w:r>
      <w:r>
        <w:rPr>
          <w:rFonts w:ascii="Times New Roman" w:cs="Times New Roman" w:eastAsia="Times New Roman" w:hAnsi="Times New Roman"/>
          <w:sz w:val="18"/>
          <w:szCs w:val="18"/>
          <w:color w:val="auto"/>
        </w:rPr>
        <w:t>, the following tables provide the components of benefit costs for the three months ended March 31:</w:t>
      </w:r>
    </w:p>
    <w:p>
      <w:pPr>
        <w:spacing w:after="0" w:line="144" w:lineRule="exact"/>
        <w:rPr>
          <w:sz w:val="20"/>
          <w:szCs w:val="20"/>
          <w:color w:val="auto"/>
        </w:rPr>
      </w:pPr>
    </w:p>
    <w:tbl>
      <w:tblPr>
        <w:tblLayout w:type="fixed"/>
        <w:tblInd w:w="244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4"/>
          </w:tcPr>
          <w:p>
            <w:pPr>
              <w:jc w:val="right"/>
              <w:ind w:right="800"/>
              <w:spacing w:after="0"/>
              <w:rPr>
                <w:sz w:val="20"/>
                <w:szCs w:val="20"/>
                <w:color w:val="auto"/>
              </w:rPr>
            </w:pPr>
            <w:r>
              <w:rPr>
                <w:rFonts w:ascii="Times New Roman" w:cs="Times New Roman" w:eastAsia="Times New Roman" w:hAnsi="Times New Roman"/>
                <w:sz w:val="15"/>
                <w:szCs w:val="15"/>
                <w:color w:val="auto"/>
              </w:rPr>
              <w:t>Pension Benefits</w:t>
            </w:r>
          </w:p>
        </w:tc>
        <w:tc>
          <w:tcPr>
            <w:tcW w:w="200" w:type="dxa"/>
            <w:vAlign w:val="bottom"/>
          </w:tcPr>
          <w:p>
            <w:pPr>
              <w:spacing w:after="0"/>
              <w:rPr>
                <w:sz w:val="17"/>
                <w:szCs w:val="17"/>
                <w:color w:val="auto"/>
              </w:rPr>
            </w:pPr>
          </w:p>
        </w:tc>
        <w:tc>
          <w:tcPr>
            <w:tcW w:w="1800" w:type="dxa"/>
            <w:vAlign w:val="bottom"/>
            <w:gridSpan w:val="4"/>
          </w:tcPr>
          <w:p>
            <w:pPr>
              <w:jc w:val="right"/>
              <w:ind w:right="340"/>
              <w:spacing w:after="0"/>
              <w:rPr>
                <w:sz w:val="20"/>
                <w:szCs w:val="20"/>
                <w:color w:val="auto"/>
              </w:rPr>
            </w:pPr>
            <w:r>
              <w:rPr>
                <w:rFonts w:ascii="Times New Roman" w:cs="Times New Roman" w:eastAsia="Times New Roman" w:hAnsi="Times New Roman"/>
                <w:sz w:val="15"/>
                <w:szCs w:val="15"/>
                <w:color w:val="auto"/>
              </w:rPr>
              <w:t>Postretirement Benefits</w:t>
            </w:r>
          </w:p>
        </w:tc>
        <w:tc>
          <w:tcPr>
            <w:tcW w:w="0" w:type="dxa"/>
            <w:vAlign w:val="bottom"/>
          </w:tcPr>
          <w:p>
            <w:pPr>
              <w:spacing w:after="0"/>
              <w:rPr>
                <w:sz w:val="1"/>
                <w:szCs w:val="1"/>
                <w:color w:val="auto"/>
              </w:rPr>
            </w:pPr>
          </w:p>
        </w:tc>
      </w:tr>
      <w:tr>
        <w:trPr>
          <w:trHeight w:val="218"/>
        </w:trPr>
        <w:tc>
          <w:tcPr>
            <w:tcW w:w="21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(Dollars in millions)</w:t>
            </w:r>
          </w:p>
        </w:tc>
        <w:tc>
          <w:tcPr>
            <w:tcW w:w="200" w:type="dxa"/>
            <w:vAlign w:val="bottom"/>
            <w:shd w:val="clear" w:color="auto" w:fill="000000"/>
          </w:tcPr>
          <w:p>
            <w:pPr>
              <w:spacing w:after="0"/>
              <w:rPr>
                <w:sz w:val="18"/>
                <w:szCs w:val="18"/>
                <w:color w:val="auto"/>
              </w:rPr>
            </w:pPr>
          </w:p>
        </w:tc>
        <w:tc>
          <w:tcPr>
            <w:tcW w:w="780" w:type="dxa"/>
            <w:vAlign w:val="bottom"/>
            <w:shd w:val="clear" w:color="auto" w:fill="000000"/>
          </w:tcPr>
          <w:p>
            <w:pPr>
              <w:spacing w:after="0"/>
              <w:rPr>
                <w:sz w:val="18"/>
                <w:szCs w:val="18"/>
                <w:color w:val="auto"/>
              </w:rPr>
            </w:pPr>
          </w:p>
        </w:tc>
        <w:tc>
          <w:tcPr>
            <w:tcW w:w="320" w:type="dxa"/>
            <w:vAlign w:val="bottom"/>
            <w:shd w:val="clear" w:color="auto" w:fill="000000"/>
          </w:tcPr>
          <w:p>
            <w:pPr>
              <w:spacing w:after="0"/>
              <w:rPr>
                <w:sz w:val="18"/>
                <w:szCs w:val="18"/>
                <w:color w:val="auto"/>
              </w:rPr>
            </w:pPr>
          </w:p>
        </w:tc>
        <w:tc>
          <w:tcPr>
            <w:tcW w:w="6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94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60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1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2006</w:t>
            </w:r>
          </w:p>
        </w:tc>
        <w:tc>
          <w:tcPr>
            <w:tcW w:w="320" w:type="dxa"/>
            <w:vAlign w:val="bottom"/>
          </w:tcPr>
          <w:p>
            <w:pPr>
              <w:spacing w:after="0"/>
              <w:rPr>
                <w:sz w:val="17"/>
                <w:szCs w:val="17"/>
                <w:color w:val="auto"/>
              </w:rPr>
            </w:pP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2005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06"/>
              <w:spacing w:after="0"/>
              <w:rPr>
                <w:sz w:val="20"/>
                <w:szCs w:val="20"/>
                <w:color w:val="auto"/>
              </w:rPr>
            </w:pPr>
            <w:r>
              <w:rPr>
                <w:rFonts w:ascii="Times New Roman" w:cs="Times New Roman" w:eastAsia="Times New Roman" w:hAnsi="Times New Roman"/>
                <w:sz w:val="15"/>
                <w:szCs w:val="15"/>
                <w:color w:val="auto"/>
              </w:rPr>
              <w:t>2006</w:t>
            </w:r>
          </w:p>
        </w:tc>
        <w:tc>
          <w:tcPr>
            <w:tcW w:w="200" w:type="dxa"/>
            <w:vAlign w:val="bottom"/>
          </w:tcPr>
          <w:p>
            <w:pPr>
              <w:spacing w:after="0"/>
              <w:rPr>
                <w:sz w:val="17"/>
                <w:szCs w:val="17"/>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2005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4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780" w:type="dxa"/>
            <w:vAlign w:val="bottom"/>
            <w:shd w:val="clear" w:color="auto" w:fill="000000"/>
          </w:tcPr>
          <w:p>
            <w:pPr>
              <w:spacing w:after="0"/>
              <w:rPr>
                <w:sz w:val="18"/>
                <w:szCs w:val="18"/>
                <w:color w:val="auto"/>
              </w:rPr>
            </w:pPr>
          </w:p>
        </w:tc>
        <w:tc>
          <w:tcPr>
            <w:tcW w:w="320" w:type="dxa"/>
            <w:vAlign w:val="bottom"/>
            <w:shd w:val="clear" w:color="auto" w:fill="000000"/>
          </w:tcPr>
          <w:p>
            <w:pPr>
              <w:spacing w:after="0"/>
              <w:rPr>
                <w:sz w:val="18"/>
                <w:szCs w:val="18"/>
                <w:color w:val="auto"/>
              </w:rPr>
            </w:pPr>
          </w:p>
        </w:tc>
        <w:tc>
          <w:tcPr>
            <w:tcW w:w="620" w:type="dxa"/>
            <w:vAlign w:val="bottom"/>
            <w:shd w:val="clear" w:color="auto" w:fill="000000"/>
          </w:tcPr>
          <w:p>
            <w:pPr>
              <w:spacing w:after="0"/>
              <w:rPr>
                <w:sz w:val="18"/>
                <w:szCs w:val="18"/>
                <w:color w:val="auto"/>
              </w:rPr>
            </w:pPr>
          </w:p>
        </w:tc>
        <w:tc>
          <w:tcPr>
            <w:tcW w:w="34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94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60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auto"/>
              </w:rPr>
              <w:t>Service cost</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10</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340" w:type="dxa"/>
            <w:vAlign w:val="bottom"/>
          </w:tcPr>
          <w:p>
            <w:pPr>
              <w:spacing w:after="0"/>
              <w:rPr>
                <w:sz w:val="16"/>
                <w:szCs w:val="16"/>
                <w:color w:val="auto"/>
              </w:rPr>
            </w:pP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4</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auto"/>
              </w:rPr>
              <w:t>Interest cost</w:t>
            </w:r>
          </w:p>
        </w:tc>
        <w:tc>
          <w:tcPr>
            <w:tcW w:w="200" w:type="dxa"/>
            <w:vAlign w:val="bottom"/>
          </w:tcPr>
          <w:p>
            <w:pPr>
              <w:spacing w:after="0"/>
              <w:rPr>
                <w:sz w:val="17"/>
                <w:szCs w:val="17"/>
                <w:color w:val="auto"/>
              </w:rPr>
            </w:pPr>
          </w:p>
        </w:tc>
        <w:tc>
          <w:tcPr>
            <w:tcW w:w="7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24</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auto"/>
              </w:rPr>
              <w:t>Expected return on assets</w:t>
            </w:r>
          </w:p>
        </w:tc>
        <w:tc>
          <w:tcPr>
            <w:tcW w:w="200" w:type="dxa"/>
            <w:vAlign w:val="bottom"/>
          </w:tcPr>
          <w:p>
            <w:pPr>
              <w:spacing w:after="0"/>
              <w:rPr>
                <w:sz w:val="17"/>
                <w:szCs w:val="17"/>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(24 )</w:t>
            </w:r>
          </w:p>
        </w:tc>
        <w:tc>
          <w:tcPr>
            <w:tcW w:w="3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(25 )</w:t>
            </w:r>
          </w:p>
        </w:tc>
        <w:tc>
          <w:tcPr>
            <w:tcW w:w="200" w:type="dxa"/>
            <w:vAlign w:val="bottom"/>
          </w:tcPr>
          <w:p>
            <w:pPr>
              <w:spacing w:after="0"/>
              <w:rPr>
                <w:sz w:val="17"/>
                <w:szCs w:val="17"/>
                <w:color w:val="auto"/>
              </w:rPr>
            </w:pP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(9 )</w:t>
            </w:r>
          </w:p>
        </w:tc>
        <w:tc>
          <w:tcPr>
            <w:tcW w:w="2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(9 )</w:t>
            </w:r>
          </w:p>
        </w:tc>
        <w:tc>
          <w:tcPr>
            <w:tcW w:w="0" w:type="dxa"/>
            <w:vAlign w:val="bottom"/>
          </w:tcPr>
          <w:p>
            <w:pPr>
              <w:spacing w:after="0"/>
              <w:rPr>
                <w:sz w:val="1"/>
                <w:szCs w:val="1"/>
                <w:color w:val="auto"/>
              </w:rPr>
            </w:pPr>
          </w:p>
        </w:tc>
      </w:tr>
      <w:tr>
        <w:trPr>
          <w:trHeight w:val="205"/>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Prior service cost</w:t>
            </w:r>
          </w:p>
        </w:tc>
        <w:tc>
          <w:tcPr>
            <w:tcW w:w="200" w:type="dxa"/>
            <w:vAlign w:val="bottom"/>
          </w:tcPr>
          <w:p>
            <w:pPr>
              <w:spacing w:after="0"/>
              <w:rPr>
                <w:sz w:val="17"/>
                <w:szCs w:val="17"/>
                <w:color w:val="auto"/>
              </w:rPr>
            </w:pPr>
          </w:p>
        </w:tc>
        <w:tc>
          <w:tcPr>
            <w:tcW w:w="7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2</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(1 )</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Actuarial loss</w:t>
            </w:r>
          </w:p>
        </w:tc>
        <w:tc>
          <w:tcPr>
            <w:tcW w:w="200" w:type="dxa"/>
            <w:vAlign w:val="bottom"/>
          </w:tcPr>
          <w:p>
            <w:pPr>
              <w:spacing w:after="0"/>
              <w:rPr>
                <w:sz w:val="17"/>
                <w:szCs w:val="17"/>
                <w:color w:val="auto"/>
              </w:rPr>
            </w:pPr>
          </w:p>
        </w:tc>
        <w:tc>
          <w:tcPr>
            <w:tcW w:w="7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auto"/>
              </w:rPr>
              <w:t>Regulatory adjustment</w:t>
            </w:r>
          </w:p>
        </w:tc>
        <w:tc>
          <w:tcPr>
            <w:tcW w:w="200" w:type="dxa"/>
            <w:vAlign w:val="bottom"/>
          </w:tcPr>
          <w:p>
            <w:pPr>
              <w:spacing w:after="0"/>
              <w:rPr>
                <w:sz w:val="17"/>
                <w:szCs w:val="17"/>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(12 )</w:t>
            </w:r>
          </w:p>
        </w:tc>
        <w:tc>
          <w:tcPr>
            <w:tcW w:w="3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(10 )</w:t>
            </w:r>
          </w:p>
        </w:tc>
        <w:tc>
          <w:tcPr>
            <w:tcW w:w="200" w:type="dxa"/>
            <w:vAlign w:val="bottom"/>
          </w:tcPr>
          <w:p>
            <w:pPr>
              <w:spacing w:after="0"/>
              <w:rPr>
                <w:sz w:val="17"/>
                <w:szCs w:val="17"/>
                <w:color w:val="auto"/>
              </w:rPr>
            </w:pPr>
          </w:p>
        </w:tc>
        <w:tc>
          <w:tcPr>
            <w:tcW w:w="9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Total net periodic benefit cost</w:t>
            </w:r>
          </w:p>
        </w:tc>
        <w:tc>
          <w:tcPr>
            <w:tcW w:w="200" w:type="dxa"/>
            <w:vAlign w:val="bottom"/>
            <w:shd w:val="clear" w:color="auto" w:fill="000000"/>
          </w:tcPr>
          <w:p>
            <w:pPr>
              <w:spacing w:after="0"/>
              <w:rPr>
                <w:sz w:val="18"/>
                <w:szCs w:val="18"/>
                <w:color w:val="auto"/>
              </w:rPr>
            </w:pPr>
          </w:p>
        </w:tc>
        <w:tc>
          <w:tcPr>
            <w:tcW w:w="780" w:type="dxa"/>
            <w:vAlign w:val="bottom"/>
            <w:shd w:val="clear" w:color="auto" w:fill="000000"/>
          </w:tcPr>
          <w:p>
            <w:pPr>
              <w:spacing w:after="0"/>
              <w:rPr>
                <w:sz w:val="18"/>
                <w:szCs w:val="18"/>
                <w:color w:val="auto"/>
              </w:rPr>
            </w:pPr>
          </w:p>
        </w:tc>
        <w:tc>
          <w:tcPr>
            <w:tcW w:w="320" w:type="dxa"/>
            <w:vAlign w:val="bottom"/>
            <w:shd w:val="clear" w:color="auto" w:fill="000000"/>
          </w:tcPr>
          <w:p>
            <w:pPr>
              <w:spacing w:after="0"/>
              <w:rPr>
                <w:sz w:val="18"/>
                <w:szCs w:val="18"/>
                <w:color w:val="auto"/>
              </w:rPr>
            </w:pPr>
          </w:p>
        </w:tc>
        <w:tc>
          <w:tcPr>
            <w:tcW w:w="6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94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60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140" w:type="dxa"/>
            <w:vAlign w:val="bottom"/>
            <w:vMerge w:val="continue"/>
          </w:tcPr>
          <w:p>
            <w:pPr>
              <w:spacing w:after="0"/>
              <w:rPr>
                <w:sz w:val="17"/>
                <w:szCs w:val="17"/>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40" w:type="dxa"/>
            <w:vAlign w:val="bottom"/>
          </w:tcPr>
          <w:p>
            <w:pPr>
              <w:spacing w:after="0"/>
              <w:rPr>
                <w:sz w:val="17"/>
                <w:szCs w:val="17"/>
                <w:color w:val="auto"/>
              </w:rPr>
            </w:pP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6</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4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780" w:type="dxa"/>
            <w:vAlign w:val="bottom"/>
            <w:shd w:val="clear" w:color="auto" w:fill="000000"/>
          </w:tcPr>
          <w:p>
            <w:pPr>
              <w:spacing w:after="0"/>
              <w:rPr>
                <w:sz w:val="18"/>
                <w:szCs w:val="18"/>
                <w:color w:val="auto"/>
              </w:rPr>
            </w:pPr>
          </w:p>
        </w:tc>
        <w:tc>
          <w:tcPr>
            <w:tcW w:w="320" w:type="dxa"/>
            <w:vAlign w:val="bottom"/>
            <w:shd w:val="clear" w:color="auto" w:fill="000000"/>
          </w:tcPr>
          <w:p>
            <w:pPr>
              <w:spacing w:after="0"/>
              <w:rPr>
                <w:sz w:val="18"/>
                <w:szCs w:val="18"/>
                <w:color w:val="auto"/>
              </w:rPr>
            </w:pPr>
          </w:p>
        </w:tc>
        <w:tc>
          <w:tcPr>
            <w:tcW w:w="620" w:type="dxa"/>
            <w:vAlign w:val="bottom"/>
            <w:shd w:val="clear" w:color="auto" w:fill="000000"/>
          </w:tcPr>
          <w:p>
            <w:pPr>
              <w:spacing w:after="0"/>
              <w:rPr>
                <w:sz w:val="18"/>
                <w:szCs w:val="18"/>
                <w:color w:val="auto"/>
              </w:rPr>
            </w:pPr>
          </w:p>
        </w:tc>
        <w:tc>
          <w:tcPr>
            <w:tcW w:w="34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94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60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8"/>
          <w:szCs w:val="18"/>
          <w:color w:val="auto"/>
        </w:rPr>
        <w:t>The company expects to contribute $2 million to its pension plans and $24 million to its other postretirement benefit plans in 2006. For the three months ended March 31, 2006, $0 million and $8 million of contributions have been made to the pension and other postretirement benefit plans, respectively.</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FASB Staff Position 106-2, the net periodic postretirement benefit costs for the three months ended March 31, 2006 were reduced by $2 million, before regulatory adjustments, to reflect the expected subsidy as a result of the Medicare Prescription Drug, Improvement and Modernization Act of 2003.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2006, the amount of unpaid capital expenditures decreased by $6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financial statement items have been reclassified to conform to current period presentation.</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companies' Consolidated Statements of Income have been converted from a utility format, where only regulated cost-of-service items, including income taxes on operating income, were reflected in Operating Income, to a commercial format, where nonutility items are reflected as components of Operating Income. Also, in the Consolidated Balance Sheets under the commercial format, nonutility property is included in Property, Plant and Equipment.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NEW ACCOUNTING STANDARDS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SFAS 123 (revised 2004)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"Share-Based Payment" (SFAS 123R):</w:t>
      </w:r>
    </w:p>
    <w:p>
      <w:pPr>
        <w:spacing w:after="0" w:line="18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 xml:space="preserve">Effective January 1, 2006, Sempra Energy adopted SFAS No. 123 (revised 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(SFAS 123R), which requires compensation costs related to share-based transactions, including employee stock options, to be recognized in the financial statements based on fair value. SFAS 123R revises SFAS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(SFAS 123) and supersedes Accounting Principles Board Opinion (APBO) No. 25,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Stock Issued to Employees. </w:t>
      </w:r>
      <w:r>
        <w:rPr>
          <w:rFonts w:ascii="Times New Roman" w:cs="Times New Roman" w:eastAsia="Times New Roman" w:hAnsi="Times New Roman"/>
          <w:sz w:val="18"/>
          <w:szCs w:val="18"/>
          <w:color w:val="auto"/>
        </w:rPr>
        <w:t>In March 2005, the Securities and Exchange Commission (the SEC) issued Staff Accounting Bulletin No. 107 (SAB 107)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SEC's interpretation of SFAS 123R and the valuation of share-based payments for public companies. Sempra Energy has applied the provisions of SAB 107 in its adoption of SFAS 123R.</w:t>
      </w:r>
    </w:p>
    <w:p>
      <w:pPr>
        <w:spacing w:after="0" w:line="150"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Sempra Energy adopted the provisions of SFAS 123R using the modified prospective transition method. In accordance with this transition method, Sempra Energy's consolidated financial statements for prior periods have not been restated to reflect the impact of SFAS 123R. Under the modified prospective transition method, share-based compensation expense for the first quarter of 2006 includes compensation expense for all share-based compensation awards granted prior to, but for which the requisite service has not yet been performed as of January 1, 2006, based on the grant date fair value estimated in accordance with the original provisions of SFAS 123. Share-based compensation expense for all share-based compensation awards granted after January 1, 2006 is based on the grant date fair value estimated in accordance with the provisions of SFAS 123R. Sempra Energy recognizes compensation costs net of an assumed forfeiture rate and recognizes the compensation costs for nonqualified stock options and re stricted shares expected to vest on a straight-line basis over the requisite service period of the award, which is generally four years. Sempra Energy estimated the forfeiture rate for the first quarter of 2006 based on its historical experience.</w:t>
      </w:r>
    </w:p>
    <w:p>
      <w:pPr>
        <w:spacing w:after="0" w:line="1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SFAS 154, "Accounting Changes and Error Corrections, a replacement of Accounting Principles Board Opinion (APBO) 20 and FASB Statement No. 3" (SFAS 154): </w:t>
      </w:r>
      <w:r>
        <w:rPr>
          <w:rFonts w:ascii="Times New Roman" w:cs="Times New Roman" w:eastAsia="Times New Roman" w:hAnsi="Times New Roman"/>
          <w:sz w:val="18"/>
          <w:szCs w:val="18"/>
          <w:color w:val="auto"/>
        </w:rPr>
        <w:t>This statement applies to all voluntary changes in accounting principles and to changes required by an accounting pronouncement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instances where the pronouncement does not include specific transition provisions. APBO 20 previously required that most voluntary changes in accounting principle be recognized by including in net income of the period of the change the cumulative effect of changing to the new accounting principle. SFAS 154 requires retrospective application to prior periods' financial statements of changes in accounting principle, unless it is impracticable to do so. This statement is effective for accounting changes and corrections of errors made in fiscal years beginning after December 15, 2005. No such changes have been made by the company in 2006.</w:t>
      </w:r>
    </w:p>
    <w:p>
      <w:pPr>
        <w:spacing w:after="0" w:line="14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SFAS 155, "Accounting for Certain Hybrid Instruments" (SFAS 155): </w:t>
      </w:r>
      <w:r>
        <w:rPr>
          <w:rFonts w:ascii="Times New Roman" w:cs="Times New Roman" w:eastAsia="Times New Roman" w:hAnsi="Times New Roman"/>
          <w:sz w:val="18"/>
          <w:szCs w:val="18"/>
          <w:color w:val="auto"/>
        </w:rPr>
        <w:t>In February 2006, the FASB issued SFAS 155, an amendment of FASB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 133 (SFAS 133),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 xml:space="preserve"> and No. 140 (SFAS 140), </w:t>
      </w:r>
      <w:r>
        <w:rPr>
          <w:rFonts w:ascii="Times New Roman" w:cs="Times New Roman" w:eastAsia="Times New Roman" w:hAnsi="Times New Roman"/>
          <w:sz w:val="18"/>
          <w:szCs w:val="18"/>
          <w:i w:val="1"/>
          <w:iCs w:val="1"/>
          <w:color w:val="auto"/>
        </w:rPr>
        <w:t>Accounting for Transfers and Servicing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Assets and Extinguishments of Liabilities</w:t>
      </w:r>
      <w:r>
        <w:rPr>
          <w:rFonts w:ascii="Times New Roman" w:cs="Times New Roman" w:eastAsia="Times New Roman" w:hAnsi="Times New Roman"/>
          <w:sz w:val="18"/>
          <w:szCs w:val="18"/>
          <w:color w:val="auto"/>
        </w:rPr>
        <w:t>. SFAS 155 amends SFAS 133 to allow financial instruments that have embedded derivatives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a whole if the holder elects to account for the whole instrument on a fair value basis and provides additional guidance on the applicability of SFAS 133 and SFAS 140 to certain financial instruments and subordinated concentrations of credit risk. SFAS 155 is effective for all hybrid financial instruments acquired or issued by the company on or after January 1, 2007. The company is currently evaluating the impact SFAS 155 will have on its consolidated financial statements, but does not expect that the impact will be material.</w:t>
      </w:r>
    </w:p>
    <w:p>
      <w:pPr>
        <w:spacing w:after="0" w:line="146"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SFAS 156, "Accounting for Servicing of Financial Assets" (SFAS 156): </w:t>
      </w:r>
      <w:r>
        <w:rPr>
          <w:rFonts w:ascii="Times New Roman" w:cs="Times New Roman" w:eastAsia="Times New Roman" w:hAnsi="Times New Roman"/>
          <w:sz w:val="18"/>
          <w:szCs w:val="18"/>
          <w:color w:val="auto"/>
        </w:rPr>
        <w:t>In March 2006, the FASB issued SFAS 156, an amendment to SFAS 140,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Accounting for Transfers and Servicing of Financial Assets and Extinguishments of Liabilities, </w:t>
      </w:r>
      <w:r>
        <w:rPr>
          <w:rFonts w:ascii="Times New Roman" w:cs="Times New Roman" w:eastAsia="Times New Roman" w:hAnsi="Times New Roman"/>
          <w:sz w:val="18"/>
          <w:szCs w:val="18"/>
          <w:color w:val="auto"/>
        </w:rPr>
        <w:t>with respect to the accounting for separately recognized</w:t>
      </w:r>
    </w:p>
    <w:p>
      <w:pPr>
        <w:sectPr>
          <w:pgSz w:w="11900" w:h="16840" w:orient="portrait"/>
          <w:cols w:equalWidth="0" w:num="1">
            <w:col w:w="11420"/>
          </w:cols>
          <w:pgMar w:left="240" w:top="115" w:right="239" w:bottom="0" w:gutter="0" w:footer="0" w:header="0"/>
        </w:sectPr>
      </w:pPr>
    </w:p>
    <w:bookmarkStart w:id="9" w:name="page10"/>
    <w:bookmarkEnd w:id="9"/>
    <w:p>
      <w:pPr>
        <w:ind w:right="80"/>
        <w:spacing w:after="0" w:line="249" w:lineRule="auto"/>
        <w:rPr>
          <w:sz w:val="20"/>
          <w:szCs w:val="20"/>
          <w:color w:val="auto"/>
        </w:rPr>
      </w:pPr>
      <w:r>
        <w:rPr>
          <w:rFonts w:ascii="Times New Roman" w:cs="Times New Roman" w:eastAsia="Times New Roman" w:hAnsi="Times New Roman"/>
          <w:sz w:val="18"/>
          <w:szCs w:val="18"/>
          <w:color w:val="auto"/>
        </w:rPr>
        <w:t>servicing assets and servicing liabilities. This statement requires that all separately recognized servicing assets and servicing liabilities be initially measured at fair value, if practicable. It also permits, but does not require, the subsequent measurement of servicing assets and servicing liabilities at fair value. The company will adopt this statement on January 1, 2007 but does not expect that this statement will have a material effect on its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OTHER FINANCIAL DATA</w:t>
      </w:r>
    </w:p>
    <w:p>
      <w:pPr>
        <w:spacing w:after="0" w:line="185"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8"/>
          <w:szCs w:val="18"/>
          <w:color w:val="auto"/>
        </w:rPr>
        <w:t>SoCalGas and its affiliate, SDG&amp;E have a combined $600 million five-year syndicated revolving credit facility expiring in 2010, under which each utility individually may borrow up to $500 million, subject to the combined borrowing limit for both utilities of $600 million. At March 31, 2006 and December 31, 2005, SoCalGas had no amounts outstanding under this facility. The facility provided support for $88 million of commercial paper outstanding at December 31, 2005.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concerning these credit facilities is provided in the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weighted average interest rate on the total short-term debt outstanding was 4.26% at December 31, 2005.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2006 and 2005, respectively, comprehensive income was equal to net income.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185"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8"/>
          <w:szCs w:val="18"/>
          <w:color w:val="auto"/>
        </w:rPr>
        <w:t>The company recorded $1 million and $0 million of capitalized interest for the three months ended March 31, 2006 and 2005, respectively, including the portion of allowance for funds used during construction related to debt.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consists of the following:</w:t>
      </w:r>
    </w:p>
    <w:p>
      <w:pPr>
        <w:spacing w:after="0" w:line="204" w:lineRule="exact"/>
        <w:rPr>
          <w:sz w:val="20"/>
          <w:szCs w:val="20"/>
          <w:color w:val="auto"/>
        </w:rPr>
      </w:pPr>
    </w:p>
    <w:tbl>
      <w:tblPr>
        <w:tblLayout w:type="fixed"/>
        <w:tblInd w:w="216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Three months ended</w:t>
            </w:r>
          </w:p>
        </w:tc>
        <w:tc>
          <w:tcPr>
            <w:tcW w:w="0" w:type="dxa"/>
            <w:vAlign w:val="bottom"/>
          </w:tcPr>
          <w:p>
            <w:pPr>
              <w:spacing w:after="0"/>
              <w:rPr>
                <w:sz w:val="1"/>
                <w:szCs w:val="1"/>
                <w:color w:val="auto"/>
              </w:rPr>
            </w:pPr>
          </w:p>
        </w:tc>
      </w:tr>
      <w:tr>
        <w:trPr>
          <w:trHeight w:val="205"/>
        </w:trPr>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w w:val="97"/>
              </w:rPr>
              <w:t>March 31,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(Dollars in millions)</w:t>
            </w:r>
          </w:p>
        </w:tc>
        <w:tc>
          <w:tcPr>
            <w:tcW w:w="160" w:type="dxa"/>
            <w:vAlign w:val="bottom"/>
            <w:shd w:val="clear" w:color="auto" w:fill="000000"/>
          </w:tcPr>
          <w:p>
            <w:pPr>
              <w:spacing w:after="0"/>
              <w:rPr>
                <w:sz w:val="18"/>
                <w:szCs w:val="18"/>
                <w:color w:val="auto"/>
              </w:rPr>
            </w:pPr>
          </w:p>
        </w:tc>
        <w:tc>
          <w:tcPr>
            <w:tcW w:w="660" w:type="dxa"/>
            <w:vAlign w:val="bottom"/>
            <w:shd w:val="clear" w:color="auto" w:fill="000000"/>
          </w:tcPr>
          <w:p>
            <w:pPr>
              <w:spacing w:after="0"/>
              <w:rPr>
                <w:sz w:val="18"/>
                <w:szCs w:val="18"/>
                <w:color w:val="auto"/>
              </w:rPr>
            </w:pPr>
          </w:p>
        </w:tc>
        <w:tc>
          <w:tcPr>
            <w:tcW w:w="300" w:type="dxa"/>
            <w:vAlign w:val="bottom"/>
            <w:shd w:val="clear" w:color="auto" w:fill="000000"/>
          </w:tcPr>
          <w:p>
            <w:pPr>
              <w:spacing w:after="0"/>
              <w:rPr>
                <w:sz w:val="18"/>
                <w:szCs w:val="18"/>
                <w:color w:val="auto"/>
              </w:rPr>
            </w:pPr>
          </w:p>
        </w:tc>
        <w:tc>
          <w:tcPr>
            <w:tcW w:w="50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2006</w:t>
            </w:r>
          </w:p>
        </w:tc>
        <w:tc>
          <w:tcPr>
            <w:tcW w:w="300" w:type="dxa"/>
            <w:vAlign w:val="bottom"/>
          </w:tcPr>
          <w:p>
            <w:pPr>
              <w:spacing w:after="0"/>
              <w:rPr>
                <w:sz w:val="16"/>
                <w:szCs w:val="16"/>
                <w:color w:val="auto"/>
              </w:rPr>
            </w:pPr>
          </w:p>
        </w:tc>
        <w:tc>
          <w:tcPr>
            <w:tcW w:w="50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w w:val="99"/>
              </w:rPr>
              <w:t>2005</w:t>
            </w:r>
          </w:p>
        </w:tc>
        <w:tc>
          <w:tcPr>
            <w:tcW w:w="0" w:type="dxa"/>
            <w:vAlign w:val="bottom"/>
          </w:tcPr>
          <w:p>
            <w:pPr>
              <w:spacing w:after="0"/>
              <w:rPr>
                <w:sz w:val="1"/>
                <w:szCs w:val="1"/>
                <w:color w:val="auto"/>
              </w:rPr>
            </w:pPr>
          </w:p>
        </w:tc>
      </w:tr>
      <w:tr>
        <w:trPr>
          <w:trHeight w:val="36"/>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Regulatory interest,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(1 )</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228"/>
        </w:trPr>
        <w:tc>
          <w:tcPr>
            <w:tcW w:w="5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Allowance for equity funds used during construction</w:t>
            </w:r>
          </w:p>
        </w:tc>
        <w:tc>
          <w:tcPr>
            <w:tcW w:w="160" w:type="dxa"/>
            <w:vAlign w:val="bottom"/>
          </w:tcPr>
          <w:p>
            <w:pPr>
              <w:spacing w:after="0"/>
              <w:rPr>
                <w:sz w:val="19"/>
                <w:szCs w:val="19"/>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2</w:t>
            </w:r>
          </w:p>
        </w:tc>
        <w:tc>
          <w:tcPr>
            <w:tcW w:w="300" w:type="dxa"/>
            <w:vAlign w:val="bottom"/>
          </w:tcPr>
          <w:p>
            <w:pPr>
              <w:spacing w:after="0"/>
              <w:rPr>
                <w:sz w:val="19"/>
                <w:szCs w:val="19"/>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28"/>
        </w:trPr>
        <w:tc>
          <w:tcPr>
            <w:tcW w:w="5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Sundry, net</w:t>
            </w:r>
          </w:p>
        </w:tc>
        <w:tc>
          <w:tcPr>
            <w:tcW w:w="160" w:type="dxa"/>
            <w:vAlign w:val="bottom"/>
          </w:tcPr>
          <w:p>
            <w:pPr>
              <w:spacing w:after="0"/>
              <w:rPr>
                <w:sz w:val="19"/>
                <w:szCs w:val="19"/>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(1 )</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36"/>
        </w:trPr>
        <w:tc>
          <w:tcPr>
            <w:tcW w:w="5500" w:type="dxa"/>
            <w:vAlign w:val="bottom"/>
            <w:vMerge w:val="restart"/>
          </w:tcPr>
          <w:p>
            <w:pPr>
              <w:ind w:left="780"/>
              <w:spacing w:after="0"/>
              <w:rPr>
                <w:sz w:val="20"/>
                <w:szCs w:val="20"/>
                <w:color w:val="auto"/>
              </w:rPr>
            </w:pPr>
            <w:r>
              <w:rPr>
                <w:rFonts w:ascii="Times New Roman" w:cs="Times New Roman" w:eastAsia="Times New Roman" w:hAnsi="Times New Roman"/>
                <w:sz w:val="15"/>
                <w:szCs w:val="15"/>
                <w:color w:val="auto"/>
              </w:rPr>
              <w:t>Total at SoCalGas</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vMerge w:val="continue"/>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228"/>
        </w:trPr>
        <w:tc>
          <w:tcPr>
            <w:tcW w:w="5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Additional at Pacific Enterprises: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Sundry, net</w:t>
            </w:r>
          </w:p>
        </w:tc>
        <w:tc>
          <w:tcPr>
            <w:tcW w:w="160" w:type="dxa"/>
            <w:vAlign w:val="bottom"/>
          </w:tcPr>
          <w:p>
            <w:pPr>
              <w:spacing w:after="0"/>
              <w:rPr>
                <w:sz w:val="19"/>
                <w:szCs w:val="19"/>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(1 )</w:t>
            </w:r>
          </w:p>
        </w:tc>
        <w:tc>
          <w:tcPr>
            <w:tcW w:w="300" w:type="dxa"/>
            <w:vAlign w:val="bottom"/>
          </w:tcPr>
          <w:p>
            <w:pPr>
              <w:spacing w:after="0"/>
              <w:rPr>
                <w:sz w:val="19"/>
                <w:szCs w:val="19"/>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6"/>
        </w:trPr>
        <w:tc>
          <w:tcPr>
            <w:tcW w:w="5500" w:type="dxa"/>
            <w:vAlign w:val="bottom"/>
            <w:vMerge w:val="restart"/>
          </w:tcPr>
          <w:p>
            <w:pPr>
              <w:ind w:left="780"/>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vMerge w:val="continue"/>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500" w:type="dxa"/>
            <w:vAlign w:val="bottom"/>
            <w:vMerge w:val="continue"/>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(1 )</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36"/>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FINANCIAL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Hedges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Interest-Rate Swaps</w:t>
      </w:r>
    </w:p>
    <w:p>
      <w:pPr>
        <w:spacing w:after="0" w:line="185" w:lineRule="exact"/>
        <w:rPr>
          <w:sz w:val="20"/>
          <w:szCs w:val="20"/>
          <w:color w:val="auto"/>
        </w:rPr>
      </w:pPr>
    </w:p>
    <w:p>
      <w:pPr>
        <w:ind w:right="680"/>
        <w:spacing w:after="0" w:line="272" w:lineRule="auto"/>
        <w:rPr>
          <w:sz w:val="20"/>
          <w:szCs w:val="20"/>
          <w:color w:val="auto"/>
        </w:rPr>
      </w:pPr>
      <w:r>
        <w:rPr>
          <w:rFonts w:ascii="Times New Roman" w:cs="Times New Roman" w:eastAsia="Times New Roman" w:hAnsi="Times New Roman"/>
          <w:sz w:val="18"/>
          <w:szCs w:val="18"/>
          <w:color w:val="auto"/>
        </w:rPr>
        <w:t>The company periodically enters into interest-rate swap agreements to moderate its exposure to interest-rate changes and to lower its overall cost of borrowing. These are described in Note 2 of the notes to Consolidated Financial Statements in the Annual Report.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Gas Contracts</w:t>
      </w:r>
    </w:p>
    <w:p>
      <w:pPr>
        <w:spacing w:after="0" w:line="18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The use of derivative instruments is subject to certain limitations imposed by company policy and regulatory requirements. These instruments allow the company to estimate with greater certainty the effective prices to be received by the company and the prices to be charged to its customers. The company records transactions for natural gas contracts in Cost of Natural Gas in the Statements of Consolidated Income. Unrealized gains and losses related to these derivatives are offset by regulatory assets and liabilities on the Consolidated Balance Sheets to the extent derivative gains and losses will be recoverable or payable in future rates.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REGULATORY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CPUC INVESTIGATION OF COMPLIANCE WITH AFFILIATE RULES</w:t>
      </w:r>
    </w:p>
    <w:p>
      <w:pPr>
        <w:spacing w:after="0" w:line="18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In November 2004, the California Public Utilities Commission (CPUC) initiated the independent audit to evaluate energy-related holding company systems and affiliate activities undertaken by Sempra Energy within the service territories of the California Utilities. The final audit report covering years 1997 through 2003 was made available on February 28, 2006. The scope of the audit is broader than the annual affiliate audit. The results of the audit are being reviewed by the CPUC and a hearing is scheduled for August 2006.</w:t>
      </w:r>
    </w:p>
    <w:p>
      <w:pPr>
        <w:spacing w:after="0" w:line="1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annual affiliate audit reports of the California Utilities' transactions with other Sempra Energy affiliates covering calendar year 2004 were also submitted in the Affiliate Order Instituting Investigation proceeding and all affiliate-related issues in both proceedings will be coordinated and the remaining issues in the Border Price Investigation are stayed. Additional information regarding the Border Price Investigation is provided in Note 6 herein. The 2005 annual audit report was filed with the CPUC in April 2006.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CPUC RULEMAKING REGARDING ENERGY UTILITIES, THEIR HOLDING COMPANIES AND NON-REGULATED AFFILIATES</w:t>
      </w:r>
    </w:p>
    <w:p>
      <w:pPr>
        <w:spacing w:after="0" w:line="18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8"/>
          <w:szCs w:val="18"/>
          <w:color w:val="auto"/>
        </w:rPr>
        <w:t>In April 2006, the CPUC issued a draft decision to amend the scope and schedule of the CPUC's October 2005 Holding Company Order Instituting Rulemaking. The draft decision, if adopted by the CPUC, sets forth proposed affiliate transaction rule changes that would be subject to a comment process</w:t>
      </w:r>
    </w:p>
    <w:p>
      <w:pPr>
        <w:sectPr>
          <w:pgSz w:w="11900" w:h="16838" w:orient="portrait"/>
          <w:cols w:equalWidth="0" w:num="1">
            <w:col w:w="11440"/>
          </w:cols>
          <w:pgMar w:left="240" w:top="115" w:right="219" w:bottom="0" w:gutter="0" w:footer="0" w:header="0"/>
        </w:sectPr>
      </w:pPr>
    </w:p>
    <w:bookmarkStart w:id="10" w:name="page11"/>
    <w:bookmarkEnd w:id="10"/>
    <w:p>
      <w:pPr>
        <w:spacing w:after="0" w:line="245" w:lineRule="auto"/>
        <w:rPr>
          <w:sz w:val="20"/>
          <w:szCs w:val="20"/>
          <w:color w:val="auto"/>
        </w:rPr>
      </w:pPr>
      <w:r>
        <w:rPr>
          <w:rFonts w:ascii="Times New Roman" w:cs="Times New Roman" w:eastAsia="Times New Roman" w:hAnsi="Times New Roman"/>
          <w:sz w:val="18"/>
          <w:szCs w:val="18"/>
          <w:color w:val="auto"/>
        </w:rPr>
        <w:t>beginning in late May 2006. Among other changes, the proposed affiliate transaction rule modifications would apply the affiliate transaction rules to the parent company, further limit shared services for corporate support (specifying financial planning, regulatory affairs, legal and risk management activities), prohibit utility procurement from affiliates without prior CPUC approval, and increase the public disclosure requirements and the CPUC's access to information regarding various matters. After consideration of the filed comments, the CPUC would issue another draft decision for additional comments and oral argument, with the final decision tentatively scheduled for the third quarter of 2006. The draft decision is currently on the agenda for the CPUC's May 11, 2006, business meeting.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SALE RULEMAKING</w:t>
      </w:r>
    </w:p>
    <w:p>
      <w:pPr>
        <w:spacing w:after="0" w:line="18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A CPUC rulemaking was issued in September 2004 to standardize the treatment of gains on sales of utility property. This rulemaking may result in the adoption of a general ratemaking policy for allocation between utility shareholders and ratepayers of any gain or loss on sale of utility property. The CPUC will consider adopting a standard percentage allocation, rather than resolving such allocations on a case-by-case basis, as is now its practice. In unusual circumstances the CPUC would be able to depart from the standard allocation to be adopted. The CPUC intends to apply this standard percentage to sales of both depreciable and non-depreciable property. Among other things, the rulemaking states that the new policy would replace the CPUC's current policy of allocating to shareholders all gains or losses on the sale of utility plant to a municipality. Two draft decisions have been issued, with differing allocations of gains and losses. The matter is expected to be addressed by the CPUC in the second quarter of 2006.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INDUSTRY RESTRUCTURING</w:t>
      </w:r>
    </w:p>
    <w:p>
      <w:pPr>
        <w:spacing w:after="0" w:line="18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April 2006, the CPUC voted to approve the California Utilities' proposal to combine the natural gas transmission costs for both companies, so that their customers will pay the same rate for delivering natural gas at any receipt point once re-gasified liquefied natural gas deliveries begin at the Otay Mesa interconnection.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LITIGATION</w:t>
      </w:r>
    </w:p>
    <w:p>
      <w:pPr>
        <w:spacing w:after="0" w:line="185"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At March 31, 2006, the company's reserves for litigation matters were $169 million, primarily reserves of $155 million related to the agreements reached, subject to court approval, to settle certain litigation arising out of the 2000 - 2001 California energy crisis. The uncertainties inherent in complex legal proceedings make it difficult to estimate with any degree of certainty the costs and effects of resolving these matters. Accordingly, costs ultimately incurred may differ materially from estimated costs and could materially adversely affect the company's business, cash flows, results of operations and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Agreements</w:t>
      </w:r>
    </w:p>
    <w:p>
      <w:pPr>
        <w:spacing w:after="0" w:line="18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The litigation that is the subject of the settlement agreements is frequently referred to as the Continental Forge litigation, although the settlements also include other cases. The Continental Forge litigation, consisting of class-action and individual antitrust and unfair competition lawsuits consolidated in San Diego Superior Court, alleged that Sempra Energy and the California Utilities, along with El Paso Natural Gas Company and several of its affiliates, unlawfully sought to control natural gas and electricity markets and claimed damages of $23 billion after applicable trebling. A second settlement agreement relates to class-action litigation brought by the Nevada Attorney General in Nevada Clark County District Court and involved virtually identical allegations to those in the Continental Forge litigation.</w:t>
      </w:r>
    </w:p>
    <w:p>
      <w:pPr>
        <w:spacing w:after="0" w:line="15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8"/>
          <w:szCs w:val="18"/>
          <w:color w:val="auto"/>
        </w:rPr>
        <w:t>To settle the California and Nevada litigation, Sempra Energy would make cash payments in installments aggregating $377 million, of which $347 million relates to the Continental Forge and California class action price reporting litigation and $30 million relates to the Nevada antitrust litigation.</w:t>
      </w:r>
    </w:p>
    <w:p>
      <w:pPr>
        <w:spacing w:after="0" w:line="12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Additional consideration for the California settlement includes an agreement that Sempra LNG would sell to the California Utilities, subject to CPUC approval, re-gasified liquefied natural gas from its liquefied natural gas terminal being constructed in Baja California, Mexico at the California border index price minus $0.02. The California Utilities also would seek approval from the CPUC to integrate their natural gas transmission facilities and to develop both firm, tradable natural gas receipt point rights for access to their combined intrastate transmission system and SoCalGas' underground natural gas storage system. In addition, Sempra Generation voluntarily would reduce the price that it charges for power and limit the places at which it would deliver power under its contract with the Department of Water Resources (DWR). The price reductions would be reduced by any amounts in excess of $150 million that Sempra Generation is ordered to pay or incurs as a monetary award, any reduction in future revenu es or profits, or any increase in future costs in connection with arbitration proceedings involving the DWR contract.</w:t>
      </w:r>
    </w:p>
    <w:p>
      <w:pPr>
        <w:spacing w:after="0" w:line="15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The California settlement is subject to the approval of the San Diego Superior Court, which has preliminarily approved the settlement, and notice of the settlement has been provided to the plaintiff class. The Los Angeles City Council has not yet voted to approve the City of Los Angeles's participation in the settlement and it may elect to continue pursuing its individual case against Sempra Energy and the California Utilities. If the City of Los Angeles decides not to participate, Sempra Energy may, at its option, either proceed with the settlement of the class action and other individual cases or terminate the entire agreement. The California Attorney General, the DWR, the California Energy Oversight Board, Southern California Edison Company, Pacific Gas &amp; Electric Company and various other parties have filed objections to the settlement based, among other things, on their concerns that the releases in the settlement may encompass other proceedings against Sempra Energy and its subsidiaries to which they are parties. A hearing on the final approval of the Continental Forge settlement is scheduled for June 8, 2006. The Nevada settlement is subject to approval by the Nevada Clark County District Court, which has not yet approved notice to the class or scheduled a final approval hearing. Both the California and Nevada settlements must be approved for either settlement to take effect, but Sempra Energy is permitted to waive this condition. The settlements are not conditioned upon approval by the CPUC, the DWR, or any other governmental or regulatory agency to be effective. The company expects both settlements to be approved.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are provided in Note 9 of the notes to Consolidated Financial Statements in the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Natural Gas Cases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21, 2005, the California Attorney General and the CPUC filed a lawsuit in San Diego County Superior Court alleging that in 1998 Sempra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and the California Utilities had intentionally misled the CPUC in obtaining its approval to use the utilities' California natural gas pipeline capacity to</w:t>
      </w:r>
    </w:p>
    <w:p>
      <w:pPr>
        <w:spacing w:after="0" w:line="237" w:lineRule="auto"/>
        <w:rPr>
          <w:sz w:val="20"/>
          <w:szCs w:val="20"/>
          <w:color w:val="auto"/>
        </w:rPr>
      </w:pPr>
      <w:r>
        <w:rPr>
          <w:rFonts w:ascii="Times New Roman" w:cs="Times New Roman" w:eastAsia="Times New Roman" w:hAnsi="Times New Roman"/>
          <w:sz w:val="18"/>
          <w:szCs w:val="18"/>
          <w:color w:val="auto"/>
        </w:rPr>
        <w:t>enable Sempra Energy's non-utility subsidiaries to deliver natural gas to a power plant in Mexico. The lawsuit further alleges that, as a result of insufficient</w:t>
      </w:r>
    </w:p>
    <w:p>
      <w:pPr>
        <w:spacing w:after="0"/>
        <w:rPr>
          <w:sz w:val="20"/>
          <w:szCs w:val="20"/>
          <w:color w:val="auto"/>
        </w:rPr>
      </w:pPr>
      <w:r>
        <w:rPr>
          <w:rFonts w:ascii="Times New Roman" w:cs="Times New Roman" w:eastAsia="Times New Roman" w:hAnsi="Times New Roman"/>
          <w:sz w:val="18"/>
          <w:szCs w:val="18"/>
          <w:color w:val="auto"/>
        </w:rPr>
        <w:t>utility pipeline capacity to serve both the power plant and California customers, SDG&amp;E curtailed natural gas service to electric generators and large</w:t>
      </w:r>
    </w:p>
    <w:p>
      <w:pPr>
        <w:spacing w:after="0" w:line="237" w:lineRule="auto"/>
        <w:rPr>
          <w:sz w:val="20"/>
          <w:szCs w:val="20"/>
          <w:color w:val="auto"/>
        </w:rPr>
      </w:pPr>
      <w:r>
        <w:rPr>
          <w:rFonts w:ascii="Times New Roman" w:cs="Times New Roman" w:eastAsia="Times New Roman" w:hAnsi="Times New Roman"/>
          <w:sz w:val="18"/>
          <w:szCs w:val="18"/>
          <w:color w:val="auto"/>
        </w:rPr>
        <w:t>California commercial and industrial customers 17 times in 2000 - 2001, which resulted in increased air pollution and higher electricity prices for California</w:t>
      </w:r>
    </w:p>
    <w:p>
      <w:pPr>
        <w:spacing w:after="0"/>
        <w:rPr>
          <w:sz w:val="20"/>
          <w:szCs w:val="20"/>
          <w:color w:val="auto"/>
        </w:rPr>
      </w:pPr>
      <w:r>
        <w:rPr>
          <w:rFonts w:ascii="Times New Roman" w:cs="Times New Roman" w:eastAsia="Times New Roman" w:hAnsi="Times New Roman"/>
          <w:sz w:val="18"/>
          <w:szCs w:val="18"/>
          <w:color w:val="auto"/>
        </w:rPr>
        <w:t>consumers from the use of oil as an alternate fuel source by electric generating plants. The lawsuit seeks statutory penalties of not less than $1 million,</w:t>
      </w:r>
    </w:p>
    <w:p>
      <w:pPr>
        <w:spacing w:after="0" w:line="237" w:lineRule="auto"/>
        <w:rPr>
          <w:sz w:val="20"/>
          <w:szCs w:val="20"/>
          <w:color w:val="auto"/>
        </w:rPr>
      </w:pPr>
      <w:r>
        <w:rPr>
          <w:rFonts w:ascii="Times New Roman" w:cs="Times New Roman" w:eastAsia="Times New Roman" w:hAnsi="Times New Roman"/>
          <w:sz w:val="18"/>
          <w:szCs w:val="18"/>
          <w:color w:val="auto"/>
        </w:rPr>
        <w:t>$2,500 for each of an unspecified number of instances of unfair business practic es, and unspecified amounts of actual and punitive damages. It also seeks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injunction to require divestiture by Sempra Energy of non-utility subsidiaries to an extent to be determined by the court.</w:t>
      </w:r>
    </w:p>
    <w:p>
      <w:pPr>
        <w:spacing w:after="0" w:line="16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In April 2003, Sierra Pacific Resources and its utility subsidiary Nevada Power filed a lawsuit in U.S. District Court in Las Vegas against major natural gas suppliers, and included Sempra Energy, the California Utilities and Sempra Commodities, seeking recovery of damages alleged to aggregate in excess of $150 million (before trebling). The U.S. District Court dismissed the case in November 2004, determining that the Federal Energy Regulatory Commission had exclusive jurisdiction to resolve claims. In January 2005, plaintiffs filed an appeal with the Ninth Circuit Court of Appeals.</w:t>
      </w:r>
    </w:p>
    <w:p>
      <w:pPr>
        <w:sectPr>
          <w:pgSz w:w="11900" w:h="16838" w:orient="portrait"/>
          <w:cols w:equalWidth="0" w:num="1">
            <w:col w:w="11440"/>
          </w:cols>
          <w:pgMar w:left="240" w:top="115" w:right="219" w:bottom="0" w:gutter="0" w:footer="0" w:header="0"/>
        </w:sectPr>
      </w:pPr>
    </w:p>
    <w:bookmarkStart w:id="11" w:name="page12"/>
    <w:bookmarkEnd w:id="11"/>
    <w:p>
      <w:pPr>
        <w:spacing w:after="0" w:line="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Apart from the claims that will be settled in connection with the Continental Forge settlement, there remain pending 13 antitrust actions that were filed and have been coordinated in San Diego Superior Court against Sempra Energy and one or more of its affiliates (the California Utilities and Sempra Commodities, depending on the lawsuit) and various, unrelated energy companies, alleging that energy prices were unlawfully manipulated by the reporting of artificially inflated natural gas prices to trade publications and by entering into wash trades. On June 29, 2005, the court denied the defendants' motion to dismiss on preemption and Filed Rate Doctrine grounds. Pending in the federal court system are five cases against Sempra Energy, Sempra Commodities, the California Utilities and various other companies, which make similar allegations to those in the state proceedings, four of which also include conspiracy allegations similar to those made in the Continental Forge litigation. The District Court has dismissed four of these actions on the grounds that the claims asserted in these suits were preempted under federal law and the Filed Rate Doctrine. The remaining case is stayed. Plaintiffs have appealed the dismissals and the matters are pending oral argument in the Ninth Circuit Court of Appeals.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CPUC Border Price Investigation</w:t>
      </w:r>
    </w:p>
    <w:p>
      <w:pPr>
        <w:spacing w:after="0" w:line="1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November 2002, the CPUC instituted an investigation into the Southern California natural gas market and the price of natural gas delivered to the California - Arizona border between March 2000 and May 2001. In December 2004, the CPUC rejected the Administrative Law Judge's proposed decision highly critical of SoCalGas' natural gas purchase, sales, hedging and storage activities during the period.</w:t>
      </w:r>
    </w:p>
    <w:p>
      <w:pPr>
        <w:spacing w:after="0" w:line="138"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8"/>
          <w:szCs w:val="18"/>
          <w:color w:val="auto"/>
        </w:rPr>
        <w:t>The portion of this investigation relating to the California Utilities is still open. If the investigation were to determine that the conduct of either of the California Utilities contributed to the natural gas price spikes that occurred during the investigation period, the CPUC may modify the party's natural gas procurement incentive mechanism, reduce the amount of any shareholder award for the period involved and/or order the party to issue a refund to ratepayers. At March 31, 2006, the cumulative amount of these shareholder awards, substantially all of which has been included in income, was $59.4 million.</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CPUC may hold additional hearings to consider whether other companies, including other California investor-owned utilities, contributed to the natural gas price spikes, or issue an order terminating the investigation. Discovery is ongoing and initial testimony was filed in November 2005. Hearings are expected to begin in August 2006, in conjunction with the CPUC's investigation of compliance with affiliate rules.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Litigation</w:t>
      </w:r>
    </w:p>
    <w:p>
      <w:pPr>
        <w:spacing w:after="0" w:line="181"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8"/>
          <w:szCs w:val="18"/>
          <w:color w:val="auto"/>
        </w:rPr>
        <w:t>In 1998, SoCalGas converted its traditional pension plan for non-union employees to a cash balance plan. On July 8, 2005, a lawsuit was filed against the company in the U.S. District Court for the Central District of California alleging that the conversion unlawfully discriminated against older employees and failed to provide required disclosure of a reduction in benefits. In October 2005, the court dismissed three of the four causes of action. On March 20, 2006, the court dismissed the remaining cause of action. The plaintiffs have appealed the court's ruling.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0" w:lineRule="exact"/>
        <w:rPr>
          <w:sz w:val="20"/>
          <w:szCs w:val="20"/>
          <w:color w:val="auto"/>
        </w:rPr>
      </w:pPr>
    </w:p>
    <w:p>
      <w:pPr>
        <w:spacing w:after="0" w:line="348"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financial statements contained in this Form 10-Q and "Management's Discussion and Analysis of Financial Condition and Results of Operations" and "Risk Factors" contained in the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Earnings</w:t>
      </w:r>
    </w:p>
    <w:p>
      <w:pPr>
        <w:spacing w:after="0" w:line="185"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To assist the reader in understanding the trend of earnings, the following tables summarize the major unusual factors affecting net income and operating income for the three month periods ended March 31, 2006 and 2005. These factors are discussed elsewhere in this Quarterly Report and/or the Annual Report, and this summary should be read in conjunction with those discussions.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Pacific Enterprises</w:t>
      </w:r>
    </w:p>
    <w:p>
      <w:pPr>
        <w:spacing w:after="0" w:line="208" w:lineRule="exact"/>
        <w:rPr>
          <w:sz w:val="20"/>
          <w:szCs w:val="20"/>
          <w:color w:val="auto"/>
        </w:rPr>
      </w:pPr>
    </w:p>
    <w:tbl>
      <w:tblPr>
        <w:tblLayout w:type="fixed"/>
        <w:tblInd w:w="240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Net Income</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Operating Income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(Dollars in millions)</w:t>
            </w: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86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240" w:type="dxa"/>
            <w:vAlign w:val="bottom"/>
            <w:gridSpan w:val="2"/>
            <w:vMerge w:val="continue"/>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860" w:type="dxa"/>
            <w:vAlign w:val="bottom"/>
            <w:gridSpan w:val="2"/>
            <w:shd w:val="clear" w:color="auto" w:fill="000000"/>
          </w:tcPr>
          <w:p>
            <w:pPr>
              <w:spacing w:after="0"/>
              <w:rPr>
                <w:sz w:val="17"/>
                <w:szCs w:val="17"/>
                <w:color w:val="auto"/>
              </w:rPr>
            </w:pPr>
          </w:p>
        </w:tc>
        <w:tc>
          <w:tcPr>
            <w:tcW w:w="860" w:type="dxa"/>
            <w:vAlign w:val="bottom"/>
            <w:gridSpan w:val="2"/>
            <w:shd w:val="clear" w:color="auto" w:fill="000000"/>
          </w:tcPr>
          <w:p>
            <w:pPr>
              <w:spacing w:after="0"/>
              <w:rPr>
                <w:sz w:val="17"/>
                <w:szCs w:val="17"/>
                <w:color w:val="auto"/>
              </w:rPr>
            </w:pPr>
          </w:p>
        </w:tc>
        <w:tc>
          <w:tcPr>
            <w:tcW w:w="700" w:type="dxa"/>
            <w:vAlign w:val="bottom"/>
            <w:shd w:val="clear" w:color="auto" w:fill="000000"/>
          </w:tcPr>
          <w:p>
            <w:pPr>
              <w:spacing w:after="0"/>
              <w:rPr>
                <w:sz w:val="17"/>
                <w:szCs w:val="17"/>
                <w:color w:val="auto"/>
              </w:rPr>
            </w:pPr>
          </w:p>
        </w:tc>
        <w:tc>
          <w:tcPr>
            <w:tcW w:w="3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w w:val="99"/>
              </w:rPr>
              <w:t>2006</w:t>
            </w:r>
          </w:p>
        </w:tc>
        <w:tc>
          <w:tcPr>
            <w:tcW w:w="860" w:type="dxa"/>
            <w:vAlign w:val="bottom"/>
            <w:gridSpan w:val="2"/>
          </w:tcPr>
          <w:p>
            <w:pPr>
              <w:jc w:val="right"/>
              <w:ind w:right="266"/>
              <w:spacing w:after="0"/>
              <w:rPr>
                <w:sz w:val="20"/>
                <w:szCs w:val="20"/>
                <w:color w:val="auto"/>
              </w:rPr>
            </w:pPr>
            <w:r>
              <w:rPr>
                <w:rFonts w:ascii="Times New Roman" w:cs="Times New Roman" w:eastAsia="Times New Roman" w:hAnsi="Times New Roman"/>
                <w:sz w:val="15"/>
                <w:szCs w:val="15"/>
                <w:color w:val="auto"/>
              </w:rPr>
              <w:t>2005</w:t>
            </w:r>
          </w:p>
        </w:tc>
        <w:tc>
          <w:tcPr>
            <w:tcW w:w="860" w:type="dxa"/>
            <w:vAlign w:val="bottom"/>
            <w:gridSpan w:val="2"/>
          </w:tcPr>
          <w:p>
            <w:pPr>
              <w:jc w:val="right"/>
              <w:ind w:right="206"/>
              <w:spacing w:after="0"/>
              <w:rPr>
                <w:sz w:val="20"/>
                <w:szCs w:val="20"/>
                <w:color w:val="auto"/>
              </w:rPr>
            </w:pPr>
            <w:r>
              <w:rPr>
                <w:rFonts w:ascii="Times New Roman" w:cs="Times New Roman" w:eastAsia="Times New Roman" w:hAnsi="Times New Roman"/>
                <w:sz w:val="15"/>
                <w:szCs w:val="15"/>
                <w:color w:val="auto"/>
              </w:rPr>
              <w:t>2006</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2005</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1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42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34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700" w:type="dxa"/>
            <w:vAlign w:val="bottom"/>
            <w:shd w:val="clear" w:color="auto" w:fill="000000"/>
          </w:tcPr>
          <w:p>
            <w:pPr>
              <w:spacing w:after="0"/>
              <w:rPr>
                <w:sz w:val="17"/>
                <w:szCs w:val="17"/>
                <w:color w:val="auto"/>
              </w:rPr>
            </w:pPr>
          </w:p>
        </w:tc>
        <w:tc>
          <w:tcPr>
            <w:tcW w:w="3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Reported amounts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51</w:t>
            </w:r>
          </w:p>
        </w:tc>
        <w:tc>
          <w:tcPr>
            <w:tcW w:w="4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w w:val="93"/>
              </w:rPr>
              <w:t>69</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101</w:t>
            </w:r>
          </w:p>
        </w:tc>
        <w:tc>
          <w:tcPr>
            <w:tcW w:w="70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126</w:t>
            </w:r>
          </w:p>
        </w:tc>
        <w:tc>
          <w:tcPr>
            <w:tcW w:w="0" w:type="dxa"/>
            <w:vAlign w:val="bottom"/>
          </w:tcPr>
          <w:p>
            <w:pPr>
              <w:spacing w:after="0"/>
              <w:rPr>
                <w:sz w:val="1"/>
                <w:szCs w:val="1"/>
                <w:color w:val="auto"/>
              </w:rPr>
            </w:pPr>
          </w:p>
        </w:tc>
      </w:tr>
      <w:tr>
        <w:trPr>
          <w:trHeight w:val="463"/>
        </w:trPr>
        <w:tc>
          <w:tcPr>
            <w:tcW w:w="3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Resolution of prior years' income tax issues</w:t>
            </w:r>
          </w:p>
        </w:tc>
        <w:tc>
          <w:tcPr>
            <w:tcW w:w="120" w:type="dxa"/>
            <w:vAlign w:val="bottom"/>
          </w:tcPr>
          <w:p>
            <w:pPr>
              <w:spacing w:after="0"/>
              <w:rPr>
                <w:sz w:val="24"/>
                <w:szCs w:val="24"/>
                <w:color w:val="auto"/>
              </w:rPr>
            </w:pP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(4 )</w:t>
            </w:r>
          </w:p>
        </w:tc>
        <w:tc>
          <w:tcPr>
            <w:tcW w:w="340" w:type="dxa"/>
            <w:vAlign w:val="bottom"/>
          </w:tcPr>
          <w:p>
            <w:pPr>
              <w:spacing w:after="0"/>
              <w:rPr>
                <w:sz w:val="24"/>
                <w:szCs w:val="24"/>
                <w:color w:val="auto"/>
              </w:rPr>
            </w:pPr>
          </w:p>
        </w:tc>
        <w:tc>
          <w:tcPr>
            <w:tcW w:w="5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24"/>
                <w:szCs w:val="24"/>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520" w:type="dxa"/>
            <w:vAlign w:val="bottom"/>
            <w:shd w:val="clear" w:color="auto" w:fill="000000"/>
          </w:tcPr>
          <w:p>
            <w:pPr>
              <w:spacing w:after="0"/>
              <w:rPr>
                <w:sz w:val="18"/>
                <w:szCs w:val="18"/>
                <w:color w:val="auto"/>
              </w:rPr>
            </w:pPr>
          </w:p>
        </w:tc>
        <w:tc>
          <w:tcPr>
            <w:tcW w:w="420" w:type="dxa"/>
            <w:vAlign w:val="bottom"/>
            <w:shd w:val="clear" w:color="auto" w:fill="000000"/>
          </w:tcPr>
          <w:p>
            <w:pPr>
              <w:spacing w:after="0"/>
              <w:rPr>
                <w:sz w:val="18"/>
                <w:szCs w:val="18"/>
                <w:color w:val="auto"/>
              </w:rPr>
            </w:pPr>
          </w:p>
        </w:tc>
        <w:tc>
          <w:tcPr>
            <w:tcW w:w="440" w:type="dxa"/>
            <w:vAlign w:val="bottom"/>
            <w:shd w:val="clear" w:color="auto" w:fill="000000"/>
          </w:tcPr>
          <w:p>
            <w:pPr>
              <w:spacing w:after="0"/>
              <w:rPr>
                <w:sz w:val="18"/>
                <w:szCs w:val="18"/>
                <w:color w:val="auto"/>
              </w:rPr>
            </w:pPr>
          </w:p>
        </w:tc>
        <w:tc>
          <w:tcPr>
            <w:tcW w:w="340" w:type="dxa"/>
            <w:vAlign w:val="bottom"/>
            <w:shd w:val="clear" w:color="auto" w:fill="000000"/>
          </w:tcPr>
          <w:p>
            <w:pPr>
              <w:spacing w:after="0"/>
              <w:rPr>
                <w:sz w:val="18"/>
                <w:szCs w:val="18"/>
                <w:color w:val="auto"/>
              </w:rPr>
            </w:pPr>
          </w:p>
        </w:tc>
        <w:tc>
          <w:tcPr>
            <w:tcW w:w="520" w:type="dxa"/>
            <w:vAlign w:val="bottom"/>
            <w:shd w:val="clear" w:color="auto" w:fill="000000"/>
          </w:tcPr>
          <w:p>
            <w:pPr>
              <w:spacing w:after="0"/>
              <w:rPr>
                <w:sz w:val="18"/>
                <w:szCs w:val="18"/>
                <w:color w:val="auto"/>
              </w:rPr>
            </w:pPr>
          </w:p>
        </w:tc>
        <w:tc>
          <w:tcPr>
            <w:tcW w:w="700" w:type="dxa"/>
            <w:vAlign w:val="bottom"/>
            <w:shd w:val="clear" w:color="auto" w:fill="000000"/>
          </w:tcPr>
          <w:p>
            <w:pPr>
              <w:spacing w:after="0"/>
              <w:rPr>
                <w:sz w:val="18"/>
                <w:szCs w:val="18"/>
                <w:color w:val="auto"/>
              </w:rPr>
            </w:pPr>
          </w:p>
        </w:tc>
        <w:tc>
          <w:tcPr>
            <w:tcW w:w="34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51</w:t>
            </w:r>
          </w:p>
        </w:tc>
        <w:tc>
          <w:tcPr>
            <w:tcW w:w="4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w w:val="93"/>
              </w:rPr>
              <w:t>65</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101</w:t>
            </w:r>
          </w:p>
        </w:tc>
        <w:tc>
          <w:tcPr>
            <w:tcW w:w="70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126</w:t>
            </w: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1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42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34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700" w:type="dxa"/>
            <w:vAlign w:val="bottom"/>
            <w:shd w:val="clear" w:color="auto" w:fill="000000"/>
          </w:tcPr>
          <w:p>
            <w:pPr>
              <w:spacing w:after="0"/>
              <w:rPr>
                <w:sz w:val="17"/>
                <w:szCs w:val="17"/>
                <w:color w:val="auto"/>
              </w:rPr>
            </w:pPr>
          </w:p>
        </w:tc>
        <w:tc>
          <w:tcPr>
            <w:tcW w:w="3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Southern California Gas</w:t>
      </w:r>
    </w:p>
    <w:p>
      <w:pPr>
        <w:spacing w:after="0" w:line="208" w:lineRule="exact"/>
        <w:rPr>
          <w:sz w:val="20"/>
          <w:szCs w:val="20"/>
          <w:color w:val="auto"/>
        </w:rPr>
      </w:pPr>
    </w:p>
    <w:tbl>
      <w:tblPr>
        <w:tblLayout w:type="fixed"/>
        <w:tblInd w:w="240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Net Income</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w w:val="97"/>
              </w:rPr>
              <w:t>Operating Income</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(Dollars in millions)</w:t>
            </w: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gridSpan w:val="2"/>
            <w:vMerge w:val="continue"/>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860" w:type="dxa"/>
            <w:vAlign w:val="bottom"/>
            <w:gridSpan w:val="2"/>
            <w:shd w:val="clear" w:color="auto" w:fill="000000"/>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w w:val="99"/>
              </w:rPr>
              <w:t>2006</w:t>
            </w:r>
          </w:p>
        </w:tc>
        <w:tc>
          <w:tcPr>
            <w:tcW w:w="860" w:type="dxa"/>
            <w:vAlign w:val="bottom"/>
            <w:gridSpan w:val="2"/>
          </w:tcPr>
          <w:p>
            <w:pPr>
              <w:jc w:val="right"/>
              <w:ind w:right="266"/>
              <w:spacing w:after="0"/>
              <w:rPr>
                <w:sz w:val="20"/>
                <w:szCs w:val="20"/>
                <w:color w:val="auto"/>
              </w:rPr>
            </w:pPr>
            <w:r>
              <w:rPr>
                <w:rFonts w:ascii="Times New Roman" w:cs="Times New Roman" w:eastAsia="Times New Roman" w:hAnsi="Times New Roman"/>
                <w:sz w:val="15"/>
                <w:szCs w:val="15"/>
                <w:color w:val="auto"/>
              </w:rPr>
              <w:t>2005</w:t>
            </w:r>
          </w:p>
        </w:tc>
        <w:tc>
          <w:tcPr>
            <w:tcW w:w="260" w:type="dxa"/>
            <w:vAlign w:val="bottom"/>
          </w:tcPr>
          <w:p>
            <w:pPr>
              <w:spacing w:after="0"/>
              <w:rPr>
                <w:sz w:val="16"/>
                <w:szCs w:val="16"/>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w w:val="99"/>
              </w:rPr>
              <w:t>2006</w:t>
            </w:r>
          </w:p>
        </w:tc>
        <w:tc>
          <w:tcPr>
            <w:tcW w:w="580" w:type="dxa"/>
            <w:vAlign w:val="bottom"/>
          </w:tcPr>
          <w:p>
            <w:pPr>
              <w:ind w:left="280"/>
              <w:spacing w:after="0"/>
              <w:rPr>
                <w:sz w:val="20"/>
                <w:szCs w:val="20"/>
                <w:color w:val="auto"/>
              </w:rPr>
            </w:pPr>
            <w:r>
              <w:rPr>
                <w:rFonts w:ascii="Times New Roman" w:cs="Times New Roman" w:eastAsia="Times New Roman" w:hAnsi="Times New Roman"/>
                <w:sz w:val="15"/>
                <w:szCs w:val="15"/>
                <w:color w:val="auto"/>
                <w:w w:val="93"/>
              </w:rPr>
              <w:t>2005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26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20" w:type="dxa"/>
            <w:vAlign w:val="bottom"/>
            <w:shd w:val="clear" w:color="auto" w:fill="000000"/>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Reported amounts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49</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69</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101</w:t>
            </w:r>
          </w:p>
        </w:tc>
        <w:tc>
          <w:tcPr>
            <w:tcW w:w="5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88"/>
              </w:rPr>
              <w:t>126</w:t>
            </w:r>
          </w:p>
        </w:tc>
        <w:tc>
          <w:tcPr>
            <w:tcW w:w="0" w:type="dxa"/>
            <w:vAlign w:val="bottom"/>
          </w:tcPr>
          <w:p>
            <w:pPr>
              <w:spacing w:after="0"/>
              <w:rPr>
                <w:sz w:val="1"/>
                <w:szCs w:val="1"/>
                <w:color w:val="auto"/>
              </w:rPr>
            </w:pPr>
          </w:p>
        </w:tc>
      </w:tr>
      <w:tr>
        <w:trPr>
          <w:trHeight w:val="462"/>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Resolution of prior years' income tax issues</w:t>
            </w:r>
          </w:p>
        </w:tc>
        <w:tc>
          <w:tcPr>
            <w:tcW w:w="140" w:type="dxa"/>
            <w:vAlign w:val="bottom"/>
          </w:tcPr>
          <w:p>
            <w:pPr>
              <w:spacing w:after="0"/>
              <w:rPr>
                <w:sz w:val="24"/>
                <w:szCs w:val="24"/>
                <w:color w:val="auto"/>
              </w:rPr>
            </w:pP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24"/>
                <w:szCs w:val="24"/>
                <w:color w:val="auto"/>
              </w:rPr>
            </w:pPr>
          </w:p>
        </w:tc>
        <w:tc>
          <w:tcPr>
            <w:tcW w:w="4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(4 )</w:t>
            </w:r>
          </w:p>
        </w:tc>
        <w:tc>
          <w:tcPr>
            <w:tcW w:w="260" w:type="dxa"/>
            <w:vAlign w:val="bottom"/>
          </w:tcPr>
          <w:p>
            <w:pPr>
              <w:spacing w:after="0"/>
              <w:rPr>
                <w:sz w:val="24"/>
                <w:szCs w:val="24"/>
                <w:color w:val="auto"/>
              </w:rPr>
            </w:pPr>
          </w:p>
        </w:tc>
        <w:tc>
          <w:tcPr>
            <w:tcW w:w="60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24"/>
                <w:szCs w:val="24"/>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520" w:type="dxa"/>
            <w:vAlign w:val="bottom"/>
            <w:shd w:val="clear" w:color="auto" w:fill="000000"/>
          </w:tcPr>
          <w:p>
            <w:pPr>
              <w:spacing w:after="0"/>
              <w:rPr>
                <w:sz w:val="18"/>
                <w:szCs w:val="18"/>
                <w:color w:val="auto"/>
              </w:rPr>
            </w:pPr>
          </w:p>
        </w:tc>
        <w:tc>
          <w:tcPr>
            <w:tcW w:w="440" w:type="dxa"/>
            <w:vAlign w:val="bottom"/>
            <w:shd w:val="clear" w:color="auto" w:fill="000000"/>
          </w:tcPr>
          <w:p>
            <w:pPr>
              <w:spacing w:after="0"/>
              <w:rPr>
                <w:sz w:val="18"/>
                <w:szCs w:val="18"/>
                <w:color w:val="auto"/>
              </w:rPr>
            </w:pPr>
          </w:p>
        </w:tc>
        <w:tc>
          <w:tcPr>
            <w:tcW w:w="420" w:type="dxa"/>
            <w:vAlign w:val="bottom"/>
            <w:shd w:val="clear" w:color="auto" w:fill="000000"/>
          </w:tcPr>
          <w:p>
            <w:pPr>
              <w:spacing w:after="0"/>
              <w:rPr>
                <w:sz w:val="18"/>
                <w:szCs w:val="18"/>
                <w:color w:val="auto"/>
              </w:rPr>
            </w:pPr>
          </w:p>
        </w:tc>
        <w:tc>
          <w:tcPr>
            <w:tcW w:w="260" w:type="dxa"/>
            <w:vAlign w:val="bottom"/>
            <w:shd w:val="clear" w:color="auto" w:fill="000000"/>
          </w:tcPr>
          <w:p>
            <w:pPr>
              <w:spacing w:after="0"/>
              <w:rPr>
                <w:sz w:val="18"/>
                <w:szCs w:val="18"/>
                <w:color w:val="auto"/>
              </w:rPr>
            </w:pPr>
          </w:p>
        </w:tc>
        <w:tc>
          <w:tcPr>
            <w:tcW w:w="600" w:type="dxa"/>
            <w:vAlign w:val="bottom"/>
            <w:shd w:val="clear" w:color="auto" w:fill="000000"/>
          </w:tcPr>
          <w:p>
            <w:pPr>
              <w:spacing w:after="0"/>
              <w:rPr>
                <w:sz w:val="18"/>
                <w:szCs w:val="18"/>
                <w:color w:val="auto"/>
              </w:rPr>
            </w:pPr>
          </w:p>
        </w:tc>
        <w:tc>
          <w:tcPr>
            <w:tcW w:w="580" w:type="dxa"/>
            <w:vAlign w:val="bottom"/>
            <w:shd w:val="clear" w:color="auto" w:fill="000000"/>
          </w:tcPr>
          <w:p>
            <w:pPr>
              <w:spacing w:after="0"/>
              <w:rPr>
                <w:sz w:val="18"/>
                <w:szCs w:val="18"/>
                <w:color w:val="auto"/>
              </w:rPr>
            </w:pPr>
          </w:p>
        </w:tc>
        <w:tc>
          <w:tcPr>
            <w:tcW w:w="30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49</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65</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101</w:t>
            </w:r>
          </w:p>
        </w:tc>
        <w:tc>
          <w:tcPr>
            <w:tcW w:w="5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88"/>
              </w:rPr>
              <w:t>126</w:t>
            </w:r>
          </w:p>
        </w:tc>
        <w:tc>
          <w:tcPr>
            <w:tcW w:w="0" w:type="dxa"/>
            <w:vAlign w:val="bottom"/>
          </w:tcPr>
          <w:p>
            <w:pPr>
              <w:spacing w:after="0"/>
              <w:rPr>
                <w:sz w:val="1"/>
                <w:szCs w:val="1"/>
                <w:color w:val="auto"/>
              </w:rPr>
            </w:pPr>
          </w:p>
        </w:tc>
      </w:tr>
      <w:tr>
        <w:trPr>
          <w:trHeight w:val="36"/>
        </w:trPr>
        <w:tc>
          <w:tcPr>
            <w:tcW w:w="3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26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20" w:type="dxa"/>
            <w:vAlign w:val="bottom"/>
            <w:shd w:val="clear" w:color="auto" w:fill="000000"/>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ectPr>
          <w:pgSz w:w="11900" w:h="16881" w:orient="portrait"/>
          <w:cols w:equalWidth="0" w:num="1">
            <w:col w:w="11400"/>
          </w:cols>
          <w:pgMar w:left="240" w:top="116" w:right="25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5"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8"/>
          <w:szCs w:val="18"/>
          <w:color w:val="auto"/>
        </w:rPr>
        <w:t>During the three months ended March 31, 2006, natural gas revenues increased compared to the corresponding period in 2005 as a result of higher natural gas costs, which are passed on to customers.</w:t>
      </w:r>
    </w:p>
    <w:p>
      <w:pPr>
        <w:spacing w:after="0" w:line="1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Under the current regulatory framework, the cost of natural gas purchased for customers and the variations in that cost are passed through to the customers on a substantially concurrent basis. However, SoCalGas' gas cost incentive mechanism allows SoCalGas to share in the savings or costs from buying natural gas for customers below or above market-based monthly benchmarks. Further discussion is provided in Notes 1 and 8 of the notes to Consolidated Financial Statements in the Annual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natural gas volumes and revenues by customer class for the three month periods ended March 31.</w:t>
      </w:r>
    </w:p>
    <w:p>
      <w:pPr>
        <w:spacing w:after="0" w:line="200" w:lineRule="exact"/>
        <w:rPr>
          <w:sz w:val="20"/>
          <w:szCs w:val="20"/>
          <w:color w:val="auto"/>
        </w:rPr>
      </w:pPr>
    </w:p>
    <w:p>
      <w:pPr>
        <w:spacing w:after="0" w:line="36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Natural Gas Sales, Transportation and Exchange</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(Volumes in billion cubic feet, dollars in millions)</w:t>
      </w:r>
    </w:p>
    <w:p>
      <w:pPr>
        <w:spacing w:after="0" w:line="184"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2"/>
          </w:tcPr>
          <w:p>
            <w:pPr>
              <w:jc w:val="right"/>
              <w:ind w:right="306"/>
              <w:spacing w:after="0"/>
              <w:rPr>
                <w:sz w:val="20"/>
                <w:szCs w:val="20"/>
                <w:color w:val="auto"/>
              </w:rPr>
            </w:pPr>
            <w:r>
              <w:rPr>
                <w:rFonts w:ascii="Times New Roman" w:cs="Times New Roman" w:eastAsia="Times New Roman" w:hAnsi="Times New Roman"/>
                <w:sz w:val="15"/>
                <w:szCs w:val="15"/>
                <w:color w:val="auto"/>
              </w:rPr>
              <w:t>Transportation</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1800" w:type="dxa"/>
            <w:vAlign w:val="bottom"/>
            <w:gridSpan w:val="3"/>
          </w:tcPr>
          <w:p>
            <w:pPr>
              <w:jc w:val="right"/>
              <w:ind w:right="366"/>
              <w:spacing w:after="0"/>
              <w:rPr>
                <w:sz w:val="20"/>
                <w:szCs w:val="20"/>
                <w:color w:val="auto"/>
              </w:rPr>
            </w:pPr>
            <w:r>
              <w:rPr>
                <w:rFonts w:ascii="Times New Roman" w:cs="Times New Roman" w:eastAsia="Times New Roman" w:hAnsi="Times New Roman"/>
                <w:sz w:val="15"/>
                <w:szCs w:val="15"/>
                <w:color w:val="auto"/>
              </w:rPr>
              <w:t>Natural Gas Sales</w:t>
            </w:r>
          </w:p>
        </w:tc>
        <w:tc>
          <w:tcPr>
            <w:tcW w:w="1640" w:type="dxa"/>
            <w:vAlign w:val="bottom"/>
            <w:gridSpan w:val="2"/>
          </w:tcPr>
          <w:p>
            <w:pPr>
              <w:jc w:val="right"/>
              <w:ind w:right="326"/>
              <w:spacing w:after="0"/>
              <w:rPr>
                <w:sz w:val="20"/>
                <w:szCs w:val="20"/>
                <w:color w:val="auto"/>
              </w:rPr>
            </w:pPr>
            <w:r>
              <w:rPr>
                <w:rFonts w:ascii="Times New Roman" w:cs="Times New Roman" w:eastAsia="Times New Roman" w:hAnsi="Times New Roman"/>
                <w:sz w:val="15"/>
                <w:szCs w:val="15"/>
                <w:color w:val="auto"/>
              </w:rPr>
              <w:t>and Exchange</w:t>
            </w:r>
          </w:p>
        </w:tc>
        <w:tc>
          <w:tcPr>
            <w:tcW w:w="300" w:type="dxa"/>
            <w:vAlign w:val="bottom"/>
          </w:tcPr>
          <w:p>
            <w:pPr>
              <w:spacing w:after="0"/>
              <w:rPr>
                <w:sz w:val="19"/>
                <w:szCs w:val="19"/>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960" w:type="dxa"/>
            <w:vAlign w:val="bottom"/>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920" w:type="dxa"/>
            <w:vAlign w:val="bottom"/>
            <w:gridSpan w:val="2"/>
            <w:shd w:val="clear" w:color="auto" w:fill="000000"/>
          </w:tcPr>
          <w:p>
            <w:pPr>
              <w:spacing w:after="0"/>
              <w:rPr>
                <w:sz w:val="17"/>
                <w:szCs w:val="17"/>
                <w:color w:val="auto"/>
              </w:rPr>
            </w:pPr>
          </w:p>
        </w:tc>
        <w:tc>
          <w:tcPr>
            <w:tcW w:w="92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780" w:type="dxa"/>
            <w:vAlign w:val="bottom"/>
            <w:gridSpan w:val="2"/>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Volumes</w:t>
            </w: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5"/>
                <w:szCs w:val="15"/>
                <w:color w:val="auto"/>
              </w:rPr>
              <w:t>Revenue</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Volumes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Revenue</w:t>
            </w:r>
          </w:p>
        </w:tc>
        <w:tc>
          <w:tcPr>
            <w:tcW w:w="300" w:type="dxa"/>
            <w:vAlign w:val="bottom"/>
          </w:tcPr>
          <w:p>
            <w:pPr>
              <w:spacing w:after="0"/>
              <w:rPr>
                <w:sz w:val="16"/>
                <w:szCs w:val="16"/>
                <w:color w:val="auto"/>
              </w:rPr>
            </w:pPr>
          </w:p>
        </w:tc>
        <w:tc>
          <w:tcPr>
            <w:tcW w:w="1120" w:type="dxa"/>
            <w:vAlign w:val="bottom"/>
          </w:tcPr>
          <w:p>
            <w:pPr>
              <w:jc w:val="right"/>
              <w:ind w:right="386"/>
              <w:spacing w:after="0"/>
              <w:rPr>
                <w:sz w:val="20"/>
                <w:szCs w:val="20"/>
                <w:color w:val="auto"/>
              </w:rPr>
            </w:pPr>
            <w:r>
              <w:rPr>
                <w:rFonts w:ascii="Times New Roman" w:cs="Times New Roman" w:eastAsia="Times New Roman" w:hAnsi="Times New Roman"/>
                <w:sz w:val="15"/>
                <w:szCs w:val="15"/>
                <w:color w:val="auto"/>
              </w:rPr>
              <w:t>Volumes</w:t>
            </w:r>
          </w:p>
        </w:tc>
        <w:tc>
          <w:tcPr>
            <w:tcW w:w="78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Revenue</w:t>
            </w: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960" w:type="dxa"/>
            <w:vAlign w:val="bottom"/>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8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92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2006:</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Residential</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92</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1,085</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w:t>
            </w: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93</w:t>
            </w: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1,087</w:t>
            </w:r>
          </w:p>
        </w:tc>
        <w:tc>
          <w:tcPr>
            <w:tcW w:w="0" w:type="dxa"/>
            <w:vAlign w:val="bottom"/>
          </w:tcPr>
          <w:p>
            <w:pPr>
              <w:spacing w:after="0"/>
              <w:rPr>
                <w:sz w:val="1"/>
                <w:szCs w:val="1"/>
                <w:color w:val="auto"/>
              </w:rPr>
            </w:pPr>
          </w:p>
        </w:tc>
      </w:tr>
      <w:tr>
        <w:trPr>
          <w:trHeight w:val="228"/>
        </w:trPr>
        <w:tc>
          <w:tcPr>
            <w:tcW w:w="1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32</w:t>
            </w:r>
          </w:p>
        </w:tc>
        <w:tc>
          <w:tcPr>
            <w:tcW w:w="380" w:type="dxa"/>
            <w:vAlign w:val="bottom"/>
          </w:tcPr>
          <w:p>
            <w:pPr>
              <w:spacing w:after="0"/>
              <w:rPr>
                <w:sz w:val="19"/>
                <w:szCs w:val="19"/>
                <w:color w:val="auto"/>
              </w:rPr>
            </w:pP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345</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69</w:t>
            </w:r>
          </w:p>
        </w:tc>
        <w:tc>
          <w:tcPr>
            <w:tcW w:w="720" w:type="dxa"/>
            <w:vAlign w:val="bottom"/>
          </w:tcPr>
          <w:p>
            <w:pPr>
              <w:spacing w:after="0"/>
              <w:rPr>
                <w:sz w:val="19"/>
                <w:szCs w:val="19"/>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47</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101</w:t>
            </w:r>
          </w:p>
        </w:tc>
        <w:tc>
          <w:tcPr>
            <w:tcW w:w="24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392</w:t>
            </w:r>
          </w:p>
        </w:tc>
        <w:tc>
          <w:tcPr>
            <w:tcW w:w="0" w:type="dxa"/>
            <w:vAlign w:val="bottom"/>
          </w:tcPr>
          <w:p>
            <w:pPr>
              <w:spacing w:after="0"/>
              <w:rPr>
                <w:sz w:val="1"/>
                <w:szCs w:val="1"/>
                <w:color w:val="auto"/>
              </w:rPr>
            </w:pPr>
          </w:p>
        </w:tc>
      </w:tr>
      <w:tr>
        <w:trPr>
          <w:trHeight w:val="228"/>
        </w:trPr>
        <w:tc>
          <w:tcPr>
            <w:tcW w:w="1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Electric generation plants</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9"/>
                <w:szCs w:val="19"/>
                <w:color w:val="auto"/>
              </w:rPr>
            </w:pP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29</w:t>
            </w:r>
          </w:p>
        </w:tc>
        <w:tc>
          <w:tcPr>
            <w:tcW w:w="720" w:type="dxa"/>
            <w:vAlign w:val="bottom"/>
          </w:tcPr>
          <w:p>
            <w:pPr>
              <w:spacing w:after="0"/>
              <w:rPr>
                <w:sz w:val="19"/>
                <w:szCs w:val="19"/>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12</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29</w:t>
            </w:r>
          </w:p>
        </w:tc>
        <w:tc>
          <w:tcPr>
            <w:tcW w:w="24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28"/>
        </w:trPr>
        <w:tc>
          <w:tcPr>
            <w:tcW w:w="1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Wholesale</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9"/>
                <w:szCs w:val="19"/>
                <w:color w:val="auto"/>
              </w:rPr>
            </w:pP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41</w:t>
            </w:r>
          </w:p>
        </w:tc>
        <w:tc>
          <w:tcPr>
            <w:tcW w:w="720" w:type="dxa"/>
            <w:vAlign w:val="bottom"/>
          </w:tcPr>
          <w:p>
            <w:pPr>
              <w:spacing w:after="0"/>
              <w:rPr>
                <w:sz w:val="19"/>
                <w:szCs w:val="19"/>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13</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41</w:t>
            </w:r>
          </w:p>
        </w:tc>
        <w:tc>
          <w:tcPr>
            <w:tcW w:w="24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960" w:type="dxa"/>
            <w:vAlign w:val="bottom"/>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8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92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124</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1,430</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140</w:t>
            </w: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74</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264</w:t>
            </w:r>
          </w:p>
        </w:tc>
        <w:tc>
          <w:tcPr>
            <w:tcW w:w="240" w:type="dxa"/>
            <w:vAlign w:val="bottom"/>
          </w:tcPr>
          <w:p>
            <w:pPr>
              <w:spacing w:after="0"/>
              <w:rPr>
                <w:sz w:val="16"/>
                <w:szCs w:val="16"/>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1,504</w:t>
            </w:r>
          </w:p>
        </w:tc>
        <w:tc>
          <w:tcPr>
            <w:tcW w:w="0" w:type="dxa"/>
            <w:vAlign w:val="bottom"/>
          </w:tcPr>
          <w:p>
            <w:pPr>
              <w:spacing w:after="0"/>
              <w:rPr>
                <w:sz w:val="1"/>
                <w:szCs w:val="1"/>
                <w:color w:val="auto"/>
              </w:rPr>
            </w:pPr>
          </w:p>
        </w:tc>
      </w:tr>
      <w:tr>
        <w:trPr>
          <w:trHeight w:val="228"/>
        </w:trPr>
        <w:tc>
          <w:tcPr>
            <w:tcW w:w="196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Balancing accounts and other</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(79 )</w:t>
            </w:r>
          </w:p>
        </w:tc>
        <w:tc>
          <w:tcPr>
            <w:tcW w:w="0" w:type="dxa"/>
            <w:vAlign w:val="bottom"/>
          </w:tcPr>
          <w:p>
            <w:pPr>
              <w:spacing w:after="0"/>
              <w:rPr>
                <w:sz w:val="1"/>
                <w:szCs w:val="1"/>
                <w:color w:val="auto"/>
              </w:rPr>
            </w:pPr>
          </w:p>
        </w:tc>
      </w:tr>
      <w:tr>
        <w:trPr>
          <w:trHeight w:val="36"/>
        </w:trPr>
        <w:tc>
          <w:tcPr>
            <w:tcW w:w="196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1,425</w:t>
            </w: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960" w:type="dxa"/>
            <w:vAlign w:val="bottom"/>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8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92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603"/>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2005:</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Residential</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89</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886</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89</w:t>
            </w: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888</w:t>
            </w:r>
          </w:p>
        </w:tc>
        <w:tc>
          <w:tcPr>
            <w:tcW w:w="0" w:type="dxa"/>
            <w:vAlign w:val="bottom"/>
          </w:tcPr>
          <w:p>
            <w:pPr>
              <w:spacing w:after="0"/>
              <w:rPr>
                <w:sz w:val="1"/>
                <w:szCs w:val="1"/>
                <w:color w:val="auto"/>
              </w:rPr>
            </w:pPr>
          </w:p>
        </w:tc>
      </w:tr>
      <w:tr>
        <w:trPr>
          <w:trHeight w:val="228"/>
        </w:trPr>
        <w:tc>
          <w:tcPr>
            <w:tcW w:w="1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31</w:t>
            </w:r>
          </w:p>
        </w:tc>
        <w:tc>
          <w:tcPr>
            <w:tcW w:w="380" w:type="dxa"/>
            <w:vAlign w:val="bottom"/>
          </w:tcPr>
          <w:p>
            <w:pPr>
              <w:spacing w:after="0"/>
              <w:rPr>
                <w:sz w:val="19"/>
                <w:szCs w:val="19"/>
                <w:color w:val="auto"/>
              </w:rPr>
            </w:pP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275</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68</w:t>
            </w:r>
          </w:p>
        </w:tc>
        <w:tc>
          <w:tcPr>
            <w:tcW w:w="720" w:type="dxa"/>
            <w:vAlign w:val="bottom"/>
          </w:tcPr>
          <w:p>
            <w:pPr>
              <w:spacing w:after="0"/>
              <w:rPr>
                <w:sz w:val="19"/>
                <w:szCs w:val="19"/>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39</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99</w:t>
            </w:r>
          </w:p>
        </w:tc>
        <w:tc>
          <w:tcPr>
            <w:tcW w:w="24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314</w:t>
            </w:r>
          </w:p>
        </w:tc>
        <w:tc>
          <w:tcPr>
            <w:tcW w:w="0" w:type="dxa"/>
            <w:vAlign w:val="bottom"/>
          </w:tcPr>
          <w:p>
            <w:pPr>
              <w:spacing w:after="0"/>
              <w:rPr>
                <w:sz w:val="1"/>
                <w:szCs w:val="1"/>
                <w:color w:val="auto"/>
              </w:rPr>
            </w:pPr>
          </w:p>
        </w:tc>
      </w:tr>
      <w:tr>
        <w:trPr>
          <w:trHeight w:val="228"/>
        </w:trPr>
        <w:tc>
          <w:tcPr>
            <w:tcW w:w="1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Electric generation plants</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9"/>
                <w:szCs w:val="19"/>
                <w:color w:val="auto"/>
              </w:rPr>
            </w:pP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26</w:t>
            </w:r>
          </w:p>
        </w:tc>
        <w:tc>
          <w:tcPr>
            <w:tcW w:w="720" w:type="dxa"/>
            <w:vAlign w:val="bottom"/>
          </w:tcPr>
          <w:p>
            <w:pPr>
              <w:spacing w:after="0"/>
              <w:rPr>
                <w:sz w:val="19"/>
                <w:szCs w:val="19"/>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8</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26</w:t>
            </w:r>
          </w:p>
        </w:tc>
        <w:tc>
          <w:tcPr>
            <w:tcW w:w="24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28"/>
        </w:trPr>
        <w:tc>
          <w:tcPr>
            <w:tcW w:w="1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Wholesale</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9"/>
                <w:szCs w:val="19"/>
                <w:color w:val="auto"/>
              </w:rPr>
            </w:pP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45</w:t>
            </w:r>
          </w:p>
        </w:tc>
        <w:tc>
          <w:tcPr>
            <w:tcW w:w="720" w:type="dxa"/>
            <w:vAlign w:val="bottom"/>
          </w:tcPr>
          <w:p>
            <w:pPr>
              <w:spacing w:after="0"/>
              <w:rPr>
                <w:sz w:val="19"/>
                <w:szCs w:val="19"/>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10</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45</w:t>
            </w:r>
          </w:p>
        </w:tc>
        <w:tc>
          <w:tcPr>
            <w:tcW w:w="24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960" w:type="dxa"/>
            <w:vAlign w:val="bottom"/>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8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92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120</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1,161</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139</w:t>
            </w: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59</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259</w:t>
            </w:r>
          </w:p>
        </w:tc>
        <w:tc>
          <w:tcPr>
            <w:tcW w:w="240" w:type="dxa"/>
            <w:vAlign w:val="bottom"/>
          </w:tcPr>
          <w:p>
            <w:pPr>
              <w:spacing w:after="0"/>
              <w:rPr>
                <w:sz w:val="16"/>
                <w:szCs w:val="16"/>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1,220</w:t>
            </w:r>
          </w:p>
        </w:tc>
        <w:tc>
          <w:tcPr>
            <w:tcW w:w="0" w:type="dxa"/>
            <w:vAlign w:val="bottom"/>
          </w:tcPr>
          <w:p>
            <w:pPr>
              <w:spacing w:after="0"/>
              <w:rPr>
                <w:sz w:val="1"/>
                <w:szCs w:val="1"/>
                <w:color w:val="auto"/>
              </w:rPr>
            </w:pPr>
          </w:p>
        </w:tc>
      </w:tr>
      <w:tr>
        <w:trPr>
          <w:trHeight w:val="228"/>
        </w:trPr>
        <w:tc>
          <w:tcPr>
            <w:tcW w:w="196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Balancing accounts and other</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36"/>
        </w:trPr>
        <w:tc>
          <w:tcPr>
            <w:tcW w:w="196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rPr>
              <w:t>Total</w:t>
            </w: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1,241</w:t>
            </w: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960" w:type="dxa"/>
            <w:vAlign w:val="bottom"/>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8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92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Income tax expense was $38 million and $48 million ($37 million and $47 million for SoCalGas) for the three months ended March 31, 2006 and 2005, respectively, and the effective income tax rates for the company (and SoCalGas) were 43 percent and 41 percent, respectively. The decrease in expense was due to lower taxable income, offset by the reduction in favorable resolution of income tax issues in 2005, which reduced the effective tax rate in 2005.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8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Net income for SoCalGas decreased by $20 million (29%) to $49 million for the three months ended March 31, 2006, due primarily to the CPUC's Cost of Service decision in 2005 that eliminated 2004 revenue sharing, increasing 2005 net earnings by $11 million; increased non-refundable operating costs in excess of higher authorized margins, resulting in lower 2006 net earnings of $5 million; and a favorable resolution in 2005 of prior years' income tax issues, resulting in an increase to 2005 net earnings of $4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18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At March 31, 2006, the company had $371 million in unrestricted cash and $500 million in available unused, committed lines of credit at SoCalGas, which are shared with SDG&amp;E and which are discussed more fully in Note 3 of the notes to Consolidated Financial Statements. Management believes that these amounts and cash flows from operations and security issuances will be adequate to finance capital expenditures and meet liquidity requirements and other commitments. Management continues to regularly monitor SoCalGas' ability to finance the needs of its operating, investing and financing activities in a manner consistent with its intention to maintain strong, investment-quality credit ratings.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18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Net cash provided by PE's operating activities increased by $119 million to $590 million for 2006. For SoCalGas, net cash provided by operating activities increased by $120 million to $587 million for 2006. The changes were primarily due to a higher increase in overcollected regulatory balancing accounts in 2006.</w:t>
      </w:r>
    </w:p>
    <w:p>
      <w:pPr>
        <w:sectPr>
          <w:pgSz w:w="11900" w:h="16838" w:orient="portrait"/>
          <w:cols w:equalWidth="0" w:num="1">
            <w:col w:w="11400"/>
          </w:cols>
          <w:pgMar w:left="240" w:top="306" w:right="259" w:bottom="27" w:gutter="0" w:footer="0" w:header="0"/>
        </w:sectPr>
      </w:pPr>
    </w:p>
    <w:bookmarkStart w:id="13" w:name="page14"/>
    <w:bookmarkEnd w:id="13"/>
    <w:p>
      <w:pPr>
        <w:spacing w:after="0" w:line="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For the three months ended March 31, 2006, the company made contributions of $8 million to postretirement benefit plans other than pensions and less than $1 million to its pension plans.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18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8"/>
          <w:szCs w:val="18"/>
          <w:color w:val="auto"/>
        </w:rPr>
        <w:t>Net cash used in PE's investing activities decreased by $279 million to $170 million for 2006. Net cash used in SoCalGas' investing activities decreased by $228 million to $168 million for 2006. The decreases were primarily due to lower advances to Sempra Energy in 2006.</w:t>
      </w:r>
    </w:p>
    <w:p>
      <w:pPr>
        <w:spacing w:after="0" w:line="12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8"/>
          <w:szCs w:val="18"/>
          <w:color w:val="auto"/>
        </w:rPr>
        <w:t>Significant capital expenditures in 2006 are expected to be for improvements to the distribution and transmission systems. These expenditures are expected to be financed by cash flows from operations and security issuances.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18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Net cash used in PE's financing activities increased by $108 million to $139 million for 2006. Net cash used in SoCalGas' financing activities increased by $58 million to $138 million for 2006. The increases were attributable to higher payments on short-term debt in 2006. The increase in PE's financing activities was also attributable to $50 million common dividends paid to Sempra Energy in 2006. PE did not pay common dividends to Sempra Energy in the first quarter of 2005.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18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At March 31, 2006, there were no significant changes to the commitments that were disclosed in the Annual Report, except for an increase of $340 million related to new natural gas contracts at SoCalGas. The future payments under the new contracts are expected to be $243 million for 2006 and $97 million for 2007.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INFLUENCING FUTURE PERFORMANCE</w:t>
      </w:r>
    </w:p>
    <w:p>
      <w:pPr>
        <w:spacing w:after="0" w:line="18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Performance of the company will depend primarily on the ratemaking and regulatory process, natural gas industry restructuring, and the changing energy marketplace. Performance will also depend on the successful completion of construction programs, which are discussed in various places in this report. These factors are discussed in Note 5 of the notes to Consolidated Financial Statements herein.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Note 6 of the notes to Consolidated Financial Statements herein and Note 9 of the notes to Consolidated Financial Statements in the Annual Report describe litigation (primarily cases arising from the California energy crisis), the ultimate resolution of which could have a material adverse effect on future performance.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Developments</w:t>
      </w:r>
    </w:p>
    <w:p>
      <w:pPr>
        <w:spacing w:after="0" w:line="18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8"/>
          <w:szCs w:val="18"/>
          <w:color w:val="auto"/>
        </w:rPr>
        <w:t>Note 5 of the notes to Consolidated Financial Statements herein and Note 8 of the notes to Consolidated Financial Statements in the Annual Report describe natural gas restructuring and rates, and other pending proceedings and investigations.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85"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8"/>
          <w:szCs w:val="18"/>
          <w:color w:val="auto"/>
        </w:rPr>
        <w:t>Relevant pronouncements that have recently become effective and have had or may have a significant effect on the company's financial statements are described in Note 2 of the notes to Consolidated Financial Statements. One pronouncement of particular importance to the company is described below.</w:t>
      </w:r>
    </w:p>
    <w:p>
      <w:pPr>
        <w:spacing w:after="0" w:line="12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Effective January 1, 2006, Sempra Energy adopted Statement of Financial Accounting Standards (SFAS) No. 123 (revised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(SFAS 123R), which requires compensation costs related to share-based transactions, including employee stock options, to be recognized in the financial statements based on fair value. SFAS 123R revises SFAS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(SFAS 123), and supersedes Accounting Principles Board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xml:space="preserve"> In March 2005, the Securities and Exchange Commission (the SEC) issued Staff Accounting Bulletin No. 107 (SAB 107) regarding the SEC's interpretation of SFAS 123R and the valuation of share-based payments for public companies. Sempra Energy has applied the provisions of SAB 107 in its adoption of SFAS 123R.</w:t>
      </w:r>
    </w:p>
    <w:p>
      <w:pPr>
        <w:spacing w:after="0" w:line="15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Sempra Energy adopted the provisions of SFAS 123R using the modified prospective transition method. In accordance with this transition method, Sempra Energy's consolidated financial statements for prior periods have not been restated to reflect the impact of SFAS 123R. Under the modified prospective transition method, share-based compensation expense for the first quarter of 2006 includes compensation expense for all share-based compensation awards granted prior to, but for which the requisite service has not yet been performed as of January 1, 2006, based on the grant date fair value estimated in accordance with the original provisions of SFAS 123. Share-based compensation expense for all share-based compensation awards granted after January 1, 2006 is based on the grant date fair value estimated in accordance with the provisions of SFAS 123R.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b w:val="1"/>
          <w:b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the risk issues affecting the company subsequent to those discussed in the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2006, the total Value at Risk of SoCalGas' positions was not 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b w:val="1"/>
          <w:bCs w:val="1"/>
          <w:color w:val="auto"/>
        </w:rPr>
        <w:t>CONTROLS AND PROCEDURES</w:t>
      </w:r>
    </w:p>
    <w:p>
      <w:pPr>
        <w:spacing w:after="0" w:line="18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 company's reports is recorded, processed, summarized and reported within the 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cost-benefit relationship of other possible controls and proce dures.</w:t>
      </w:r>
    </w:p>
    <w:p>
      <w:pPr>
        <w:spacing w:after="0" w:line="15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controls over financial reporting during the company's most recent fiscal quarter that have materially affected, or are reasonably likely to materially affect, the company's internal controls over financial reporting.</w:t>
      </w:r>
    </w:p>
    <w:p>
      <w:pPr>
        <w:spacing w:after="0" w:line="1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The company evaluates the effectiveness of its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Under the supervision and with the participation of management, including the Chief Executive Officer and the Chief Financial Officer, the company evaluated the effectiveness of the design and operation of the company's disclosure controls and procedures as of March 31, 2006, the end of the period covered by this report. Based on that evaluation, the company's Chief</w:t>
      </w:r>
    </w:p>
    <w:p>
      <w:pPr>
        <w:sectPr>
          <w:pgSz w:w="11900" w:h="16839" w:orient="portrait"/>
          <w:cols w:equalWidth="0" w:num="1">
            <w:col w:w="11420"/>
          </w:cols>
          <w:pgMar w:left="240" w:top="116" w:right="239" w:bottom="0" w:gutter="0" w:footer="0" w:header="0"/>
        </w:sectPr>
      </w:pPr>
    </w:p>
    <w:bookmarkStart w:id="14" w:name="page15"/>
    <w:bookmarkEnd w:id="14"/>
    <w:p>
      <w:pPr>
        <w:spacing w:after="0" w:line="67"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Executive Officer and Chief Financial Officer concluded that the company's disclosure controls and procedures were effective at the reasonable assurance level.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 OTHER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b w:val="1"/>
          <w:bCs w:val="1"/>
          <w:color w:val="auto"/>
        </w:rPr>
        <w:t>LEGAL PROCEEDINGS</w:t>
      </w:r>
    </w:p>
    <w:p>
      <w:pPr>
        <w:spacing w:after="0" w:line="185"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8"/>
          <w:szCs w:val="18"/>
          <w:color w:val="auto"/>
        </w:rPr>
        <w:t>Except as described in Notes 5 and 6 of the notes to Consolidated Financial Statements herein, neither the company nor its subsidiaries are party to, nor is their property the subject of, any material pending legal proceedings other than routine litigation incidental to their businesses.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b w:val="1"/>
          <w:bCs w:val="1"/>
          <w:color w:val="auto"/>
        </w:rPr>
        <w:t>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risk factors as previously disclosed in the company's 2005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b w:val="1"/>
          <w:bCs w:val="1"/>
          <w:color w:val="auto"/>
        </w:rPr>
        <w:t>EXHIBITS AND REPORTS ON FORM 8-K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12 - Computation of ratios</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12.1 Computation of Ratio of Earnings to Fixed Charges of PE.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Computation of Ratio of Earnings to Fixed Charges of SoCalGas.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31 -- Section 302 Certifications</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31.1 Statement of PE's Chief Executive Officer pursuant to Rules 13a-14 and 15d-14 of the Securities Exchange Act of 1934.</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31.2 Statement of PE's Chief Financial Officer pursuant to Rules 13a-14 and 15d-14 of the Securities Exchange Act of 1934.</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31.3 Statement of SoCalGas' Chief Executive Officer pursuant to Rules 13a-14 and 15d-14 of the Securities Exchange Act of 1934.</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31.4 Statement of SoCalGas' Chief Financial Officer pursuant to Rules 13a-14 and 15d-14 of the Securities Exchange Act of 1934.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32 -- Section 906 Certifications</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32.1 Statement of PE's Chief Executive Officer pursuant to 18 U.S.C. Sec. 1350.</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32.2 Statement of PE's Chief Financial Officer pursuant to 18 U.S.C. Sec. 1350.</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32.3 Statement of SoCalGas' Chief Executive Officer pursuant to 18 U.S.C. Sec. 1350.</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32.4 Statement of SoCalGas' Chief Financial Officer pursuant to 18 U.S.C. Sec. 1350.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Reports on Form 8-K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reports on Form 8-K were filed after December 31, 2005:</w:t>
      </w:r>
    </w:p>
    <w:p>
      <w:pPr>
        <w:spacing w:after="0" w:line="181"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8"/>
          <w:szCs w:val="18"/>
          <w:color w:val="auto"/>
        </w:rPr>
        <w:t>Current Report on Form 8-K filed January 5, 2006, announcing the agreement to settle certain litigation and the effect of the settlements on the company's results of operations and financial condition for the year ended December 31, 2005.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Report on Form 8-K filed January 6, 2006, announcing certain officer changes at Pacific Enterprises to conform the positions to those at SoCalGas.</w:t>
      </w:r>
    </w:p>
    <w:p>
      <w:pPr>
        <w:spacing w:after="0" w:line="18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8"/>
          <w:szCs w:val="18"/>
          <w:color w:val="auto"/>
        </w:rPr>
        <w:t>Current Report on Form 8-K filed February 22, 2006, including as exhibits Sempra Energy's press release of February 22, 2006, giving the financial results for the three months ended December 31, 2005, and related Income Statement Data by Business Unit.</w:t>
      </w:r>
    </w:p>
    <w:p>
      <w:pPr>
        <w:spacing w:after="0" w:line="12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Current Report on Form 8-K filed May 2, 2006, including as exhibits Sempra Energy's press release of May 2, 2006, giving the financial results for the three months ended March 31, 2006, and related Income Statement Data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398780</wp:posOffset>
            </wp:positionV>
            <wp:extent cx="729361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69" w:lineRule="exact"/>
        <w:rPr>
          <w:sz w:val="20"/>
          <w:szCs w:val="20"/>
          <w:color w:val="auto"/>
        </w:rPr>
      </w:pPr>
    </w:p>
    <w:p>
      <w:pPr>
        <w:ind w:left="2000" w:right="2160"/>
        <w:spacing w:after="0" w:line="27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PACIFIC ENTERPRISES,</w:t>
      </w:r>
    </w:p>
    <w:p>
      <w:pPr>
        <w:spacing w:after="0" w:line="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5" w:lineRule="exact"/>
        <w:rPr>
          <w:sz w:val="20"/>
          <w:szCs w:val="20"/>
          <w:color w:val="auto"/>
        </w:rPr>
      </w:pPr>
    </w:p>
    <w:p>
      <w:pPr>
        <w:ind w:left="200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2, 2006</w:t>
      </w:r>
      <w:r>
        <w:rPr>
          <w:sz w:val="20"/>
          <w:szCs w:val="20"/>
          <w:color w:val="auto"/>
        </w:rPr>
        <w:tab/>
      </w:r>
      <w:r>
        <w:rPr>
          <w:rFonts w:ascii="Times New Roman" w:cs="Times New Roman" w:eastAsia="Times New Roman" w:hAnsi="Times New Roman"/>
          <w:sz w:val="18"/>
          <w:szCs w:val="18"/>
          <w:color w:val="auto"/>
        </w:rPr>
        <w:t>By: /s/ S.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71120</wp:posOffset>
            </wp:positionV>
            <wp:extent cx="2497455" cy="217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7455" cy="21717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D. Davis</w:t>
      </w:r>
    </w:p>
    <w:p>
      <w:pPr>
        <w:spacing w:after="0" w:line="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Sr. Vice President and Chief Financial Officer</w:t>
      </w:r>
    </w:p>
    <w:p>
      <w:pPr>
        <w:sectPr>
          <w:pgSz w:w="11900" w:h="16906" w:orient="portrait"/>
          <w:cols w:equalWidth="0" w:num="1">
            <w:col w:w="11420"/>
          </w:cols>
          <w:pgMar w:left="240" w:top="116" w:right="239" w:bottom="0" w:gutter="0" w:footer="0" w:header="0"/>
        </w:sectPr>
      </w:pPr>
    </w:p>
    <w:p>
      <w:pPr>
        <w:spacing w:after="0" w:line="200" w:lineRule="exact"/>
        <w:rPr>
          <w:sz w:val="20"/>
          <w:szCs w:val="20"/>
          <w:color w:val="auto"/>
        </w:rPr>
      </w:pPr>
    </w:p>
    <w:p>
      <w:pPr>
        <w:spacing w:after="0" w:line="3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SOUTHERN CALIFORNIA GAS COMPANY,</w:t>
      </w:r>
    </w:p>
    <w:p>
      <w:pPr>
        <w:sectPr>
          <w:pgSz w:w="11900" w:h="16906" w:orient="portrait"/>
          <w:cols w:equalWidth="0" w:num="1">
            <w:col w:w="11420"/>
          </w:cols>
          <w:pgMar w:left="240" w:top="116" w:right="239" w:bottom="0" w:gutter="0" w:footer="0" w:header="0"/>
          <w:type w:val="continuous"/>
        </w:sectPr>
      </w:pPr>
    </w:p>
    <w:bookmarkStart w:id="15" w:name="page16"/>
    <w:bookmarkEnd w:id="15"/>
    <w:p>
      <w:pPr>
        <w:ind w:left="44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0"/>
        <w:spacing w:after="0"/>
        <w:tabs>
          <w:tab w:leader="none" w:pos="4440" w:val="left"/>
        </w:tabs>
        <w:rPr>
          <w:sz w:val="20"/>
          <w:szCs w:val="20"/>
          <w:color w:val="auto"/>
        </w:rPr>
      </w:pPr>
      <w:r>
        <w:rPr>
          <w:rFonts w:ascii="Times New Roman" w:cs="Times New Roman" w:eastAsia="Times New Roman" w:hAnsi="Times New Roman"/>
          <w:sz w:val="18"/>
          <w:szCs w:val="18"/>
          <w:color w:val="auto"/>
        </w:rPr>
        <w:t>Date: May 2, 2006</w:t>
      </w:r>
      <w:r>
        <w:rPr>
          <w:sz w:val="20"/>
          <w:szCs w:val="20"/>
          <w:color w:val="auto"/>
        </w:rPr>
        <w:tab/>
      </w:r>
      <w:r>
        <w:rPr>
          <w:rFonts w:ascii="Times New Roman" w:cs="Times New Roman" w:eastAsia="Times New Roman" w:hAnsi="Times New Roman"/>
          <w:sz w:val="18"/>
          <w:szCs w:val="18"/>
          <w:color w:val="auto"/>
        </w:rPr>
        <w:t>By: /s/ S.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2779395</wp:posOffset>
            </wp:positionH>
            <wp:positionV relativeFrom="paragraph">
              <wp:posOffset>71120</wp:posOffset>
            </wp:positionV>
            <wp:extent cx="2497455" cy="217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7455" cy="21717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D. Davis</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Sr. Vice President-External Relations</w:t>
      </w:r>
    </w:p>
    <w:p>
      <w:pPr>
        <w:spacing w:after="0" w:line="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9019"/>
          </w:cols>
          <w:pgMar w:left="1440" w:top="139"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5"/>
          <w:szCs w:val="15"/>
          <w:b w:val="1"/>
          <w:bCs w:val="1"/>
          <w:color w:val="auto"/>
        </w:rPr>
        <w:t>EXHIBIT 12.1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PACIFIC ENTERPRISES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COMPUTATION OF RATIO OF EARNINGS TO FIXED CHARGES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9"/>
              </w:rPr>
              <w:t>Three months</w:t>
            </w:r>
          </w:p>
        </w:tc>
      </w:tr>
      <w:tr>
        <w:trPr>
          <w:trHeight w:val="205"/>
        </w:trPr>
        <w:tc>
          <w:tcPr>
            <w:tcW w:w="3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rPr>
              <w:t>ended</w:t>
            </w:r>
          </w:p>
        </w:tc>
      </w:tr>
      <w:tr>
        <w:trPr>
          <w:trHeight w:val="203"/>
        </w:trPr>
        <w:tc>
          <w:tcPr>
            <w:tcW w:w="4180" w:type="dxa"/>
            <w:vAlign w:val="bottom"/>
            <w:gridSpan w:val="2"/>
          </w:tcPr>
          <w:p>
            <w:pPr>
              <w:ind w:left="3780"/>
              <w:spacing w:after="0"/>
              <w:rPr>
                <w:sz w:val="20"/>
                <w:szCs w:val="20"/>
                <w:color w:val="auto"/>
              </w:rPr>
            </w:pPr>
            <w:r>
              <w:rPr>
                <w:rFonts w:ascii="Arial" w:cs="Arial" w:eastAsia="Arial" w:hAnsi="Arial"/>
                <w:sz w:val="15"/>
                <w:szCs w:val="15"/>
                <w:color w:val="auto"/>
              </w:rPr>
              <w:t>2001</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2002</w:t>
            </w:r>
          </w:p>
        </w:tc>
        <w:tc>
          <w:tcPr>
            <w:tcW w:w="360" w:type="dxa"/>
            <w:vAlign w:val="bottom"/>
          </w:tcPr>
          <w:p>
            <w:pPr>
              <w:spacing w:after="0"/>
              <w:rPr>
                <w:sz w:val="17"/>
                <w:szCs w:val="17"/>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5"/>
                <w:szCs w:val="15"/>
                <w:color w:val="auto"/>
              </w:rPr>
              <w:t>2003</w:t>
            </w:r>
          </w:p>
        </w:tc>
        <w:tc>
          <w:tcPr>
            <w:tcW w:w="1420" w:type="dxa"/>
            <w:vAlign w:val="bottom"/>
            <w:gridSpan w:val="2"/>
          </w:tcPr>
          <w:p>
            <w:pPr>
              <w:jc w:val="right"/>
              <w:ind w:right="420"/>
              <w:spacing w:after="0"/>
              <w:rPr>
                <w:sz w:val="20"/>
                <w:szCs w:val="20"/>
                <w:color w:val="auto"/>
              </w:rPr>
            </w:pPr>
            <w:r>
              <w:rPr>
                <w:rFonts w:ascii="Arial" w:cs="Arial" w:eastAsia="Arial" w:hAnsi="Arial"/>
                <w:sz w:val="15"/>
                <w:szCs w:val="15"/>
                <w:color w:val="auto"/>
              </w:rPr>
              <w:t>2004</w:t>
            </w:r>
          </w:p>
        </w:tc>
        <w:tc>
          <w:tcPr>
            <w:tcW w:w="1400" w:type="dxa"/>
            <w:vAlign w:val="bottom"/>
            <w:gridSpan w:val="2"/>
          </w:tcPr>
          <w:p>
            <w:pPr>
              <w:jc w:val="right"/>
              <w:ind w:right="420"/>
              <w:spacing w:after="0"/>
              <w:rPr>
                <w:sz w:val="20"/>
                <w:szCs w:val="20"/>
                <w:color w:val="auto"/>
              </w:rPr>
            </w:pPr>
            <w:r>
              <w:rPr>
                <w:rFonts w:ascii="Arial" w:cs="Arial" w:eastAsia="Arial" w:hAnsi="Arial"/>
                <w:sz w:val="15"/>
                <w:szCs w:val="15"/>
                <w:color w:val="auto"/>
              </w:rPr>
              <w:t>2005</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9"/>
              </w:rPr>
              <w:t>March 31, 2006</w:t>
            </w:r>
          </w:p>
        </w:tc>
      </w:tr>
      <w:tr>
        <w:trPr>
          <w:trHeight w:val="205"/>
        </w:trPr>
        <w:tc>
          <w:tcPr>
            <w:tcW w:w="3360" w:type="dxa"/>
            <w:vAlign w:val="bottom"/>
          </w:tcPr>
          <w:p>
            <w:pPr>
              <w:spacing w:after="0"/>
              <w:rPr>
                <w:sz w:val="17"/>
                <w:szCs w:val="17"/>
                <w:color w:val="auto"/>
              </w:rPr>
            </w:pPr>
          </w:p>
        </w:tc>
        <w:tc>
          <w:tcPr>
            <w:tcW w:w="820" w:type="dxa"/>
            <w:vAlign w:val="bottom"/>
            <w:shd w:val="clear" w:color="auto" w:fill="000000"/>
          </w:tcPr>
          <w:p>
            <w:pPr>
              <w:spacing w:after="0"/>
              <w:rPr>
                <w:sz w:val="17"/>
                <w:szCs w:val="17"/>
                <w:color w:val="auto"/>
              </w:rPr>
            </w:pPr>
          </w:p>
        </w:tc>
        <w:tc>
          <w:tcPr>
            <w:tcW w:w="34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r>
      <w:tr>
        <w:trPr>
          <w:trHeight w:val="208"/>
        </w:trPr>
        <w:tc>
          <w:tcPr>
            <w:tcW w:w="4180" w:type="dxa"/>
            <w:vAlign w:val="bottom"/>
            <w:gridSpan w:val="2"/>
          </w:tcPr>
          <w:p>
            <w:pPr>
              <w:spacing w:after="0"/>
              <w:rPr>
                <w:sz w:val="20"/>
                <w:szCs w:val="20"/>
                <w:color w:val="auto"/>
              </w:rPr>
            </w:pPr>
            <w:r>
              <w:rPr>
                <w:rFonts w:ascii="Arial" w:cs="Arial" w:eastAsia="Arial" w:hAnsi="Arial"/>
                <w:sz w:val="15"/>
                <w:szCs w:val="15"/>
                <w:color w:val="auto"/>
              </w:rPr>
              <w:t>Fixed Charges: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10"/>
        </w:trPr>
        <w:tc>
          <w:tcPr>
            <w:tcW w:w="4180" w:type="dxa"/>
            <w:vAlign w:val="bottom"/>
            <w:gridSpan w:val="2"/>
          </w:tcPr>
          <w:p>
            <w:pPr>
              <w:spacing w:after="0"/>
              <w:rPr>
                <w:sz w:val="20"/>
                <w:szCs w:val="20"/>
                <w:color w:val="auto"/>
              </w:rPr>
            </w:pPr>
            <w:r>
              <w:rPr>
                <w:rFonts w:ascii="Arial" w:cs="Arial" w:eastAsia="Arial" w:hAnsi="Arial"/>
                <w:sz w:val="15"/>
                <w:szCs w:val="15"/>
                <w:color w:val="auto"/>
              </w:rPr>
              <w:t>Interest</w:t>
            </w:r>
          </w:p>
        </w:tc>
        <w:tc>
          <w:tcPr>
            <w:tcW w:w="340" w:type="dxa"/>
            <w:vAlign w:val="bottom"/>
          </w:tcPr>
          <w:p>
            <w:pPr>
              <w:jc w:val="right"/>
              <w:spacing w:after="0"/>
              <w:rPr>
                <w:sz w:val="20"/>
                <w:szCs w:val="20"/>
                <w:color w:val="auto"/>
              </w:rPr>
            </w:pPr>
            <w:r>
              <w:rPr>
                <w:rFonts w:ascii="Arial" w:cs="Arial" w:eastAsia="Arial" w:hAnsi="Arial"/>
                <w:sz w:val="15"/>
                <w:szCs w:val="15"/>
                <w:color w:val="auto"/>
              </w:rPr>
              <w:t>$ 88</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$ 63</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$ 54</w:t>
            </w:r>
          </w:p>
        </w:tc>
        <w:tc>
          <w:tcPr>
            <w:tcW w:w="1420" w:type="dxa"/>
            <w:vAlign w:val="bottom"/>
            <w:gridSpan w:val="2"/>
          </w:tcPr>
          <w:p>
            <w:pPr>
              <w:jc w:val="right"/>
              <w:ind w:right="20"/>
              <w:spacing w:after="0"/>
              <w:rPr>
                <w:sz w:val="20"/>
                <w:szCs w:val="20"/>
                <w:color w:val="auto"/>
              </w:rPr>
            </w:pPr>
            <w:r>
              <w:rPr>
                <w:rFonts w:ascii="Arial" w:cs="Arial" w:eastAsia="Arial" w:hAnsi="Arial"/>
                <w:sz w:val="15"/>
                <w:szCs w:val="15"/>
                <w:color w:val="auto"/>
              </w:rPr>
              <w:t>$ 47</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$ 55</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$ 20</w:t>
            </w:r>
          </w:p>
        </w:tc>
      </w:tr>
      <w:tr>
        <w:trPr>
          <w:trHeight w:val="410"/>
        </w:trPr>
        <w:tc>
          <w:tcPr>
            <w:tcW w:w="4180" w:type="dxa"/>
            <w:vAlign w:val="bottom"/>
            <w:gridSpan w:val="2"/>
          </w:tcPr>
          <w:p>
            <w:pPr>
              <w:spacing w:after="0"/>
              <w:rPr>
                <w:sz w:val="20"/>
                <w:szCs w:val="20"/>
                <w:color w:val="auto"/>
              </w:rPr>
            </w:pPr>
            <w:r>
              <w:rPr>
                <w:rFonts w:ascii="Arial" w:cs="Arial" w:eastAsia="Arial" w:hAnsi="Arial"/>
                <w:sz w:val="15"/>
                <w:szCs w:val="15"/>
                <w:color w:val="auto"/>
              </w:rPr>
              <w:t>Interest portion of annual rentals</w:t>
            </w:r>
          </w:p>
        </w:tc>
        <w:tc>
          <w:tcPr>
            <w:tcW w:w="34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142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408"/>
        </w:trPr>
        <w:tc>
          <w:tcPr>
            <w:tcW w:w="4180" w:type="dxa"/>
            <w:vAlign w:val="bottom"/>
            <w:gridSpan w:val="2"/>
          </w:tcPr>
          <w:p>
            <w:pPr>
              <w:spacing w:after="0"/>
              <w:rPr>
                <w:sz w:val="20"/>
                <w:szCs w:val="20"/>
                <w:color w:val="auto"/>
              </w:rPr>
            </w:pPr>
            <w:r>
              <w:rPr>
                <w:rFonts w:ascii="Arial" w:cs="Arial" w:eastAsia="Arial" w:hAnsi="Arial"/>
                <w:sz w:val="15"/>
                <w:szCs w:val="15"/>
                <w:color w:val="auto"/>
              </w:rPr>
              <w:t>Preferred dividends of subsidiaries (1)</w:t>
            </w:r>
          </w:p>
        </w:tc>
        <w:tc>
          <w:tcPr>
            <w:tcW w:w="340" w:type="dxa"/>
            <w:vAlign w:val="bottom"/>
          </w:tcPr>
          <w:p>
            <w:pPr>
              <w:jc w:val="right"/>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142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5"/>
        </w:trPr>
        <w:tc>
          <w:tcPr>
            <w:tcW w:w="3360" w:type="dxa"/>
            <w:vAlign w:val="bottom"/>
          </w:tcPr>
          <w:p>
            <w:pPr>
              <w:spacing w:after="0"/>
              <w:rPr>
                <w:sz w:val="17"/>
                <w:szCs w:val="17"/>
                <w:color w:val="auto"/>
              </w:rPr>
            </w:pPr>
          </w:p>
        </w:tc>
        <w:tc>
          <w:tcPr>
            <w:tcW w:w="820" w:type="dxa"/>
            <w:vAlign w:val="bottom"/>
            <w:shd w:val="clear" w:color="auto" w:fill="000000"/>
          </w:tcPr>
          <w:p>
            <w:pPr>
              <w:spacing w:after="0"/>
              <w:rPr>
                <w:sz w:val="17"/>
                <w:szCs w:val="17"/>
                <w:color w:val="auto"/>
              </w:rPr>
            </w:pPr>
          </w:p>
        </w:tc>
        <w:tc>
          <w:tcPr>
            <w:tcW w:w="34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r>
      <w:tr>
        <w:trPr>
          <w:trHeight w:val="410"/>
        </w:trPr>
        <w:tc>
          <w:tcPr>
            <w:tcW w:w="4180" w:type="dxa"/>
            <w:vAlign w:val="bottom"/>
            <w:gridSpan w:val="2"/>
          </w:tcPr>
          <w:p>
            <w:pPr>
              <w:spacing w:after="0"/>
              <w:rPr>
                <w:sz w:val="20"/>
                <w:szCs w:val="20"/>
                <w:color w:val="auto"/>
              </w:rPr>
            </w:pPr>
            <w:r>
              <w:rPr>
                <w:rFonts w:ascii="Arial" w:cs="Arial" w:eastAsia="Arial" w:hAnsi="Arial"/>
                <w:sz w:val="15"/>
                <w:szCs w:val="15"/>
                <w:color w:val="auto"/>
              </w:rPr>
              <w:t>Total fixed charges for purpose of ratio</w:t>
            </w:r>
          </w:p>
        </w:tc>
        <w:tc>
          <w:tcPr>
            <w:tcW w:w="340" w:type="dxa"/>
            <w:vAlign w:val="bottom"/>
          </w:tcPr>
          <w:p>
            <w:pPr>
              <w:jc w:val="right"/>
              <w:spacing w:after="0"/>
              <w:rPr>
                <w:sz w:val="20"/>
                <w:szCs w:val="20"/>
                <w:color w:val="auto"/>
              </w:rPr>
            </w:pPr>
            <w:r>
              <w:rPr>
                <w:rFonts w:ascii="Arial" w:cs="Arial" w:eastAsia="Arial" w:hAnsi="Arial"/>
                <w:sz w:val="15"/>
                <w:szCs w:val="15"/>
                <w:color w:val="auto"/>
              </w:rPr>
              <w:t>$ 93</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$ 67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$ 58</w:t>
            </w:r>
          </w:p>
        </w:tc>
        <w:tc>
          <w:tcPr>
            <w:tcW w:w="1420" w:type="dxa"/>
            <w:vAlign w:val="bottom"/>
            <w:gridSpan w:val="2"/>
          </w:tcPr>
          <w:p>
            <w:pPr>
              <w:jc w:val="right"/>
              <w:ind w:right="20"/>
              <w:spacing w:after="0"/>
              <w:rPr>
                <w:sz w:val="20"/>
                <w:szCs w:val="20"/>
                <w:color w:val="auto"/>
              </w:rPr>
            </w:pPr>
            <w:r>
              <w:rPr>
                <w:rFonts w:ascii="Arial" w:cs="Arial" w:eastAsia="Arial" w:hAnsi="Arial"/>
                <w:sz w:val="15"/>
                <w:szCs w:val="15"/>
                <w:color w:val="auto"/>
              </w:rPr>
              <w:t>$ 51</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$ 60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$ 22</w:t>
            </w:r>
          </w:p>
        </w:tc>
      </w:tr>
      <w:tr>
        <w:trPr>
          <w:trHeight w:val="205"/>
        </w:trPr>
        <w:tc>
          <w:tcPr>
            <w:tcW w:w="3360" w:type="dxa"/>
            <w:vAlign w:val="bottom"/>
          </w:tcPr>
          <w:p>
            <w:pPr>
              <w:spacing w:after="0"/>
              <w:rPr>
                <w:sz w:val="17"/>
                <w:szCs w:val="17"/>
                <w:color w:val="auto"/>
              </w:rPr>
            </w:pPr>
          </w:p>
        </w:tc>
        <w:tc>
          <w:tcPr>
            <w:tcW w:w="820" w:type="dxa"/>
            <w:vAlign w:val="bottom"/>
            <w:shd w:val="clear" w:color="auto" w:fill="000000"/>
          </w:tcPr>
          <w:p>
            <w:pPr>
              <w:spacing w:after="0"/>
              <w:rPr>
                <w:sz w:val="17"/>
                <w:szCs w:val="17"/>
                <w:color w:val="auto"/>
              </w:rPr>
            </w:pPr>
          </w:p>
        </w:tc>
        <w:tc>
          <w:tcPr>
            <w:tcW w:w="34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r>
      <w:tr>
        <w:trPr>
          <w:trHeight w:val="205"/>
        </w:trPr>
        <w:tc>
          <w:tcPr>
            <w:tcW w:w="3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5"/>
        </w:trPr>
        <w:tc>
          <w:tcPr>
            <w:tcW w:w="3360" w:type="dxa"/>
            <w:vAlign w:val="bottom"/>
          </w:tcPr>
          <w:p>
            <w:pPr>
              <w:spacing w:after="0"/>
              <w:rPr>
                <w:sz w:val="17"/>
                <w:szCs w:val="17"/>
                <w:color w:val="auto"/>
              </w:rPr>
            </w:pPr>
          </w:p>
        </w:tc>
        <w:tc>
          <w:tcPr>
            <w:tcW w:w="820" w:type="dxa"/>
            <w:vAlign w:val="bottom"/>
            <w:shd w:val="clear" w:color="auto" w:fill="000000"/>
          </w:tcPr>
          <w:p>
            <w:pPr>
              <w:spacing w:after="0"/>
              <w:rPr>
                <w:sz w:val="17"/>
                <w:szCs w:val="17"/>
                <w:color w:val="auto"/>
              </w:rPr>
            </w:pPr>
          </w:p>
        </w:tc>
        <w:tc>
          <w:tcPr>
            <w:tcW w:w="34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60" w:type="dxa"/>
            <w:vAlign w:val="bottom"/>
          </w:tcPr>
          <w:p>
            <w:pPr>
              <w:spacing w:after="0"/>
              <w:rPr>
                <w:sz w:val="20"/>
                <w:szCs w:val="20"/>
                <w:color w:val="auto"/>
              </w:rPr>
            </w:pPr>
            <w:r>
              <w:rPr>
                <w:rFonts w:ascii="Arial" w:cs="Arial" w:eastAsia="Arial" w:hAnsi="Arial"/>
                <w:sz w:val="15"/>
                <w:szCs w:val="15"/>
                <w:color w:val="auto"/>
              </w:rPr>
              <w:t>Earnings: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10"/>
        </w:trPr>
        <w:tc>
          <w:tcPr>
            <w:tcW w:w="3360" w:type="dxa"/>
            <w:vAlign w:val="bottom"/>
          </w:tcPr>
          <w:p>
            <w:pPr>
              <w:spacing w:after="0"/>
              <w:rPr>
                <w:sz w:val="20"/>
                <w:szCs w:val="20"/>
                <w:color w:val="auto"/>
              </w:rPr>
            </w:pPr>
            <w:r>
              <w:rPr>
                <w:rFonts w:ascii="Arial" w:cs="Arial" w:eastAsia="Arial" w:hAnsi="Arial"/>
                <w:sz w:val="15"/>
                <w:szCs w:val="15"/>
                <w:color w:val="auto"/>
              </w:rPr>
              <w:t>Pretax income from continuing operations</w:t>
            </w:r>
          </w:p>
        </w:tc>
        <w:tc>
          <w:tcPr>
            <w:tcW w:w="1160" w:type="dxa"/>
            <w:vAlign w:val="bottom"/>
          </w:tcPr>
          <w:p>
            <w:pPr>
              <w:jc w:val="right"/>
              <w:spacing w:after="0"/>
              <w:rPr>
                <w:sz w:val="20"/>
                <w:szCs w:val="20"/>
                <w:color w:val="auto"/>
              </w:rPr>
            </w:pPr>
            <w:r>
              <w:rPr>
                <w:rFonts w:ascii="Arial" w:cs="Arial" w:eastAsia="Arial" w:hAnsi="Arial"/>
                <w:sz w:val="15"/>
                <w:szCs w:val="15"/>
                <w:color w:val="auto"/>
              </w:rPr>
              <w:t>$ 377</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$ 383</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$ 361</w:t>
            </w:r>
          </w:p>
        </w:tc>
        <w:tc>
          <w:tcPr>
            <w:tcW w:w="1420" w:type="dxa"/>
            <w:vAlign w:val="bottom"/>
            <w:gridSpan w:val="2"/>
          </w:tcPr>
          <w:p>
            <w:pPr>
              <w:jc w:val="right"/>
              <w:ind w:right="20"/>
              <w:spacing w:after="0"/>
              <w:rPr>
                <w:sz w:val="20"/>
                <w:szCs w:val="20"/>
                <w:color w:val="auto"/>
              </w:rPr>
            </w:pPr>
            <w:r>
              <w:rPr>
                <w:rFonts w:ascii="Arial" w:cs="Arial" w:eastAsia="Arial" w:hAnsi="Arial"/>
                <w:sz w:val="15"/>
                <w:szCs w:val="15"/>
                <w:color w:val="auto"/>
              </w:rPr>
              <w:t>$ 390</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$ 324</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$ 89</w:t>
            </w:r>
          </w:p>
        </w:tc>
      </w:tr>
      <w:tr>
        <w:trPr>
          <w:trHeight w:val="408"/>
        </w:trPr>
        <w:tc>
          <w:tcPr>
            <w:tcW w:w="3360" w:type="dxa"/>
            <w:vAlign w:val="bottom"/>
          </w:tcPr>
          <w:p>
            <w:pPr>
              <w:spacing w:after="0"/>
              <w:rPr>
                <w:sz w:val="20"/>
                <w:szCs w:val="20"/>
                <w:color w:val="auto"/>
              </w:rPr>
            </w:pPr>
            <w:r>
              <w:rPr>
                <w:rFonts w:ascii="Arial" w:cs="Arial" w:eastAsia="Arial" w:hAnsi="Arial"/>
                <w:sz w:val="15"/>
                <w:szCs w:val="15"/>
                <w:color w:val="auto"/>
              </w:rPr>
              <w:t>Total fixed charges (from above)</w:t>
            </w:r>
          </w:p>
        </w:tc>
        <w:tc>
          <w:tcPr>
            <w:tcW w:w="1160" w:type="dxa"/>
            <w:vAlign w:val="bottom"/>
          </w:tcPr>
          <w:p>
            <w:pPr>
              <w:jc w:val="right"/>
              <w:spacing w:after="0"/>
              <w:rPr>
                <w:sz w:val="20"/>
                <w:szCs w:val="20"/>
                <w:color w:val="auto"/>
              </w:rPr>
            </w:pPr>
            <w:r>
              <w:rPr>
                <w:rFonts w:ascii="Arial" w:cs="Arial" w:eastAsia="Arial" w:hAnsi="Arial"/>
                <w:sz w:val="15"/>
                <w:szCs w:val="15"/>
                <w:color w:val="auto"/>
              </w:rPr>
              <w:t>93</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67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58</w:t>
            </w:r>
          </w:p>
        </w:tc>
        <w:tc>
          <w:tcPr>
            <w:tcW w:w="1420" w:type="dxa"/>
            <w:vAlign w:val="bottom"/>
            <w:gridSpan w:val="2"/>
          </w:tcPr>
          <w:p>
            <w:pPr>
              <w:jc w:val="right"/>
              <w:ind w:right="20"/>
              <w:spacing w:after="0"/>
              <w:rPr>
                <w:sz w:val="20"/>
                <w:szCs w:val="20"/>
                <w:color w:val="auto"/>
              </w:rPr>
            </w:pPr>
            <w:r>
              <w:rPr>
                <w:rFonts w:ascii="Arial" w:cs="Arial" w:eastAsia="Arial" w:hAnsi="Arial"/>
                <w:sz w:val="15"/>
                <w:szCs w:val="15"/>
                <w:color w:val="auto"/>
              </w:rPr>
              <w:t>51</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60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22</w:t>
            </w:r>
          </w:p>
        </w:tc>
      </w:tr>
      <w:tr>
        <w:trPr>
          <w:trHeight w:val="205"/>
        </w:trPr>
        <w:tc>
          <w:tcPr>
            <w:tcW w:w="336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r>
      <w:tr>
        <w:trPr>
          <w:trHeight w:val="410"/>
        </w:trPr>
        <w:tc>
          <w:tcPr>
            <w:tcW w:w="3360" w:type="dxa"/>
            <w:vAlign w:val="bottom"/>
          </w:tcPr>
          <w:p>
            <w:pPr>
              <w:spacing w:after="0"/>
              <w:rPr>
                <w:sz w:val="20"/>
                <w:szCs w:val="20"/>
                <w:color w:val="auto"/>
              </w:rPr>
            </w:pPr>
            <w:r>
              <w:rPr>
                <w:rFonts w:ascii="Arial" w:cs="Arial" w:eastAsia="Arial" w:hAnsi="Arial"/>
                <w:sz w:val="15"/>
                <w:szCs w:val="15"/>
                <w:color w:val="auto"/>
              </w:rPr>
              <w:t>Total earnings for purpose of ratio</w:t>
            </w:r>
          </w:p>
        </w:tc>
        <w:tc>
          <w:tcPr>
            <w:tcW w:w="1160" w:type="dxa"/>
            <w:vAlign w:val="bottom"/>
          </w:tcPr>
          <w:p>
            <w:pPr>
              <w:jc w:val="right"/>
              <w:spacing w:after="0"/>
              <w:rPr>
                <w:sz w:val="20"/>
                <w:szCs w:val="20"/>
                <w:color w:val="auto"/>
              </w:rPr>
            </w:pPr>
            <w:r>
              <w:rPr>
                <w:rFonts w:ascii="Arial" w:cs="Arial" w:eastAsia="Arial" w:hAnsi="Arial"/>
                <w:sz w:val="15"/>
                <w:szCs w:val="15"/>
                <w:color w:val="auto"/>
              </w:rPr>
              <w:t>$ 470</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$ 450</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$ 419</w:t>
            </w:r>
          </w:p>
        </w:tc>
        <w:tc>
          <w:tcPr>
            <w:tcW w:w="1420" w:type="dxa"/>
            <w:vAlign w:val="bottom"/>
            <w:gridSpan w:val="2"/>
          </w:tcPr>
          <w:p>
            <w:pPr>
              <w:jc w:val="right"/>
              <w:ind w:right="20"/>
              <w:spacing w:after="0"/>
              <w:rPr>
                <w:sz w:val="20"/>
                <w:szCs w:val="20"/>
                <w:color w:val="auto"/>
              </w:rPr>
            </w:pPr>
            <w:r>
              <w:rPr>
                <w:rFonts w:ascii="Arial" w:cs="Arial" w:eastAsia="Arial" w:hAnsi="Arial"/>
                <w:sz w:val="15"/>
                <w:szCs w:val="15"/>
                <w:color w:val="auto"/>
              </w:rPr>
              <w:t>$ 441</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$ 384</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$ 111</w:t>
            </w:r>
          </w:p>
        </w:tc>
      </w:tr>
      <w:tr>
        <w:trPr>
          <w:trHeight w:val="205"/>
        </w:trPr>
        <w:tc>
          <w:tcPr>
            <w:tcW w:w="336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r>
      <w:tr>
        <w:trPr>
          <w:trHeight w:val="205"/>
        </w:trPr>
        <w:tc>
          <w:tcPr>
            <w:tcW w:w="3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5"/>
        </w:trPr>
        <w:tc>
          <w:tcPr>
            <w:tcW w:w="336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60" w:type="dxa"/>
            <w:vAlign w:val="bottom"/>
          </w:tcPr>
          <w:p>
            <w:pPr>
              <w:spacing w:after="0"/>
              <w:rPr>
                <w:sz w:val="20"/>
                <w:szCs w:val="20"/>
                <w:color w:val="auto"/>
              </w:rPr>
            </w:pPr>
            <w:r>
              <w:rPr>
                <w:rFonts w:ascii="Arial" w:cs="Arial" w:eastAsia="Arial" w:hAnsi="Arial"/>
                <w:sz w:val="15"/>
                <w:szCs w:val="15"/>
                <w:color w:val="auto"/>
              </w:rPr>
              <w:t>Ratio of earnings to fixed charges</w:t>
            </w:r>
          </w:p>
        </w:tc>
        <w:tc>
          <w:tcPr>
            <w:tcW w:w="1160" w:type="dxa"/>
            <w:vAlign w:val="bottom"/>
          </w:tcPr>
          <w:p>
            <w:pPr>
              <w:jc w:val="right"/>
              <w:spacing w:after="0"/>
              <w:rPr>
                <w:sz w:val="20"/>
                <w:szCs w:val="20"/>
                <w:color w:val="auto"/>
              </w:rPr>
            </w:pPr>
            <w:r>
              <w:rPr>
                <w:rFonts w:ascii="Arial" w:cs="Arial" w:eastAsia="Arial" w:hAnsi="Arial"/>
                <w:sz w:val="15"/>
                <w:szCs w:val="15"/>
                <w:color w:val="auto"/>
              </w:rPr>
              <w:t>5.05</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6.72</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7.22</w:t>
            </w:r>
          </w:p>
        </w:tc>
        <w:tc>
          <w:tcPr>
            <w:tcW w:w="1420" w:type="dxa"/>
            <w:vAlign w:val="bottom"/>
            <w:gridSpan w:val="2"/>
          </w:tcPr>
          <w:p>
            <w:pPr>
              <w:jc w:val="right"/>
              <w:ind w:right="20"/>
              <w:spacing w:after="0"/>
              <w:rPr>
                <w:sz w:val="20"/>
                <w:szCs w:val="20"/>
                <w:color w:val="auto"/>
              </w:rPr>
            </w:pPr>
            <w:r>
              <w:rPr>
                <w:rFonts w:ascii="Arial" w:cs="Arial" w:eastAsia="Arial" w:hAnsi="Arial"/>
                <w:sz w:val="15"/>
                <w:szCs w:val="15"/>
                <w:color w:val="auto"/>
              </w:rPr>
              <w:t>8.65</w:t>
            </w:r>
          </w:p>
        </w:tc>
        <w:tc>
          <w:tcPr>
            <w:tcW w:w="1400" w:type="dxa"/>
            <w:vAlign w:val="bottom"/>
            <w:gridSpan w:val="2"/>
          </w:tcPr>
          <w:p>
            <w:pPr>
              <w:jc w:val="right"/>
              <w:ind w:right="20"/>
              <w:spacing w:after="0"/>
              <w:rPr>
                <w:sz w:val="20"/>
                <w:szCs w:val="20"/>
                <w:color w:val="auto"/>
              </w:rPr>
            </w:pPr>
            <w:r>
              <w:rPr>
                <w:rFonts w:ascii="Arial" w:cs="Arial" w:eastAsia="Arial" w:hAnsi="Arial"/>
                <w:sz w:val="15"/>
                <w:szCs w:val="15"/>
                <w:color w:val="auto"/>
              </w:rPr>
              <w:t>6.40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5.05</w:t>
            </w:r>
          </w:p>
        </w:tc>
      </w:tr>
      <w:tr>
        <w:trPr>
          <w:trHeight w:val="205"/>
        </w:trPr>
        <w:tc>
          <w:tcPr>
            <w:tcW w:w="336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r>
      <w:tr>
        <w:trPr>
          <w:trHeight w:val="205"/>
        </w:trPr>
        <w:tc>
          <w:tcPr>
            <w:tcW w:w="3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5"/>
        </w:trPr>
        <w:tc>
          <w:tcPr>
            <w:tcW w:w="336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shd w:val="clear" w:color="auto" w:fill="000000"/>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860" w:firstLine="3"/>
        <w:spacing w:after="0" w:line="323" w:lineRule="auto"/>
        <w:tabs>
          <w:tab w:leader="none" w:pos="222" w:val="left"/>
        </w:tabs>
        <w:numPr>
          <w:ilvl w:val="0"/>
          <w:numId w:val="1"/>
        </w:numPr>
        <w:rPr>
          <w:rFonts w:ascii="Arial" w:cs="Arial" w:eastAsia="Arial" w:hAnsi="Arial"/>
          <w:sz w:val="15"/>
          <w:szCs w:val="15"/>
          <w:color w:val="auto"/>
        </w:rPr>
      </w:pPr>
      <w:r>
        <w:rPr>
          <w:rFonts w:ascii="Arial" w:cs="Arial" w:eastAsia="Arial" w:hAnsi="Arial"/>
          <w:sz w:val="15"/>
          <w:szCs w:val="15"/>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520"/>
          </w:cols>
          <w:pgMar w:left="240" w:top="134" w:right="1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EXHIBIT 12.2</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SOUTHERN CALIFORNIA GAS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1"/>
                <w:szCs w:val="11"/>
                <w:color w:val="auto"/>
              </w:rPr>
              <w:t>Three months</w:t>
            </w:r>
          </w:p>
        </w:tc>
      </w:tr>
      <w:tr>
        <w:trPr>
          <w:trHeight w:val="205"/>
        </w:trPr>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1"/>
                <w:szCs w:val="11"/>
                <w:color w:val="auto"/>
              </w:rPr>
              <w:t>ended</w:t>
            </w:r>
          </w:p>
        </w:tc>
      </w:tr>
      <w:tr>
        <w:trPr>
          <w:trHeight w:val="203"/>
        </w:trPr>
        <w:tc>
          <w:tcPr>
            <w:tcW w:w="3820" w:type="dxa"/>
            <w:vAlign w:val="bottom"/>
            <w:gridSpan w:val="2"/>
          </w:tcPr>
          <w:p>
            <w:pPr>
              <w:ind w:left="3420"/>
              <w:spacing w:after="0"/>
              <w:rPr>
                <w:sz w:val="20"/>
                <w:szCs w:val="20"/>
                <w:color w:val="auto"/>
              </w:rPr>
            </w:pPr>
            <w:r>
              <w:rPr>
                <w:rFonts w:ascii="Arial" w:cs="Arial" w:eastAsia="Arial" w:hAnsi="Arial"/>
                <w:sz w:val="11"/>
                <w:szCs w:val="11"/>
                <w:color w:val="auto"/>
              </w:rPr>
              <w:t>2001</w:t>
            </w:r>
          </w:p>
        </w:tc>
        <w:tc>
          <w:tcPr>
            <w:tcW w:w="1340" w:type="dxa"/>
            <w:vAlign w:val="bottom"/>
            <w:gridSpan w:val="3"/>
          </w:tcPr>
          <w:p>
            <w:pPr>
              <w:jc w:val="right"/>
              <w:ind w:right="120"/>
              <w:spacing w:after="0"/>
              <w:rPr>
                <w:sz w:val="20"/>
                <w:szCs w:val="20"/>
                <w:color w:val="auto"/>
              </w:rPr>
            </w:pPr>
            <w:r>
              <w:rPr>
                <w:rFonts w:ascii="Arial" w:cs="Arial" w:eastAsia="Arial" w:hAnsi="Arial"/>
                <w:sz w:val="11"/>
                <w:szCs w:val="11"/>
                <w:color w:val="auto"/>
              </w:rPr>
              <w:t>2002</w:t>
            </w:r>
          </w:p>
        </w:tc>
        <w:tc>
          <w:tcPr>
            <w:tcW w:w="380" w:type="dxa"/>
            <w:vAlign w:val="bottom"/>
          </w:tcPr>
          <w:p>
            <w:pPr>
              <w:spacing w:after="0"/>
              <w:rPr>
                <w:sz w:val="17"/>
                <w:szCs w:val="17"/>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1"/>
                <w:szCs w:val="11"/>
                <w:color w:val="auto"/>
              </w:rPr>
              <w:t>2003</w:t>
            </w:r>
          </w:p>
        </w:tc>
        <w:tc>
          <w:tcPr>
            <w:tcW w:w="1360" w:type="dxa"/>
            <w:vAlign w:val="bottom"/>
            <w:gridSpan w:val="2"/>
          </w:tcPr>
          <w:p>
            <w:pPr>
              <w:jc w:val="right"/>
              <w:ind w:right="480"/>
              <w:spacing w:after="0"/>
              <w:rPr>
                <w:sz w:val="20"/>
                <w:szCs w:val="20"/>
                <w:color w:val="auto"/>
              </w:rPr>
            </w:pPr>
            <w:r>
              <w:rPr>
                <w:rFonts w:ascii="Arial" w:cs="Arial" w:eastAsia="Arial" w:hAnsi="Arial"/>
                <w:sz w:val="11"/>
                <w:szCs w:val="11"/>
                <w:color w:val="auto"/>
              </w:rPr>
              <w:t>2004</w:t>
            </w:r>
          </w:p>
        </w:tc>
        <w:tc>
          <w:tcPr>
            <w:tcW w:w="1360" w:type="dxa"/>
            <w:vAlign w:val="bottom"/>
            <w:gridSpan w:val="2"/>
          </w:tcPr>
          <w:p>
            <w:pPr>
              <w:jc w:val="right"/>
              <w:ind w:right="460"/>
              <w:spacing w:after="0"/>
              <w:rPr>
                <w:sz w:val="20"/>
                <w:szCs w:val="20"/>
                <w:color w:val="auto"/>
              </w:rPr>
            </w:pPr>
            <w:r>
              <w:rPr>
                <w:rFonts w:ascii="Arial" w:cs="Arial" w:eastAsia="Arial" w:hAnsi="Arial"/>
                <w:sz w:val="15"/>
                <w:szCs w:val="15"/>
                <w:color w:val="auto"/>
              </w:rPr>
              <w:t>2005</w:t>
            </w: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1"/>
                <w:szCs w:val="11"/>
                <w:color w:val="auto"/>
              </w:rPr>
              <w:t>March 31, 2006</w:t>
            </w:r>
          </w:p>
        </w:tc>
      </w:tr>
      <w:tr>
        <w:trPr>
          <w:trHeight w:val="205"/>
        </w:trPr>
        <w:tc>
          <w:tcPr>
            <w:tcW w:w="2940" w:type="dxa"/>
            <w:vAlign w:val="bottom"/>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8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r>
      <w:tr>
        <w:trPr>
          <w:trHeight w:val="207"/>
        </w:trPr>
        <w:tc>
          <w:tcPr>
            <w:tcW w:w="3820" w:type="dxa"/>
            <w:vAlign w:val="bottom"/>
            <w:gridSpan w:val="2"/>
          </w:tcPr>
          <w:p>
            <w:pPr>
              <w:spacing w:after="0"/>
              <w:rPr>
                <w:sz w:val="20"/>
                <w:szCs w:val="20"/>
                <w:color w:val="auto"/>
              </w:rPr>
            </w:pPr>
            <w:r>
              <w:rPr>
                <w:rFonts w:ascii="Arial" w:cs="Arial" w:eastAsia="Arial" w:hAnsi="Arial"/>
                <w:sz w:val="11"/>
                <w:szCs w:val="11"/>
                <w:color w:val="auto"/>
              </w:rPr>
              <w:t>Fixed Charges: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10"/>
        </w:trPr>
        <w:tc>
          <w:tcPr>
            <w:tcW w:w="3820" w:type="dxa"/>
            <w:vAlign w:val="bottom"/>
            <w:gridSpan w:val="2"/>
          </w:tcPr>
          <w:p>
            <w:pPr>
              <w:spacing w:after="0"/>
              <w:rPr>
                <w:sz w:val="20"/>
                <w:szCs w:val="20"/>
                <w:color w:val="auto"/>
              </w:rPr>
            </w:pPr>
            <w:r>
              <w:rPr>
                <w:rFonts w:ascii="Arial" w:cs="Arial" w:eastAsia="Arial" w:hAnsi="Arial"/>
                <w:sz w:val="11"/>
                <w:szCs w:val="11"/>
                <w:color w:val="auto"/>
              </w:rPr>
              <w:t>Interest</w:t>
            </w:r>
          </w:p>
        </w:tc>
        <w:tc>
          <w:tcPr>
            <w:tcW w:w="360" w:type="dxa"/>
            <w:vAlign w:val="bottom"/>
          </w:tcPr>
          <w:p>
            <w:pPr>
              <w:jc w:val="right"/>
              <w:spacing w:after="0"/>
              <w:rPr>
                <w:sz w:val="20"/>
                <w:szCs w:val="20"/>
                <w:color w:val="auto"/>
              </w:rPr>
            </w:pPr>
            <w:r>
              <w:rPr>
                <w:rFonts w:ascii="Arial" w:cs="Arial" w:eastAsia="Arial" w:hAnsi="Arial"/>
                <w:sz w:val="11"/>
                <w:szCs w:val="11"/>
                <w:color w:val="auto"/>
              </w:rPr>
              <w:t>$ 70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$ 47</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$ 48</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$ 40</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$ 50</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$ 19</w:t>
            </w:r>
          </w:p>
        </w:tc>
      </w:tr>
      <w:tr>
        <w:trPr>
          <w:trHeight w:val="409"/>
        </w:trPr>
        <w:tc>
          <w:tcPr>
            <w:tcW w:w="3820" w:type="dxa"/>
            <w:vAlign w:val="bottom"/>
            <w:gridSpan w:val="2"/>
          </w:tcPr>
          <w:p>
            <w:pPr>
              <w:spacing w:after="0"/>
              <w:rPr>
                <w:sz w:val="20"/>
                <w:szCs w:val="20"/>
                <w:color w:val="auto"/>
              </w:rPr>
            </w:pPr>
            <w:r>
              <w:rPr>
                <w:rFonts w:ascii="Arial" w:cs="Arial" w:eastAsia="Arial" w:hAnsi="Arial"/>
                <w:sz w:val="11"/>
                <w:szCs w:val="11"/>
                <w:color w:val="auto"/>
              </w:rPr>
              <w:t>Interest portion of annual rentals</w:t>
            </w:r>
          </w:p>
        </w:tc>
        <w:tc>
          <w:tcPr>
            <w:tcW w:w="36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1</w:t>
            </w:r>
          </w:p>
        </w:tc>
      </w:tr>
      <w:tr>
        <w:trPr>
          <w:trHeight w:val="205"/>
        </w:trPr>
        <w:tc>
          <w:tcPr>
            <w:tcW w:w="2940" w:type="dxa"/>
            <w:vAlign w:val="bottom"/>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8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r>
      <w:tr>
        <w:trPr>
          <w:trHeight w:val="410"/>
        </w:trPr>
        <w:tc>
          <w:tcPr>
            <w:tcW w:w="3820" w:type="dxa"/>
            <w:vAlign w:val="bottom"/>
            <w:gridSpan w:val="2"/>
          </w:tcPr>
          <w:p>
            <w:pPr>
              <w:spacing w:after="0"/>
              <w:rPr>
                <w:sz w:val="20"/>
                <w:szCs w:val="20"/>
                <w:color w:val="auto"/>
              </w:rPr>
            </w:pPr>
            <w:r>
              <w:rPr>
                <w:rFonts w:ascii="Arial" w:cs="Arial" w:eastAsia="Arial" w:hAnsi="Arial"/>
                <w:sz w:val="11"/>
                <w:szCs w:val="11"/>
                <w:color w:val="auto"/>
              </w:rPr>
              <w:t>Total fixed charges for purpose of ratio</w:t>
            </w:r>
          </w:p>
        </w:tc>
        <w:tc>
          <w:tcPr>
            <w:tcW w:w="360" w:type="dxa"/>
            <w:vAlign w:val="bottom"/>
          </w:tcPr>
          <w:p>
            <w:pPr>
              <w:jc w:val="right"/>
              <w:spacing w:after="0"/>
              <w:rPr>
                <w:sz w:val="20"/>
                <w:szCs w:val="20"/>
                <w:color w:val="auto"/>
              </w:rPr>
            </w:pPr>
            <w:r>
              <w:rPr>
                <w:rFonts w:ascii="Arial" w:cs="Arial" w:eastAsia="Arial" w:hAnsi="Arial"/>
                <w:sz w:val="11"/>
                <w:szCs w:val="11"/>
                <w:color w:val="auto"/>
              </w:rPr>
              <w:t>$ 73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$ 49</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$ 50</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$ 42</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$ 53</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$ 20</w:t>
            </w:r>
          </w:p>
        </w:tc>
      </w:tr>
      <w:tr>
        <w:trPr>
          <w:trHeight w:val="205"/>
        </w:trPr>
        <w:tc>
          <w:tcPr>
            <w:tcW w:w="2940" w:type="dxa"/>
            <w:vAlign w:val="bottom"/>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8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r>
      <w:tr>
        <w:trPr>
          <w:trHeight w:val="205"/>
        </w:trPr>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940" w:type="dxa"/>
            <w:vAlign w:val="bottom"/>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38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40" w:type="dxa"/>
            <w:vAlign w:val="bottom"/>
          </w:tcPr>
          <w:p>
            <w:pPr>
              <w:spacing w:after="0"/>
              <w:rPr>
                <w:sz w:val="20"/>
                <w:szCs w:val="20"/>
                <w:color w:val="auto"/>
              </w:rPr>
            </w:pPr>
            <w:r>
              <w:rPr>
                <w:rFonts w:ascii="Arial" w:cs="Arial" w:eastAsia="Arial" w:hAnsi="Arial"/>
                <w:sz w:val="11"/>
                <w:szCs w:val="11"/>
                <w:color w:val="auto"/>
              </w:rPr>
              <w:t>Earnings: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410"/>
        </w:trPr>
        <w:tc>
          <w:tcPr>
            <w:tcW w:w="2940" w:type="dxa"/>
            <w:vAlign w:val="bottom"/>
          </w:tcPr>
          <w:p>
            <w:pPr>
              <w:spacing w:after="0"/>
              <w:rPr>
                <w:sz w:val="20"/>
                <w:szCs w:val="20"/>
                <w:color w:val="auto"/>
              </w:rPr>
            </w:pPr>
            <w:r>
              <w:rPr>
                <w:rFonts w:ascii="Arial" w:cs="Arial" w:eastAsia="Arial" w:hAnsi="Arial"/>
                <w:sz w:val="11"/>
                <w:szCs w:val="11"/>
                <w:color w:val="auto"/>
              </w:rPr>
              <w:t>Pretax income from continuing operations</w:t>
            </w:r>
          </w:p>
        </w:tc>
        <w:tc>
          <w:tcPr>
            <w:tcW w:w="1240" w:type="dxa"/>
            <w:vAlign w:val="bottom"/>
          </w:tcPr>
          <w:p>
            <w:pPr>
              <w:jc w:val="right"/>
              <w:spacing w:after="0"/>
              <w:rPr>
                <w:sz w:val="20"/>
                <w:szCs w:val="20"/>
                <w:color w:val="auto"/>
              </w:rPr>
            </w:pPr>
            <w:r>
              <w:rPr>
                <w:rFonts w:ascii="Arial" w:cs="Arial" w:eastAsia="Arial" w:hAnsi="Arial"/>
                <w:sz w:val="11"/>
                <w:szCs w:val="11"/>
                <w:color w:val="auto"/>
              </w:rPr>
              <w:t>$ 377</w:t>
            </w:r>
          </w:p>
        </w:tc>
        <w:tc>
          <w:tcPr>
            <w:tcW w:w="1360" w:type="dxa"/>
            <w:vAlign w:val="bottom"/>
            <w:gridSpan w:val="2"/>
          </w:tcPr>
          <w:p>
            <w:pPr>
              <w:jc w:val="right"/>
              <w:ind w:right="20"/>
              <w:spacing w:after="0"/>
              <w:rPr>
                <w:sz w:val="20"/>
                <w:szCs w:val="20"/>
                <w:color w:val="auto"/>
              </w:rPr>
            </w:pPr>
            <w:r>
              <w:rPr>
                <w:rFonts w:ascii="Arial" w:cs="Arial" w:eastAsia="Arial" w:hAnsi="Arial"/>
                <w:sz w:val="11"/>
                <w:szCs w:val="11"/>
                <w:color w:val="auto"/>
              </w:rPr>
              <w:t>$ 391</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$ 360</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$ 387</w:t>
            </w:r>
          </w:p>
        </w:tc>
        <w:tc>
          <w:tcPr>
            <w:tcW w:w="1360" w:type="dxa"/>
            <w:vAlign w:val="bottom"/>
            <w:gridSpan w:val="2"/>
          </w:tcPr>
          <w:p>
            <w:pPr>
              <w:jc w:val="right"/>
              <w:ind w:right="20"/>
              <w:spacing w:after="0"/>
              <w:rPr>
                <w:sz w:val="20"/>
                <w:szCs w:val="20"/>
                <w:color w:val="auto"/>
              </w:rPr>
            </w:pPr>
            <w:r>
              <w:rPr>
                <w:rFonts w:ascii="Arial" w:cs="Arial" w:eastAsia="Arial" w:hAnsi="Arial"/>
                <w:sz w:val="11"/>
                <w:szCs w:val="11"/>
                <w:color w:val="auto"/>
              </w:rPr>
              <w:t>$ 309</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$ 86</w:t>
            </w:r>
          </w:p>
        </w:tc>
      </w:tr>
      <w:tr>
        <w:trPr>
          <w:trHeight w:val="409"/>
        </w:trPr>
        <w:tc>
          <w:tcPr>
            <w:tcW w:w="2940" w:type="dxa"/>
            <w:vAlign w:val="bottom"/>
          </w:tcPr>
          <w:p>
            <w:pPr>
              <w:spacing w:after="0"/>
              <w:rPr>
                <w:sz w:val="20"/>
                <w:szCs w:val="20"/>
                <w:color w:val="auto"/>
              </w:rPr>
            </w:pPr>
            <w:r>
              <w:rPr>
                <w:rFonts w:ascii="Arial" w:cs="Arial" w:eastAsia="Arial" w:hAnsi="Arial"/>
                <w:sz w:val="11"/>
                <w:szCs w:val="11"/>
                <w:color w:val="auto"/>
              </w:rPr>
              <w:t>Add: total fixed charges (from above)</w:t>
            </w:r>
          </w:p>
        </w:tc>
        <w:tc>
          <w:tcPr>
            <w:tcW w:w="1240" w:type="dxa"/>
            <w:vAlign w:val="bottom"/>
          </w:tcPr>
          <w:p>
            <w:pPr>
              <w:jc w:val="right"/>
              <w:spacing w:after="0"/>
              <w:rPr>
                <w:sz w:val="20"/>
                <w:szCs w:val="20"/>
                <w:color w:val="auto"/>
              </w:rPr>
            </w:pPr>
            <w:r>
              <w:rPr>
                <w:rFonts w:ascii="Arial" w:cs="Arial" w:eastAsia="Arial" w:hAnsi="Arial"/>
                <w:sz w:val="11"/>
                <w:szCs w:val="11"/>
                <w:color w:val="auto"/>
              </w:rPr>
              <w:t>73</w:t>
            </w:r>
          </w:p>
        </w:tc>
        <w:tc>
          <w:tcPr>
            <w:tcW w:w="1360" w:type="dxa"/>
            <w:vAlign w:val="bottom"/>
            <w:gridSpan w:val="2"/>
          </w:tcPr>
          <w:p>
            <w:pPr>
              <w:jc w:val="right"/>
              <w:ind w:right="20"/>
              <w:spacing w:after="0"/>
              <w:rPr>
                <w:sz w:val="20"/>
                <w:szCs w:val="20"/>
                <w:color w:val="auto"/>
              </w:rPr>
            </w:pPr>
            <w:r>
              <w:rPr>
                <w:rFonts w:ascii="Arial" w:cs="Arial" w:eastAsia="Arial" w:hAnsi="Arial"/>
                <w:sz w:val="11"/>
                <w:szCs w:val="11"/>
                <w:color w:val="auto"/>
              </w:rPr>
              <w:t>49</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50</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42</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53</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20</w:t>
            </w:r>
          </w:p>
        </w:tc>
      </w:tr>
      <w:tr>
        <w:trPr>
          <w:trHeight w:val="205"/>
        </w:trPr>
        <w:tc>
          <w:tcPr>
            <w:tcW w:w="294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r>
      <w:tr>
        <w:trPr>
          <w:trHeight w:val="410"/>
        </w:trPr>
        <w:tc>
          <w:tcPr>
            <w:tcW w:w="2940" w:type="dxa"/>
            <w:vAlign w:val="bottom"/>
          </w:tcPr>
          <w:p>
            <w:pPr>
              <w:spacing w:after="0"/>
              <w:rPr>
                <w:sz w:val="20"/>
                <w:szCs w:val="20"/>
                <w:color w:val="auto"/>
              </w:rPr>
            </w:pPr>
            <w:r>
              <w:rPr>
                <w:rFonts w:ascii="Arial" w:cs="Arial" w:eastAsia="Arial" w:hAnsi="Arial"/>
                <w:sz w:val="11"/>
                <w:szCs w:val="11"/>
                <w:color w:val="auto"/>
              </w:rPr>
              <w:t>Total earnings for purpose of ratio</w:t>
            </w:r>
          </w:p>
        </w:tc>
        <w:tc>
          <w:tcPr>
            <w:tcW w:w="1240" w:type="dxa"/>
            <w:vAlign w:val="bottom"/>
          </w:tcPr>
          <w:p>
            <w:pPr>
              <w:jc w:val="right"/>
              <w:spacing w:after="0"/>
              <w:rPr>
                <w:sz w:val="20"/>
                <w:szCs w:val="20"/>
                <w:color w:val="auto"/>
              </w:rPr>
            </w:pPr>
            <w:r>
              <w:rPr>
                <w:rFonts w:ascii="Arial" w:cs="Arial" w:eastAsia="Arial" w:hAnsi="Arial"/>
                <w:sz w:val="11"/>
                <w:szCs w:val="11"/>
                <w:color w:val="auto"/>
              </w:rPr>
              <w:t>$ 450</w:t>
            </w:r>
          </w:p>
        </w:tc>
        <w:tc>
          <w:tcPr>
            <w:tcW w:w="1360" w:type="dxa"/>
            <w:vAlign w:val="bottom"/>
            <w:gridSpan w:val="2"/>
          </w:tcPr>
          <w:p>
            <w:pPr>
              <w:jc w:val="right"/>
              <w:ind w:right="20"/>
              <w:spacing w:after="0"/>
              <w:rPr>
                <w:sz w:val="20"/>
                <w:szCs w:val="20"/>
                <w:color w:val="auto"/>
              </w:rPr>
            </w:pPr>
            <w:r>
              <w:rPr>
                <w:rFonts w:ascii="Arial" w:cs="Arial" w:eastAsia="Arial" w:hAnsi="Arial"/>
                <w:sz w:val="11"/>
                <w:szCs w:val="11"/>
                <w:color w:val="auto"/>
              </w:rPr>
              <w:t>$ 440</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$ 410</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$ 429</w:t>
            </w:r>
          </w:p>
        </w:tc>
        <w:tc>
          <w:tcPr>
            <w:tcW w:w="1360" w:type="dxa"/>
            <w:vAlign w:val="bottom"/>
            <w:gridSpan w:val="2"/>
          </w:tcPr>
          <w:p>
            <w:pPr>
              <w:jc w:val="right"/>
              <w:ind w:right="20"/>
              <w:spacing w:after="0"/>
              <w:rPr>
                <w:sz w:val="20"/>
                <w:szCs w:val="20"/>
                <w:color w:val="auto"/>
              </w:rPr>
            </w:pPr>
            <w:r>
              <w:rPr>
                <w:rFonts w:ascii="Arial" w:cs="Arial" w:eastAsia="Arial" w:hAnsi="Arial"/>
                <w:sz w:val="11"/>
                <w:szCs w:val="11"/>
                <w:color w:val="auto"/>
              </w:rPr>
              <w:t>$ 362</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$ 106</w:t>
            </w:r>
          </w:p>
        </w:tc>
      </w:tr>
      <w:tr>
        <w:trPr>
          <w:trHeight w:val="205"/>
        </w:trPr>
        <w:tc>
          <w:tcPr>
            <w:tcW w:w="294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r>
      <w:tr>
        <w:trPr>
          <w:trHeight w:val="205"/>
        </w:trPr>
        <w:tc>
          <w:tcPr>
            <w:tcW w:w="2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94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40" w:type="dxa"/>
            <w:vAlign w:val="bottom"/>
          </w:tcPr>
          <w:p>
            <w:pPr>
              <w:spacing w:after="0"/>
              <w:rPr>
                <w:sz w:val="20"/>
                <w:szCs w:val="20"/>
                <w:color w:val="auto"/>
              </w:rPr>
            </w:pPr>
            <w:r>
              <w:rPr>
                <w:rFonts w:ascii="Arial" w:cs="Arial" w:eastAsia="Arial" w:hAnsi="Arial"/>
                <w:sz w:val="11"/>
                <w:szCs w:val="11"/>
                <w:color w:val="auto"/>
              </w:rPr>
              <w:t>Ratio of earnings to fixed charges</w:t>
            </w:r>
          </w:p>
        </w:tc>
        <w:tc>
          <w:tcPr>
            <w:tcW w:w="1240" w:type="dxa"/>
            <w:vAlign w:val="bottom"/>
          </w:tcPr>
          <w:p>
            <w:pPr>
              <w:jc w:val="right"/>
              <w:spacing w:after="0"/>
              <w:rPr>
                <w:sz w:val="20"/>
                <w:szCs w:val="20"/>
                <w:color w:val="auto"/>
              </w:rPr>
            </w:pPr>
            <w:r>
              <w:rPr>
                <w:rFonts w:ascii="Arial" w:cs="Arial" w:eastAsia="Arial" w:hAnsi="Arial"/>
                <w:sz w:val="11"/>
                <w:szCs w:val="11"/>
                <w:color w:val="auto"/>
              </w:rPr>
              <w:t>6.16</w:t>
            </w:r>
          </w:p>
        </w:tc>
        <w:tc>
          <w:tcPr>
            <w:tcW w:w="1360" w:type="dxa"/>
            <w:vAlign w:val="bottom"/>
            <w:gridSpan w:val="2"/>
          </w:tcPr>
          <w:p>
            <w:pPr>
              <w:jc w:val="right"/>
              <w:ind w:right="20"/>
              <w:spacing w:after="0"/>
              <w:rPr>
                <w:sz w:val="20"/>
                <w:szCs w:val="20"/>
                <w:color w:val="auto"/>
              </w:rPr>
            </w:pPr>
            <w:r>
              <w:rPr>
                <w:rFonts w:ascii="Arial" w:cs="Arial" w:eastAsia="Arial" w:hAnsi="Arial"/>
                <w:sz w:val="11"/>
                <w:szCs w:val="11"/>
                <w:color w:val="auto"/>
              </w:rPr>
              <w:t>8.98</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8.20</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10.21</w:t>
            </w:r>
          </w:p>
        </w:tc>
        <w:tc>
          <w:tcPr>
            <w:tcW w:w="1360" w:type="dxa"/>
            <w:vAlign w:val="bottom"/>
            <w:gridSpan w:val="2"/>
          </w:tcPr>
          <w:p>
            <w:pPr>
              <w:jc w:val="right"/>
              <w:ind w:right="20"/>
              <w:spacing w:after="0"/>
              <w:rPr>
                <w:sz w:val="20"/>
                <w:szCs w:val="20"/>
                <w:color w:val="auto"/>
              </w:rPr>
            </w:pPr>
            <w:r>
              <w:rPr>
                <w:rFonts w:ascii="Arial" w:cs="Arial" w:eastAsia="Arial" w:hAnsi="Arial"/>
                <w:sz w:val="11"/>
                <w:szCs w:val="11"/>
                <w:color w:val="auto"/>
              </w:rPr>
              <w:t>6.83</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5.30</w:t>
            </w:r>
          </w:p>
        </w:tc>
      </w:tr>
      <w:tr>
        <w:trPr>
          <w:trHeight w:val="205"/>
        </w:trPr>
        <w:tc>
          <w:tcPr>
            <w:tcW w:w="294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r>
      <w:tr>
        <w:trPr>
          <w:trHeight w:val="205"/>
        </w:trPr>
        <w:tc>
          <w:tcPr>
            <w:tcW w:w="2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94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r>
    </w:tbl>
    <w:p>
      <w:pPr>
        <w:sectPr>
          <w:pgSz w:w="11900" w:h="16838" w:orient="portrait"/>
          <w:cols w:equalWidth="0" w:num="1">
            <w:col w:w="10940"/>
          </w:cols>
          <w:pgMar w:left="320" w:top="119" w:right="6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5"/>
          <w:szCs w:val="15"/>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Edwin A. Guiles, certify that:</w:t>
      </w:r>
    </w:p>
    <w:p>
      <w:pPr>
        <w:spacing w:after="0" w:line="158" w:lineRule="exact"/>
        <w:rPr>
          <w:sz w:val="20"/>
          <w:szCs w:val="20"/>
          <w:color w:val="auto"/>
        </w:rPr>
      </w:pPr>
    </w:p>
    <w:p>
      <w:pPr>
        <w:ind w:left="440" w:hanging="141"/>
        <w:spacing w:after="0"/>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Pacific Enterprises;</w:t>
      </w:r>
    </w:p>
    <w:p>
      <w:pPr>
        <w:spacing w:after="0" w:line="158" w:lineRule="exact"/>
        <w:rPr>
          <w:rFonts w:ascii="Times New Roman" w:cs="Times New Roman" w:eastAsia="Times New Roman" w:hAnsi="Times New Roman"/>
          <w:sz w:val="15"/>
          <w:szCs w:val="15"/>
          <w:color w:val="auto"/>
        </w:rPr>
      </w:pPr>
    </w:p>
    <w:p>
      <w:pPr>
        <w:ind w:left="440" w:right="40" w:hanging="141"/>
        <w:spacing w:after="0" w:line="260" w:lineRule="auto"/>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440" w:right="140" w:hanging="141"/>
        <w:spacing w:after="0" w:line="253" w:lineRule="auto"/>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Times New Roman" w:cs="Times New Roman" w:eastAsia="Times New Roman" w:hAnsi="Times New Roman"/>
          <w:sz w:val="15"/>
          <w:szCs w:val="15"/>
          <w:color w:val="auto"/>
        </w:rPr>
      </w:pPr>
    </w:p>
    <w:p>
      <w:pPr>
        <w:ind w:left="440" w:right="120" w:hanging="141"/>
        <w:spacing w:after="0" w:line="267" w:lineRule="auto"/>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19" w:lineRule="exact"/>
        <w:rPr>
          <w:rFonts w:ascii="Times New Roman" w:cs="Times New Roman" w:eastAsia="Times New Roman" w:hAnsi="Times New Roman"/>
          <w:sz w:val="15"/>
          <w:szCs w:val="15"/>
          <w:color w:val="auto"/>
        </w:rPr>
      </w:pPr>
    </w:p>
    <w:p>
      <w:pPr>
        <w:ind w:left="900" w:right="20" w:hanging="134"/>
        <w:spacing w:after="0" w:line="258" w:lineRule="auto"/>
        <w:tabs>
          <w:tab w:leader="none" w:pos="900" w:val="left"/>
        </w:tabs>
        <w:numPr>
          <w:ilvl w:val="1"/>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jc w:val="both"/>
        <w:ind w:left="900" w:right="380" w:hanging="145"/>
        <w:spacing w:after="0" w:line="253" w:lineRule="auto"/>
        <w:tabs>
          <w:tab w:leader="none" w:pos="900" w:val="left"/>
        </w:tabs>
        <w:numPr>
          <w:ilvl w:val="1"/>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5"/>
          <w:szCs w:val="15"/>
          <w:color w:val="auto"/>
        </w:rPr>
      </w:pPr>
    </w:p>
    <w:p>
      <w:pPr>
        <w:ind w:left="900" w:right="80" w:hanging="134"/>
        <w:spacing w:after="0" w:line="253" w:lineRule="auto"/>
        <w:tabs>
          <w:tab w:leader="none" w:pos="900" w:val="left"/>
        </w:tabs>
        <w:numPr>
          <w:ilvl w:val="1"/>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 w:lineRule="exact"/>
        <w:rPr>
          <w:rFonts w:ascii="Times New Roman" w:cs="Times New Roman" w:eastAsia="Times New Roman" w:hAnsi="Times New Roman"/>
          <w:sz w:val="15"/>
          <w:szCs w:val="15"/>
          <w:color w:val="auto"/>
        </w:rPr>
      </w:pPr>
    </w:p>
    <w:p>
      <w:pPr>
        <w:ind w:left="900" w:right="200" w:hanging="145"/>
        <w:spacing w:after="0" w:line="267" w:lineRule="auto"/>
        <w:tabs>
          <w:tab w:leader="none" w:pos="900" w:val="left"/>
        </w:tabs>
        <w:numPr>
          <w:ilvl w:val="1"/>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9" w:lineRule="exact"/>
        <w:rPr>
          <w:rFonts w:ascii="Times New Roman" w:cs="Times New Roman" w:eastAsia="Times New Roman" w:hAnsi="Times New Roman"/>
          <w:sz w:val="15"/>
          <w:szCs w:val="15"/>
          <w:color w:val="auto"/>
        </w:rPr>
      </w:pPr>
    </w:p>
    <w:p>
      <w:pPr>
        <w:ind w:left="440" w:right="300" w:hanging="141"/>
        <w:spacing w:after="0" w:line="280" w:lineRule="auto"/>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0" w:lineRule="exact"/>
        <w:rPr>
          <w:rFonts w:ascii="Times New Roman" w:cs="Times New Roman" w:eastAsia="Times New Roman" w:hAnsi="Times New Roman"/>
          <w:sz w:val="15"/>
          <w:szCs w:val="15"/>
          <w:color w:val="auto"/>
        </w:rPr>
      </w:pPr>
    </w:p>
    <w:p>
      <w:pPr>
        <w:ind w:left="900" w:right="260" w:hanging="134"/>
        <w:spacing w:after="0" w:line="260" w:lineRule="auto"/>
        <w:tabs>
          <w:tab w:leader="none" w:pos="900" w:val="left"/>
        </w:tabs>
        <w:numPr>
          <w:ilvl w:val="1"/>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900" w:hanging="145"/>
        <w:spacing w:after="0"/>
        <w:tabs>
          <w:tab w:leader="none" w:pos="900" w:val="left"/>
        </w:tabs>
        <w:numPr>
          <w:ilvl w:val="1"/>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2, 2006</w:t>
      </w:r>
    </w:p>
    <w:p>
      <w:pPr>
        <w:spacing w:after="0" w:line="272"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5"/>
          <w:szCs w:val="15"/>
          <w:u w:val="single" w:color="auto"/>
          <w:color w:val="auto"/>
        </w:rPr>
        <w:t>/S/ Edwin A. Guiles</w:t>
      </w:r>
    </w:p>
    <w:p>
      <w:pPr>
        <w:spacing w:after="0" w:line="170"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5"/>
          <w:szCs w:val="15"/>
          <w:color w:val="auto"/>
        </w:rPr>
        <w:t>Edwin A. Guiles</w:t>
      </w:r>
    </w:p>
    <w:p>
      <w:pPr>
        <w:spacing w:after="0" w:line="170"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5"/>
          <w:szCs w:val="15"/>
          <w:color w:val="auto"/>
        </w:rPr>
        <w:t>Chief Executive Officer</w:t>
      </w:r>
    </w:p>
    <w:p>
      <w:pPr>
        <w:sectPr>
          <w:pgSz w:w="11900" w:h="16838" w:orient="portrait"/>
          <w:cols w:equalWidth="0" w:num="1">
            <w:col w:w="11440"/>
          </w:cols>
          <w:pgMar w:left="240" w:top="128" w:right="2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5"/>
          <w:szCs w:val="15"/>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Steven D. Davis, certify that:</w:t>
      </w:r>
    </w:p>
    <w:p>
      <w:pPr>
        <w:spacing w:after="0" w:line="158" w:lineRule="exact"/>
        <w:rPr>
          <w:sz w:val="20"/>
          <w:szCs w:val="20"/>
          <w:color w:val="auto"/>
        </w:rPr>
      </w:pPr>
    </w:p>
    <w:p>
      <w:pPr>
        <w:ind w:left="440" w:hanging="141"/>
        <w:spacing w:after="0"/>
        <w:tabs>
          <w:tab w:leader="none" w:pos="4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Pacific Enterprises;</w:t>
      </w:r>
    </w:p>
    <w:p>
      <w:pPr>
        <w:spacing w:after="0" w:line="158" w:lineRule="exact"/>
        <w:rPr>
          <w:rFonts w:ascii="Times New Roman" w:cs="Times New Roman" w:eastAsia="Times New Roman" w:hAnsi="Times New Roman"/>
          <w:sz w:val="15"/>
          <w:szCs w:val="15"/>
          <w:color w:val="auto"/>
        </w:rPr>
      </w:pPr>
    </w:p>
    <w:p>
      <w:pPr>
        <w:ind w:left="440" w:right="40" w:hanging="141"/>
        <w:spacing w:after="0" w:line="260" w:lineRule="auto"/>
        <w:tabs>
          <w:tab w:leader="none" w:pos="4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440" w:right="140" w:hanging="141"/>
        <w:spacing w:after="0" w:line="253" w:lineRule="auto"/>
        <w:tabs>
          <w:tab w:leader="none" w:pos="4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Times New Roman" w:cs="Times New Roman" w:eastAsia="Times New Roman" w:hAnsi="Times New Roman"/>
          <w:sz w:val="15"/>
          <w:szCs w:val="15"/>
          <w:color w:val="auto"/>
        </w:rPr>
      </w:pPr>
    </w:p>
    <w:p>
      <w:pPr>
        <w:ind w:left="440" w:right="120" w:hanging="141"/>
        <w:spacing w:after="0" w:line="267" w:lineRule="auto"/>
        <w:tabs>
          <w:tab w:leader="none" w:pos="4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19" w:lineRule="exact"/>
        <w:rPr>
          <w:rFonts w:ascii="Times New Roman" w:cs="Times New Roman" w:eastAsia="Times New Roman" w:hAnsi="Times New Roman"/>
          <w:sz w:val="15"/>
          <w:szCs w:val="15"/>
          <w:color w:val="auto"/>
        </w:rPr>
      </w:pPr>
    </w:p>
    <w:p>
      <w:pPr>
        <w:ind w:left="900" w:right="20" w:hanging="134"/>
        <w:spacing w:after="0" w:line="258" w:lineRule="auto"/>
        <w:tabs>
          <w:tab w:leader="none" w:pos="90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jc w:val="both"/>
        <w:ind w:left="900" w:right="380" w:hanging="145"/>
        <w:spacing w:after="0" w:line="253" w:lineRule="auto"/>
        <w:tabs>
          <w:tab w:leader="none" w:pos="90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5"/>
          <w:szCs w:val="15"/>
          <w:color w:val="auto"/>
        </w:rPr>
      </w:pPr>
    </w:p>
    <w:p>
      <w:pPr>
        <w:ind w:left="900" w:right="80" w:hanging="134"/>
        <w:spacing w:after="0" w:line="253" w:lineRule="auto"/>
        <w:tabs>
          <w:tab w:leader="none" w:pos="90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 w:lineRule="exact"/>
        <w:rPr>
          <w:rFonts w:ascii="Times New Roman" w:cs="Times New Roman" w:eastAsia="Times New Roman" w:hAnsi="Times New Roman"/>
          <w:sz w:val="15"/>
          <w:szCs w:val="15"/>
          <w:color w:val="auto"/>
        </w:rPr>
      </w:pPr>
    </w:p>
    <w:p>
      <w:pPr>
        <w:ind w:left="900" w:right="200" w:hanging="145"/>
        <w:spacing w:after="0" w:line="267" w:lineRule="auto"/>
        <w:tabs>
          <w:tab w:leader="none" w:pos="90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9" w:lineRule="exact"/>
        <w:rPr>
          <w:rFonts w:ascii="Times New Roman" w:cs="Times New Roman" w:eastAsia="Times New Roman" w:hAnsi="Times New Roman"/>
          <w:sz w:val="15"/>
          <w:szCs w:val="15"/>
          <w:color w:val="auto"/>
        </w:rPr>
      </w:pPr>
    </w:p>
    <w:p>
      <w:pPr>
        <w:ind w:left="440" w:right="300" w:hanging="141"/>
        <w:spacing w:after="0" w:line="280" w:lineRule="auto"/>
        <w:tabs>
          <w:tab w:leader="none" w:pos="4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0" w:lineRule="exact"/>
        <w:rPr>
          <w:rFonts w:ascii="Times New Roman" w:cs="Times New Roman" w:eastAsia="Times New Roman" w:hAnsi="Times New Roman"/>
          <w:sz w:val="15"/>
          <w:szCs w:val="15"/>
          <w:color w:val="auto"/>
        </w:rPr>
      </w:pPr>
    </w:p>
    <w:p>
      <w:pPr>
        <w:ind w:left="900" w:right="260" w:hanging="134"/>
        <w:spacing w:after="0" w:line="260" w:lineRule="auto"/>
        <w:tabs>
          <w:tab w:leader="none" w:pos="90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900" w:hanging="145"/>
        <w:spacing w:after="0"/>
        <w:tabs>
          <w:tab w:leader="none" w:pos="90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2, 2006</w:t>
      </w:r>
    </w:p>
    <w:p>
      <w:pPr>
        <w:spacing w:after="0" w:line="27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5"/>
          <w:szCs w:val="15"/>
          <w:u w:val="single" w:color="auto"/>
          <w:color w:val="auto"/>
        </w:rPr>
        <w:t>/S/ Steven D. Davis</w:t>
      </w:r>
    </w:p>
    <w:p>
      <w:pPr>
        <w:spacing w:after="0" w:line="170"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5"/>
          <w:szCs w:val="15"/>
          <w:color w:val="auto"/>
        </w:rPr>
        <w:t>Steven D. Davis</w:t>
      </w:r>
    </w:p>
    <w:p>
      <w:pPr>
        <w:spacing w:after="0" w:line="170"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440"/>
          </w:cols>
          <w:pgMar w:left="240" w:top="128" w:right="21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5"/>
          <w:szCs w:val="15"/>
          <w:color w:val="auto"/>
        </w:rPr>
        <w:t>EXHIBIT 31.3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Edwin A. Guiles, certify that:</w:t>
      </w:r>
    </w:p>
    <w:p>
      <w:pPr>
        <w:spacing w:after="0" w:line="158" w:lineRule="exact"/>
        <w:rPr>
          <w:sz w:val="20"/>
          <w:szCs w:val="20"/>
          <w:color w:val="auto"/>
        </w:rPr>
      </w:pPr>
    </w:p>
    <w:p>
      <w:pPr>
        <w:ind w:left="440" w:hanging="141"/>
        <w:spacing w:after="0"/>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Southern California Gas Company;</w:t>
      </w:r>
    </w:p>
    <w:p>
      <w:pPr>
        <w:spacing w:after="0" w:line="158" w:lineRule="exact"/>
        <w:rPr>
          <w:rFonts w:ascii="Times New Roman" w:cs="Times New Roman" w:eastAsia="Times New Roman" w:hAnsi="Times New Roman"/>
          <w:sz w:val="15"/>
          <w:szCs w:val="15"/>
          <w:color w:val="auto"/>
        </w:rPr>
      </w:pPr>
    </w:p>
    <w:p>
      <w:pPr>
        <w:ind w:left="440" w:right="40" w:hanging="141"/>
        <w:spacing w:after="0" w:line="260" w:lineRule="auto"/>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440" w:right="140" w:hanging="141"/>
        <w:spacing w:after="0" w:line="253" w:lineRule="auto"/>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Times New Roman" w:cs="Times New Roman" w:eastAsia="Times New Roman" w:hAnsi="Times New Roman"/>
          <w:sz w:val="15"/>
          <w:szCs w:val="15"/>
          <w:color w:val="auto"/>
        </w:rPr>
      </w:pPr>
    </w:p>
    <w:p>
      <w:pPr>
        <w:ind w:left="440" w:right="120" w:hanging="141"/>
        <w:spacing w:after="0" w:line="267" w:lineRule="auto"/>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19" w:lineRule="exact"/>
        <w:rPr>
          <w:rFonts w:ascii="Times New Roman" w:cs="Times New Roman" w:eastAsia="Times New Roman" w:hAnsi="Times New Roman"/>
          <w:sz w:val="15"/>
          <w:szCs w:val="15"/>
          <w:color w:val="auto"/>
        </w:rPr>
      </w:pPr>
    </w:p>
    <w:p>
      <w:pPr>
        <w:ind w:left="900" w:right="20" w:hanging="134"/>
        <w:spacing w:after="0" w:line="258" w:lineRule="auto"/>
        <w:tabs>
          <w:tab w:leader="none" w:pos="900" w:val="left"/>
        </w:tabs>
        <w:numPr>
          <w:ilvl w:val="1"/>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jc w:val="both"/>
        <w:ind w:left="900" w:right="380" w:hanging="145"/>
        <w:spacing w:after="0" w:line="253" w:lineRule="auto"/>
        <w:tabs>
          <w:tab w:leader="none" w:pos="900" w:val="left"/>
        </w:tabs>
        <w:numPr>
          <w:ilvl w:val="1"/>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5"/>
          <w:szCs w:val="15"/>
          <w:color w:val="auto"/>
        </w:rPr>
      </w:pPr>
    </w:p>
    <w:p>
      <w:pPr>
        <w:ind w:left="900" w:right="80" w:hanging="134"/>
        <w:spacing w:after="0" w:line="253" w:lineRule="auto"/>
        <w:tabs>
          <w:tab w:leader="none" w:pos="900" w:val="left"/>
        </w:tabs>
        <w:numPr>
          <w:ilvl w:val="1"/>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 w:lineRule="exact"/>
        <w:rPr>
          <w:rFonts w:ascii="Times New Roman" w:cs="Times New Roman" w:eastAsia="Times New Roman" w:hAnsi="Times New Roman"/>
          <w:sz w:val="15"/>
          <w:szCs w:val="15"/>
          <w:color w:val="auto"/>
        </w:rPr>
      </w:pPr>
    </w:p>
    <w:p>
      <w:pPr>
        <w:ind w:left="900" w:right="200" w:hanging="145"/>
        <w:spacing w:after="0" w:line="267" w:lineRule="auto"/>
        <w:tabs>
          <w:tab w:leader="none" w:pos="900" w:val="left"/>
        </w:tabs>
        <w:numPr>
          <w:ilvl w:val="1"/>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9" w:lineRule="exact"/>
        <w:rPr>
          <w:rFonts w:ascii="Times New Roman" w:cs="Times New Roman" w:eastAsia="Times New Roman" w:hAnsi="Times New Roman"/>
          <w:sz w:val="15"/>
          <w:szCs w:val="15"/>
          <w:color w:val="auto"/>
        </w:rPr>
      </w:pPr>
    </w:p>
    <w:p>
      <w:pPr>
        <w:ind w:left="440" w:right="300" w:hanging="141"/>
        <w:spacing w:after="0" w:line="280" w:lineRule="auto"/>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0" w:lineRule="exact"/>
        <w:rPr>
          <w:rFonts w:ascii="Times New Roman" w:cs="Times New Roman" w:eastAsia="Times New Roman" w:hAnsi="Times New Roman"/>
          <w:sz w:val="15"/>
          <w:szCs w:val="15"/>
          <w:color w:val="auto"/>
        </w:rPr>
      </w:pPr>
    </w:p>
    <w:p>
      <w:pPr>
        <w:ind w:left="900" w:right="260" w:hanging="134"/>
        <w:spacing w:after="0" w:line="260" w:lineRule="auto"/>
        <w:tabs>
          <w:tab w:leader="none" w:pos="900" w:val="left"/>
        </w:tabs>
        <w:numPr>
          <w:ilvl w:val="1"/>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900" w:hanging="145"/>
        <w:spacing w:after="0"/>
        <w:tabs>
          <w:tab w:leader="none" w:pos="900" w:val="left"/>
        </w:tabs>
        <w:numPr>
          <w:ilvl w:val="1"/>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2, 2006</w:t>
      </w:r>
    </w:p>
    <w:p>
      <w:pPr>
        <w:spacing w:after="0" w:line="272"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5"/>
          <w:szCs w:val="15"/>
          <w:u w:val="single" w:color="auto"/>
          <w:color w:val="auto"/>
        </w:rPr>
        <w:t>/S/ Edwin A. Guiles</w:t>
      </w:r>
    </w:p>
    <w:p>
      <w:pPr>
        <w:spacing w:after="0" w:line="170"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5"/>
          <w:szCs w:val="15"/>
          <w:color w:val="auto"/>
        </w:rPr>
        <w:t>Edwin A. Guiles</w:t>
      </w:r>
    </w:p>
    <w:p>
      <w:pPr>
        <w:spacing w:after="0" w:line="170"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5"/>
          <w:szCs w:val="15"/>
          <w:color w:val="auto"/>
        </w:rPr>
        <w:t>Chief Executive Officer</w:t>
      </w:r>
    </w:p>
    <w:p>
      <w:pPr>
        <w:sectPr>
          <w:pgSz w:w="11900" w:h="16838" w:orient="portrait"/>
          <w:cols w:equalWidth="0" w:num="1">
            <w:col w:w="11440"/>
          </w:cols>
          <w:pgMar w:left="240" w:top="128" w:right="2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5"/>
          <w:szCs w:val="15"/>
          <w:color w:val="auto"/>
        </w:rPr>
        <w:t>EXHIBIT 31.4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Steven D. Davis, certify that:</w:t>
      </w:r>
    </w:p>
    <w:p>
      <w:pPr>
        <w:spacing w:after="0" w:line="158" w:lineRule="exact"/>
        <w:rPr>
          <w:sz w:val="20"/>
          <w:szCs w:val="20"/>
          <w:color w:val="auto"/>
        </w:rPr>
      </w:pPr>
    </w:p>
    <w:p>
      <w:pPr>
        <w:ind w:left="440" w:hanging="141"/>
        <w:spacing w:after="0"/>
        <w:tabs>
          <w:tab w:leader="none" w:pos="4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Southern California Gas Company;</w:t>
      </w:r>
    </w:p>
    <w:p>
      <w:pPr>
        <w:spacing w:after="0" w:line="158" w:lineRule="exact"/>
        <w:rPr>
          <w:rFonts w:ascii="Times New Roman" w:cs="Times New Roman" w:eastAsia="Times New Roman" w:hAnsi="Times New Roman"/>
          <w:sz w:val="15"/>
          <w:szCs w:val="15"/>
          <w:color w:val="auto"/>
        </w:rPr>
      </w:pPr>
    </w:p>
    <w:p>
      <w:pPr>
        <w:ind w:left="440" w:right="40" w:hanging="141"/>
        <w:spacing w:after="0" w:line="260" w:lineRule="auto"/>
        <w:tabs>
          <w:tab w:leader="none" w:pos="4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440" w:right="140" w:hanging="141"/>
        <w:spacing w:after="0" w:line="253" w:lineRule="auto"/>
        <w:tabs>
          <w:tab w:leader="none" w:pos="4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Times New Roman" w:cs="Times New Roman" w:eastAsia="Times New Roman" w:hAnsi="Times New Roman"/>
          <w:sz w:val="15"/>
          <w:szCs w:val="15"/>
          <w:color w:val="auto"/>
        </w:rPr>
      </w:pPr>
    </w:p>
    <w:p>
      <w:pPr>
        <w:ind w:left="440" w:right="120" w:hanging="141"/>
        <w:spacing w:after="0" w:line="267" w:lineRule="auto"/>
        <w:tabs>
          <w:tab w:leader="none" w:pos="4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19" w:lineRule="exact"/>
        <w:rPr>
          <w:rFonts w:ascii="Times New Roman" w:cs="Times New Roman" w:eastAsia="Times New Roman" w:hAnsi="Times New Roman"/>
          <w:sz w:val="15"/>
          <w:szCs w:val="15"/>
          <w:color w:val="auto"/>
        </w:rPr>
      </w:pPr>
    </w:p>
    <w:p>
      <w:pPr>
        <w:ind w:left="900" w:right="20" w:hanging="134"/>
        <w:spacing w:after="0" w:line="258" w:lineRule="auto"/>
        <w:tabs>
          <w:tab w:leader="none" w:pos="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jc w:val="both"/>
        <w:ind w:left="900" w:right="380" w:hanging="145"/>
        <w:spacing w:after="0" w:line="253" w:lineRule="auto"/>
        <w:tabs>
          <w:tab w:leader="none" w:pos="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5"/>
          <w:szCs w:val="15"/>
          <w:color w:val="auto"/>
        </w:rPr>
      </w:pPr>
    </w:p>
    <w:p>
      <w:pPr>
        <w:ind w:left="900" w:right="80" w:hanging="134"/>
        <w:spacing w:after="0" w:line="253" w:lineRule="auto"/>
        <w:tabs>
          <w:tab w:leader="none" w:pos="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 w:lineRule="exact"/>
        <w:rPr>
          <w:rFonts w:ascii="Times New Roman" w:cs="Times New Roman" w:eastAsia="Times New Roman" w:hAnsi="Times New Roman"/>
          <w:sz w:val="15"/>
          <w:szCs w:val="15"/>
          <w:color w:val="auto"/>
        </w:rPr>
      </w:pPr>
    </w:p>
    <w:p>
      <w:pPr>
        <w:ind w:left="900" w:right="200" w:hanging="145"/>
        <w:spacing w:after="0" w:line="267" w:lineRule="auto"/>
        <w:tabs>
          <w:tab w:leader="none" w:pos="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9" w:lineRule="exact"/>
        <w:rPr>
          <w:rFonts w:ascii="Times New Roman" w:cs="Times New Roman" w:eastAsia="Times New Roman" w:hAnsi="Times New Roman"/>
          <w:sz w:val="15"/>
          <w:szCs w:val="15"/>
          <w:color w:val="auto"/>
        </w:rPr>
      </w:pPr>
    </w:p>
    <w:p>
      <w:pPr>
        <w:ind w:left="440" w:right="300" w:hanging="141"/>
        <w:spacing w:after="0" w:line="280" w:lineRule="auto"/>
        <w:tabs>
          <w:tab w:leader="none" w:pos="4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0" w:lineRule="exact"/>
        <w:rPr>
          <w:rFonts w:ascii="Times New Roman" w:cs="Times New Roman" w:eastAsia="Times New Roman" w:hAnsi="Times New Roman"/>
          <w:sz w:val="15"/>
          <w:szCs w:val="15"/>
          <w:color w:val="auto"/>
        </w:rPr>
      </w:pPr>
    </w:p>
    <w:p>
      <w:pPr>
        <w:ind w:left="900" w:right="260" w:hanging="134"/>
        <w:spacing w:after="0" w:line="260" w:lineRule="auto"/>
        <w:tabs>
          <w:tab w:leader="none" w:pos="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900" w:hanging="145"/>
        <w:spacing w:after="0"/>
        <w:tabs>
          <w:tab w:leader="none" w:pos="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2, 2006</w:t>
      </w:r>
    </w:p>
    <w:p>
      <w:pPr>
        <w:spacing w:after="0" w:line="27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5"/>
          <w:szCs w:val="15"/>
          <w:u w:val="single" w:color="auto"/>
          <w:color w:val="auto"/>
        </w:rPr>
        <w:t>/S/ Steven D. Davis</w:t>
      </w:r>
    </w:p>
    <w:p>
      <w:pPr>
        <w:spacing w:after="0" w:line="170"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5"/>
          <w:szCs w:val="15"/>
          <w:color w:val="auto"/>
        </w:rPr>
        <w:t>Steven D. Davis</w:t>
      </w:r>
    </w:p>
    <w:p>
      <w:pPr>
        <w:spacing w:after="0" w:line="170"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440"/>
          </w:cols>
          <w:pgMar w:left="240" w:top="128" w:right="2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5"/>
          <w:szCs w:val="15"/>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Statement of Chief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18 U.S.C. Sec 1350, as created by Section 906 of the Sarbanes-Oxley Act of 2002, the undersigned Chief Executive Officer of Pacific Enterprises (the "Company") certifies that:</w:t>
      </w:r>
    </w:p>
    <w:p>
      <w:pPr>
        <w:spacing w:after="0" w:line="158" w:lineRule="exact"/>
        <w:rPr>
          <w:sz w:val="20"/>
          <w:szCs w:val="20"/>
          <w:color w:val="auto"/>
        </w:rPr>
      </w:pPr>
    </w:p>
    <w:p>
      <w:pPr>
        <w:ind w:left="900" w:right="440" w:hanging="113"/>
        <w:spacing w:after="0" w:line="260" w:lineRule="auto"/>
        <w:rPr>
          <w:sz w:val="20"/>
          <w:szCs w:val="20"/>
          <w:color w:val="auto"/>
        </w:rPr>
      </w:pPr>
      <w:r>
        <w:rPr>
          <w:rFonts w:ascii="Times New Roman" w:cs="Times New Roman" w:eastAsia="Times New Roman" w:hAnsi="Times New Roman"/>
          <w:sz w:val="15"/>
          <w:szCs w:val="15"/>
          <w:color w:val="auto"/>
        </w:rPr>
        <w:t>i. the Quarterly Report on Form 10-Q of the Company filed with the Securities and Exchange Commission for the year ended March 31, 2006 (the "Quarterly Report") fully complies with the requirements of Section 13(a) or Section 15(d), as applicable, of the Securities Exchange Act of 1934, as amended; and</w:t>
      </w:r>
    </w:p>
    <w:p>
      <w:pPr>
        <w:spacing w:after="0" w:line="1" w:lineRule="exact"/>
        <w:rPr>
          <w:sz w:val="20"/>
          <w:szCs w:val="20"/>
          <w:color w:val="auto"/>
        </w:rPr>
      </w:pPr>
    </w:p>
    <w:p>
      <w:pPr>
        <w:ind w:left="900" w:hanging="156"/>
        <w:spacing w:after="0"/>
        <w:tabs>
          <w:tab w:leader="none" w:pos="9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Quarterly Report fairly presents, in all material respects, the financial condition and results of operations of the Company.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9"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2, 2006</w:t>
      </w:r>
    </w:p>
    <w:p>
      <w:pPr>
        <w:spacing w:after="0" w:line="272"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5"/>
          <w:szCs w:val="15"/>
          <w:u w:val="single" w:color="auto"/>
          <w:color w:val="auto"/>
        </w:rPr>
        <w:t>/S/ Edwin A. Guiles</w:t>
      </w:r>
    </w:p>
    <w:p>
      <w:pPr>
        <w:spacing w:after="0" w:line="170"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5"/>
          <w:szCs w:val="15"/>
          <w:color w:val="auto"/>
        </w:rPr>
        <w:t>Edwin A. Guiles</w:t>
      </w:r>
    </w:p>
    <w:p>
      <w:pPr>
        <w:spacing w:after="0" w:line="170"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5"/>
          <w:szCs w:val="15"/>
          <w:color w:val="auto"/>
        </w:rPr>
        <w:t>Chief Executive Officer</w:t>
      </w:r>
    </w:p>
    <w:p>
      <w:pPr>
        <w:sectPr>
          <w:pgSz w:w="11900" w:h="16838" w:orient="portrait"/>
          <w:cols w:equalWidth="0" w:num="1">
            <w:col w:w="11440"/>
          </w:cols>
          <w:pgMar w:left="240" w:top="128" w:right="21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5"/>
          <w:szCs w:val="15"/>
          <w:color w:val="auto"/>
        </w:rPr>
        <w:t>Exhibit 32.2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Statement of Chief Financial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18 U.S.C. Sec 1350, as created by Section 906 of the Sarbanes-Oxley Act of 2002, the undersigned Chief Financial Officer of Pacific Enterprises (the "Company") certifies that:</w:t>
      </w:r>
    </w:p>
    <w:p>
      <w:pPr>
        <w:spacing w:after="0" w:line="158" w:lineRule="exact"/>
        <w:rPr>
          <w:sz w:val="20"/>
          <w:szCs w:val="20"/>
          <w:color w:val="auto"/>
        </w:rPr>
      </w:pPr>
    </w:p>
    <w:p>
      <w:pPr>
        <w:ind w:left="900" w:right="440" w:hanging="113"/>
        <w:spacing w:after="0" w:line="260" w:lineRule="auto"/>
        <w:rPr>
          <w:sz w:val="20"/>
          <w:szCs w:val="20"/>
          <w:color w:val="auto"/>
        </w:rPr>
      </w:pPr>
      <w:r>
        <w:rPr>
          <w:rFonts w:ascii="Times New Roman" w:cs="Times New Roman" w:eastAsia="Times New Roman" w:hAnsi="Times New Roman"/>
          <w:sz w:val="15"/>
          <w:szCs w:val="15"/>
          <w:color w:val="auto"/>
        </w:rPr>
        <w:t>i. the Quarterly Report on Form 10-Q of the Company filed with the Securities and Exchange Commission for the year ended March 31, 2006 (the "Quarterly Report") fully complies with the requirements of Section 13(a) or Section 15(d), as applicable, of the Securities Exchange Act of 1934, as amended; and</w:t>
      </w:r>
    </w:p>
    <w:p>
      <w:pPr>
        <w:spacing w:after="0" w:line="1" w:lineRule="exact"/>
        <w:rPr>
          <w:sz w:val="20"/>
          <w:szCs w:val="20"/>
          <w:color w:val="auto"/>
        </w:rPr>
      </w:pPr>
    </w:p>
    <w:p>
      <w:pPr>
        <w:ind w:left="900" w:hanging="156"/>
        <w:spacing w:after="0"/>
        <w:tabs>
          <w:tab w:leader="none" w:pos="9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Quarterly Report fairly presents, in all material respects, the financial condition and results of operations of the Company.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9"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2, 2006</w:t>
      </w:r>
    </w:p>
    <w:p>
      <w:pPr>
        <w:spacing w:after="0" w:line="27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5"/>
          <w:szCs w:val="15"/>
          <w:u w:val="single" w:color="auto"/>
          <w:color w:val="auto"/>
        </w:rPr>
        <w:t>/S/ Steven D. Davis</w:t>
      </w:r>
    </w:p>
    <w:p>
      <w:pPr>
        <w:spacing w:after="0" w:line="170"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5"/>
          <w:szCs w:val="15"/>
          <w:color w:val="auto"/>
        </w:rPr>
        <w:t>Steven D. Davis</w:t>
      </w:r>
    </w:p>
    <w:p>
      <w:pPr>
        <w:spacing w:after="0" w:line="170"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440"/>
          </w:cols>
          <w:pgMar w:left="240" w:top="128" w:right="2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5"/>
          <w:szCs w:val="15"/>
          <w:color w:val="auto"/>
        </w:rPr>
        <w:t>Exhibit 32.3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Statement of Chief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18 U.S.C. Sec 1350, as created by Section 906 of the Sarbanes-Oxley Act of 2002, the undersigned Chief Executive Officer of Southern California Gas Company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certifies that:</w:t>
      </w:r>
    </w:p>
    <w:p>
      <w:pPr>
        <w:spacing w:after="0" w:line="148" w:lineRule="exact"/>
        <w:rPr>
          <w:sz w:val="20"/>
          <w:szCs w:val="20"/>
          <w:color w:val="auto"/>
        </w:rPr>
      </w:pPr>
    </w:p>
    <w:p>
      <w:pPr>
        <w:ind w:left="900" w:right="440" w:hanging="113"/>
        <w:spacing w:after="0" w:line="260" w:lineRule="auto"/>
        <w:rPr>
          <w:sz w:val="20"/>
          <w:szCs w:val="20"/>
          <w:color w:val="auto"/>
        </w:rPr>
      </w:pPr>
      <w:r>
        <w:rPr>
          <w:rFonts w:ascii="Times New Roman" w:cs="Times New Roman" w:eastAsia="Times New Roman" w:hAnsi="Times New Roman"/>
          <w:sz w:val="15"/>
          <w:szCs w:val="15"/>
          <w:color w:val="auto"/>
        </w:rPr>
        <w:t>i. the Quarterly Report on Form 10-Q of the Company filed with the Securities and Exchange Commission for the year ended March 31, 2006 (the "Quarterly Report") fully complies with the requirements of Section 13(a) or Section 15(d), as applicable, of the Securities Exchange Act of 1934, as amended; and</w:t>
      </w:r>
    </w:p>
    <w:p>
      <w:pPr>
        <w:spacing w:after="0" w:line="1" w:lineRule="exact"/>
        <w:rPr>
          <w:sz w:val="20"/>
          <w:szCs w:val="20"/>
          <w:color w:val="auto"/>
        </w:rPr>
      </w:pPr>
    </w:p>
    <w:p>
      <w:pPr>
        <w:ind w:left="900" w:hanging="156"/>
        <w:spacing w:after="0"/>
        <w:tabs>
          <w:tab w:leader="none" w:pos="9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Quarterly Report fairly presents, in all material respects, the financial condition and results of operations of the Company.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9"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2, 2006</w:t>
      </w:r>
    </w:p>
    <w:p>
      <w:pPr>
        <w:spacing w:after="0" w:line="272"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5"/>
          <w:szCs w:val="15"/>
          <w:u w:val="single" w:color="auto"/>
          <w:color w:val="auto"/>
        </w:rPr>
        <w:t>/S/ Edwin A. Guiles</w:t>
      </w:r>
    </w:p>
    <w:p>
      <w:pPr>
        <w:spacing w:after="0" w:line="170"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5"/>
          <w:szCs w:val="15"/>
          <w:color w:val="auto"/>
        </w:rPr>
        <w:t>Edwin A. Guiles</w:t>
      </w:r>
    </w:p>
    <w:p>
      <w:pPr>
        <w:spacing w:after="0" w:line="170"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5"/>
          <w:szCs w:val="15"/>
          <w:color w:val="auto"/>
        </w:rPr>
        <w:t>Chief Executive Officer</w:t>
      </w:r>
    </w:p>
    <w:p>
      <w:pPr>
        <w:sectPr>
          <w:pgSz w:w="11900" w:h="16838" w:orient="portrait"/>
          <w:cols w:equalWidth="0" w:num="1">
            <w:col w:w="11440"/>
          </w:cols>
          <w:pgMar w:left="240" w:top="128" w:right="2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5"/>
          <w:szCs w:val="15"/>
          <w:color w:val="auto"/>
        </w:rPr>
        <w:t>Exhibit 32.4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Statement of Chief Financial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18 U.S.C. Sec 1350, as created by Section 906 of the Sarbanes-Oxley Act of 2002, the undersigned Chief Financial Officer of Southern California Gas Company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certifies that:</w:t>
      </w:r>
    </w:p>
    <w:p>
      <w:pPr>
        <w:spacing w:after="0" w:line="148" w:lineRule="exact"/>
        <w:rPr>
          <w:sz w:val="20"/>
          <w:szCs w:val="20"/>
          <w:color w:val="auto"/>
        </w:rPr>
      </w:pPr>
    </w:p>
    <w:p>
      <w:pPr>
        <w:ind w:left="900" w:right="440" w:hanging="113"/>
        <w:spacing w:after="0" w:line="260" w:lineRule="auto"/>
        <w:rPr>
          <w:sz w:val="20"/>
          <w:szCs w:val="20"/>
          <w:color w:val="auto"/>
        </w:rPr>
      </w:pPr>
      <w:r>
        <w:rPr>
          <w:rFonts w:ascii="Times New Roman" w:cs="Times New Roman" w:eastAsia="Times New Roman" w:hAnsi="Times New Roman"/>
          <w:sz w:val="15"/>
          <w:szCs w:val="15"/>
          <w:color w:val="auto"/>
        </w:rPr>
        <w:t>i. the Quarterly Report on Form 10-Q of the Company filed with the Securities and Exchange Commission for the year ended March 31, 2006 (the "Quarterly Report") fully complies with the requirements of Section 13(a) or Section 15(d), as applicable, of the Securities Exchange Act of 1934, as amended; and</w:t>
      </w:r>
    </w:p>
    <w:p>
      <w:pPr>
        <w:spacing w:after="0" w:line="1" w:lineRule="exact"/>
        <w:rPr>
          <w:sz w:val="20"/>
          <w:szCs w:val="20"/>
          <w:color w:val="auto"/>
        </w:rPr>
      </w:pPr>
    </w:p>
    <w:p>
      <w:pPr>
        <w:ind w:left="900" w:hanging="156"/>
        <w:spacing w:after="0"/>
        <w:tabs>
          <w:tab w:leader="none" w:pos="9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Quarterly Report fairly presents, in all material respects, the financial condition and results of operations of the Company.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9"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2, 2006</w:t>
      </w:r>
    </w:p>
    <w:p>
      <w:pPr>
        <w:spacing w:after="0" w:line="27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5"/>
          <w:szCs w:val="15"/>
          <w:u w:val="single" w:color="auto"/>
          <w:color w:val="auto"/>
        </w:rPr>
        <w:t>/S/ Steven D. Davis</w:t>
      </w:r>
    </w:p>
    <w:p>
      <w:pPr>
        <w:spacing w:after="0" w:line="170"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5"/>
          <w:szCs w:val="15"/>
          <w:color w:val="auto"/>
        </w:rPr>
        <w:t>Steven D. Davis</w:t>
      </w:r>
    </w:p>
    <w:p>
      <w:pPr>
        <w:spacing w:after="0" w:line="170"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5"/>
          <w:szCs w:val="15"/>
          <w:color w:val="auto"/>
        </w:rPr>
        <w:t>Chief Financial Officer</w:t>
      </w:r>
    </w:p>
    <w:sectPr>
      <w:pgSz w:w="11900" w:h="16838" w:orient="portrait"/>
      <w:cols w:equalWidth="0" w:num="1">
        <w:col w:w="11440"/>
      </w:cols>
      <w:pgMar w:left="240" w:top="1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2019-12-13T06:12:28Z</dcterms:created>
  <dcterms:modified xsi:type="dcterms:W3CDTF">2019-12-13T06:12:28Z</dcterms:modified>
</cp:coreProperties>
</file>