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Free Writing Prospectus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333-295948</w:t>
      </w:r>
    </w:p>
    <w:p>
      <w:pPr>
        <w:spacing w:after="0" w:line="203" w:lineRule="exact"/>
        <w:rPr>
          <w:sz w:val="24"/>
          <w:szCs w:val="24"/>
          <w:color w:val="auto"/>
        </w:rPr>
      </w:pPr>
    </w:p>
    <w:p>
      <w:pPr>
        <w:ind w:left="5204"/>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121" w:lineRule="exact"/>
        <w:rPr>
          <w:sz w:val="24"/>
          <w:szCs w:val="24"/>
          <w:color w:val="auto"/>
        </w:rPr>
      </w:pPr>
    </w:p>
    <w:p>
      <w:pPr>
        <w:ind w:left="4884"/>
        <w:spacing w:after="0"/>
        <w:rPr>
          <w:sz w:val="20"/>
          <w:szCs w:val="20"/>
          <w:color w:val="auto"/>
        </w:rPr>
      </w:pPr>
      <w:r>
        <w:rPr>
          <w:rFonts w:ascii="Times New Roman" w:cs="Times New Roman" w:eastAsia="Times New Roman" w:hAnsi="Times New Roman"/>
          <w:sz w:val="18"/>
          <w:szCs w:val="18"/>
          <w:color w:val="auto"/>
        </w:rPr>
        <w:t>Final Term Sheet</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June 4, 2026</w:t>
      </w:r>
    </w:p>
    <w:p>
      <w:pPr>
        <w:spacing w:after="0" w:line="9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Floating Rate Notes due 2028</w:t>
      </w:r>
    </w:p>
    <w:p>
      <w:pPr>
        <w:spacing w:after="0" w:line="225" w:lineRule="exact"/>
        <w:rPr>
          <w:sz w:val="24"/>
          <w:szCs w:val="24"/>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This issuer free writing prospectus relates only to Floating Rate Notes due 2028 (the “notes”) described below and should be read together with Sempra’s preliminary prospectus supplement dated June 4, 2026 (the “Preliminary Prospectus Supplement”), the accompanying prospectus dated May 15, 2026 and the documents incorporated and deemed to be incorporated by reference therein.</w:t>
      </w:r>
    </w:p>
    <w:p>
      <w:pPr>
        <w:sectPr>
          <w:pgSz w:w="11900" w:h="16838" w:orient="portrait"/>
          <w:cols w:equalWidth="0" w:num="1">
            <w:col w:w="11024"/>
          </w:cols>
          <w:pgMar w:left="436" w:top="229" w:right="439" w:bottom="1440" w:gutter="0" w:footer="0" w:header="0"/>
        </w:sectPr>
      </w:pP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Sempra (the “Company”)</w:t>
      </w:r>
    </w:p>
    <w:p>
      <w:pPr>
        <w:spacing w:after="0" w:line="128"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Anticipated Ratings:</w:t>
      </w: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Baa2 (negative) by Moody’s Investors Service, Inc.</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BBB (negative) by S&amp;P Global Ratings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BBB+ (stable) by Fitch Ratings, Inc.</w:t>
      </w:r>
    </w:p>
    <w:p>
      <w:pPr>
        <w:spacing w:after="0" w:line="99"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117"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9, 2026 (T+3)</w:t>
      </w:r>
    </w:p>
    <w:p>
      <w:pPr>
        <w:spacing w:after="0" w:line="129"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Securities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Floating Rate Notes due 2028</w:t>
      </w:r>
    </w:p>
    <w:p>
      <w:pPr>
        <w:spacing w:after="0" w:line="129"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$1,000,000,000</w:t>
      </w:r>
    </w:p>
    <w:p>
      <w:pPr>
        <w:spacing w:after="0" w:line="129" w:lineRule="exact"/>
        <w:rPr>
          <w:sz w:val="24"/>
          <w:szCs w:val="24"/>
          <w:color w:val="auto"/>
        </w:rPr>
      </w:pPr>
    </w:p>
    <w:p>
      <w:pPr>
        <w:sectPr>
          <w:pgSz w:w="11900" w:h="16838" w:orient="portrait"/>
          <w:cols w:equalWidth="0" w:num="2">
            <w:col w:w="2724" w:space="48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Interest and Interest Payment Dates:</w:t>
      </w:r>
    </w:p>
    <w:p>
      <w:pPr>
        <w:spacing w:after="0" w:line="20" w:lineRule="exact"/>
        <w:rPr>
          <w:sz w:val="24"/>
          <w:szCs w:val="24"/>
          <w:color w:val="auto"/>
        </w:rPr>
      </w:pPr>
      <w:r>
        <w:rPr>
          <w:sz w:val="24"/>
          <w:szCs w:val="24"/>
          <w:color w:val="auto"/>
        </w:rPr>
        <w:br w:type="column"/>
      </w:r>
    </w:p>
    <w:p>
      <w:pPr>
        <w:ind w:right="160"/>
        <w:spacing w:after="0" w:line="266" w:lineRule="auto"/>
        <w:rPr>
          <w:sz w:val="20"/>
          <w:szCs w:val="20"/>
          <w:color w:val="auto"/>
        </w:rPr>
      </w:pPr>
      <w:r>
        <w:rPr>
          <w:rFonts w:ascii="Times New Roman" w:cs="Times New Roman" w:eastAsia="Times New Roman" w:hAnsi="Times New Roman"/>
          <w:sz w:val="18"/>
          <w:szCs w:val="18"/>
          <w:color w:val="auto"/>
        </w:rPr>
        <w:t>Floating rate equal to Compounded SOFR (calculated as described in the Preliminary Prospectus Supplement), plus 67 basis points per annum, payable quarterly in arrears on October 7, January 7, April 7 and July 7 of each year, beginning on October 7, 2026</w:t>
      </w:r>
    </w:p>
    <w:p>
      <w:pPr>
        <w:spacing w:after="0" w:line="68" w:lineRule="exact"/>
        <w:rPr>
          <w:sz w:val="24"/>
          <w:szCs w:val="24"/>
          <w:color w:val="auto"/>
        </w:rPr>
      </w:pPr>
    </w:p>
    <w:p>
      <w:pPr>
        <w:sectPr>
          <w:pgSz w:w="11900" w:h="16838" w:orient="portrait"/>
          <w:cols w:equalWidth="0" w:num="2">
            <w:col w:w="2604" w:space="60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7, 2028</w:t>
      </w:r>
    </w:p>
    <w:p>
      <w:pPr>
        <w:spacing w:after="0" w:line="129"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 plus accrued interest, if any</w:t>
      </w:r>
    </w:p>
    <w:p>
      <w:pPr>
        <w:spacing w:after="0" w:line="129"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 Optional Redemption: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notes are not redeemable at the option of the Company</w:t>
      </w:r>
    </w:p>
    <w:p>
      <w:pPr>
        <w:spacing w:after="0" w:line="129"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816851 BY4</w:t>
      </w:r>
    </w:p>
    <w:p>
      <w:pPr>
        <w:spacing w:after="0" w:line="129"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US816851BY40</w:t>
      </w:r>
    </w:p>
    <w:p>
      <w:pPr>
        <w:spacing w:after="0" w:line="128"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Net Proceeds:</w:t>
      </w:r>
    </w:p>
    <w:p>
      <w:pPr>
        <w:spacing w:after="0" w:line="20" w:lineRule="exact"/>
        <w:rPr>
          <w:sz w:val="24"/>
          <w:szCs w:val="24"/>
          <w:color w:val="auto"/>
        </w:rPr>
      </w:pPr>
      <w:r>
        <w:rPr>
          <w:sz w:val="24"/>
          <w:szCs w:val="24"/>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Approximately $998.5 million, after deducting the underwriting discount but before deducting the estimated offering expenses payable by the Company.</w:t>
      </w:r>
    </w:p>
    <w:p>
      <w:pPr>
        <w:spacing w:after="0" w:line="54"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7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BMO Capital Markets Corp.</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115" w:lineRule="exact"/>
        <w:rPr>
          <w:sz w:val="24"/>
          <w:szCs w:val="24"/>
          <w:color w:val="auto"/>
        </w:rPr>
      </w:pPr>
    </w:p>
    <w:p>
      <w:pPr>
        <w:sectPr>
          <w:pgSz w:w="11900" w:h="16838" w:orient="portrait"/>
          <w:cols w:equalWidth="0" w:num="2">
            <w:col w:w="2484" w:space="720"/>
            <w:col w:w="7820"/>
          </w:cols>
          <w:pgMar w:left="436" w:top="229" w:right="439" w:bottom="1440" w:gutter="0" w:footer="0" w:header="0"/>
          <w:type w:val="continuous"/>
        </w:sectPr>
      </w:pPr>
    </w:p>
    <w:p>
      <w:pPr>
        <w:ind w:left="424" w:hanging="424"/>
        <w:spacing w:after="0"/>
        <w:tabs>
          <w:tab w:leader="none" w:pos="424" w:val="left"/>
        </w:tabs>
        <w:numPr>
          <w:ilvl w:val="0"/>
          <w:numId w:val="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Note: A securities rating is not a recommendation to buy, sell or hold securities and is subject to revision or withdrawal at any time.</w:t>
      </w:r>
    </w:p>
    <w:p>
      <w:pPr>
        <w:sectPr>
          <w:pgSz w:w="11900" w:h="16838" w:orient="portrait"/>
          <w:cols w:equalWidth="0" w:num="1">
            <w:col w:w="11024"/>
          </w:cols>
          <w:pgMar w:left="436" w:top="229" w:right="439" w:bottom="1440" w:gutter="0" w:footer="0" w:header="0"/>
          <w:type w:val="continuous"/>
        </w:sectPr>
      </w:pPr>
    </w:p>
    <w:bookmarkStart w:id="1" w:name="page2"/>
    <w:bookmarkEnd w:id="1"/>
    <w:p>
      <w:pPr>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has filed a registration statement (including a prospectus) with the U.S. Securities and Exchange Commission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if you request it by calling BMO Capital Markets Corp. toll-free at 1-888-200-0266 or by calling Academy Securities, Inc. toll-free at 1-646-736-3995.</w:t>
      </w:r>
    </w:p>
    <w:p>
      <w:pPr>
        <w:spacing w:after="0" w:line="18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2026-06-04T15:21:39Z</dcterms:created>
  <dcterms:modified xsi:type="dcterms:W3CDTF">2026-06-04T15:21:39Z</dcterms:modified>
</cp:coreProperties>
</file>